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333-279427</w:t>
      </w:r>
    </w:p>
    <w:p>
      <w:pPr>
        <w:spacing w:after="0" w:line="33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To Prospectus Dated May 28, 2024</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168910</wp:posOffset>
            </wp:positionV>
            <wp:extent cx="1242695" cy="74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2695"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6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Iris Energy Limited</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(d/b/a IREN)</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Up to $500,000,000</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0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We previously entered into an At Market Issuance Sales Agreement, dated September 13, 2023, with</w:t>
      </w:r>
    </w:p>
    <w:p>
      <w:pPr>
        <w:spacing w:after="0" w:line="2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B. Riley Securities, Inc. (“B. Riley Securities”), Cantor Fitzgerald &amp; Co. (“Cantor”) and Compass Point Research</w:t>
      </w:r>
    </w:p>
    <w:p>
      <w:pPr>
        <w:spacing w:after="0" w:line="9" w:lineRule="exact"/>
        <w:rPr>
          <w:sz w:val="24"/>
          <w:szCs w:val="24"/>
          <w:color w:val="auto"/>
        </w:rPr>
      </w:pPr>
    </w:p>
    <w:p>
      <w:pPr>
        <w:ind w:left="400" w:right="459"/>
        <w:spacing w:after="0" w:line="251" w:lineRule="auto"/>
        <w:tabs>
          <w:tab w:leader="none" w:pos="5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LLC (“Compass Point”), to which Canaccord Genuity LLC (“Canaccord”), Citigroup Global Markets Inc. (“Citigroup”) and Macquarie Capital (USA) Inc. (“Macquarie Capital”) were joined on March 21, 2024 (each of B. Riley Securities, Cantor, Compass Point, Canaccord, Citigroup and Macquarie Capital individually a “sales agent” and collectively, the “sales agents”), relating to the sale of our ordinary shares, with no par value (such agreement, the “sales agreement”). This prospectus supplement, together with the accompanying prospectus, relates to our ordinary shares that may be offered and sold under the sales agreement. In accordance with the terms of the sales agreement, under the prospectus supplement, we may offer and sell our ordinary shares having an aggregate offering price of up to $500,000,000 from time to time through or to the sales agents, as agent or principal. This offering amount is in addition to the $500 million previously registered to be offered and sold under the sales agreement, pursuant to our registration statement on Form F-3 (File No. 333-274500) filed with the U.S. Securities and Exchange Commission (“SEC”) on September 13, 2023 and declared effective on September 22, 2023, as amended by the prospectus supplement filed on March 21, 2024 (the “Prior Registration Statement”). As of May 12, 2024, we have sold an aggregate of approximately $363,354,738 of ordinary shares pursuant to the sales agreement and the Prior Registration Statement, and we have an additional $136,645,262 remaining available for sale thereunder.</w:t>
      </w:r>
    </w:p>
    <w:p>
      <w:pPr>
        <w:spacing w:after="0" w:line="1" w:lineRule="exact"/>
        <w:rPr>
          <w:rFonts w:ascii="Times New Roman" w:cs="Times New Roman" w:eastAsia="Times New Roman" w:hAnsi="Times New Roman"/>
          <w:sz w:val="18"/>
          <w:szCs w:val="18"/>
          <w:color w:val="auto"/>
        </w:rPr>
      </w:pPr>
    </w:p>
    <w:p>
      <w:pPr>
        <w:ind w:left="400" w:right="439" w:firstLine="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if any, under this prospectus supplement will be made by any method permitted that is deemed an “at the market offering” as defined in Rule 415(a)(4) under the Securities Act of 1933, as amended (the “Securities Act”).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w:t>
      </w:r>
    </w:p>
    <w:p>
      <w:pPr>
        <w:spacing w:after="0" w:line="5" w:lineRule="exact"/>
        <w:rPr>
          <w:rFonts w:ascii="Times New Roman" w:cs="Times New Roman" w:eastAsia="Times New Roman" w:hAnsi="Times New Roman"/>
          <w:sz w:val="18"/>
          <w:szCs w:val="18"/>
          <w:color w:val="auto"/>
        </w:rPr>
      </w:pPr>
    </w:p>
    <w:p>
      <w:pPr>
        <w:ind w:left="400" w:right="479" w:firstLine="3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agents will be entitled to compensation at a commission rate of up to 3.0% of the gross sales price of any ordinary shares sold under the sales agreement. In connection with the sale of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for additional information regarding the compensation to be paid to the sales agents.</w:t>
      </w:r>
    </w:p>
    <w:p>
      <w:pPr>
        <w:spacing w:after="0" w:line="4" w:lineRule="exact"/>
        <w:rPr>
          <w:rFonts w:ascii="Times New Roman" w:cs="Times New Roman" w:eastAsia="Times New Roman" w:hAnsi="Times New Roman"/>
          <w:sz w:val="18"/>
          <w:szCs w:val="18"/>
          <w:color w:val="auto"/>
        </w:rPr>
      </w:pPr>
    </w:p>
    <w:p>
      <w:pPr>
        <w:ind w:left="400" w:right="639" w:firstLine="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ordinary shares are listed on the Nasdaq Global Select Market (“Nasdaq”) under the symbol “IREN”. On May 28, 2024, the last reported sale price of our ordinary shares was $7.89 per share.</w:t>
      </w:r>
    </w:p>
    <w:p>
      <w:pPr>
        <w:spacing w:after="0" w:line="1" w:lineRule="exact"/>
        <w:rPr>
          <w:rFonts w:ascii="Times New Roman" w:cs="Times New Roman" w:eastAsia="Times New Roman" w:hAnsi="Times New Roman"/>
          <w:sz w:val="18"/>
          <w:szCs w:val="18"/>
          <w:color w:val="auto"/>
        </w:rPr>
      </w:pPr>
    </w:p>
    <w:p>
      <w:pPr>
        <w:ind w:left="400" w:right="559" w:firstLine="3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Investing in our securities involves a high degree of risk. See the “Risk Factors” section beginning on page S-</w:t>
      </w:r>
      <w:r>
        <w:rPr>
          <w:rFonts w:ascii="Times New Roman" w:cs="Times New Roman" w:eastAsia="Times New Roman" w:hAnsi="Times New Roman"/>
          <w:sz w:val="18"/>
          <w:szCs w:val="18"/>
          <w:b w:val="1"/>
          <w:bCs w:val="1"/>
          <w:u w:val="single" w:color="auto"/>
          <w:color w:val="0000EE"/>
        </w:rPr>
        <w:t>10</w:t>
      </w:r>
      <w:r>
        <w:rPr>
          <w:rFonts w:ascii="Times New Roman" w:cs="Times New Roman" w:eastAsia="Times New Roman" w:hAnsi="Times New Roman"/>
          <w:sz w:val="18"/>
          <w:szCs w:val="18"/>
          <w:b w:val="1"/>
          <w:bCs w:val="1"/>
          <w:color w:val="auto"/>
        </w:rPr>
        <w:t xml:space="preserve"> of this prospectus supplement and any risk factors in our SEC filings that are incorporated by reference in this prospectus supplement.</w:t>
      </w:r>
    </w:p>
    <w:p>
      <w:pPr>
        <w:ind w:left="400" w:right="439" w:firstLine="3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9019"/>
          </w:cols>
          <w:pgMar w:left="1440" w:top="223" w:right="1440" w:bottom="1440" w:gutter="0" w:footer="0" w:header="0"/>
        </w:sectPr>
      </w:pPr>
    </w:p>
    <w:p>
      <w:pPr>
        <w:spacing w:after="0" w:line="215"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B. Riley</w:t>
      </w:r>
    </w:p>
    <w:p>
      <w:pPr>
        <w:spacing w:after="0" w:line="31"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Securities</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Canaccord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Genuity</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Cantor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Citigroup</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Compass</w:t>
      </w:r>
    </w:p>
    <w:p>
      <w:pPr>
        <w:spacing w:after="0" w:line="4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Point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Macquarie</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153" w:lineRule="exact"/>
        <w:rPr>
          <w:sz w:val="24"/>
          <w:szCs w:val="24"/>
          <w:color w:val="auto"/>
        </w:rPr>
      </w:pPr>
    </w:p>
    <w:p>
      <w:pPr>
        <w:sectPr>
          <w:pgSz w:w="11900" w:h="16838" w:orient="portrait"/>
          <w:cols w:equalWidth="0" w:num="6">
            <w:col w:w="1360" w:space="640"/>
            <w:col w:w="860" w:space="720"/>
            <w:col w:w="560" w:space="720"/>
            <w:col w:w="760" w:space="640"/>
            <w:col w:w="700" w:space="640"/>
            <w:col w:w="1419"/>
          </w:cols>
          <w:pgMar w:left="1440" w:top="22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Prospectus supplement dated 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4"/>
        </w:trPr>
        <w:tc>
          <w:tcPr>
            <w:tcW w:w="812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3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51"/>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20" w:type="dxa"/>
            <w:vAlign w:val="bottom"/>
            <w:shd w:val="clear" w:color="auto" w:fill="CCEEFF"/>
          </w:tcPr>
          <w:p>
            <w:pPr>
              <w:spacing w:after="0"/>
              <w:rPr>
                <w:sz w:val="20"/>
                <w:szCs w:val="20"/>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S-1</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Glossary of Industry Terms and Concepts</w:t>
            </w: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S-3</w:t>
            </w: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2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S-4</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S-9</w:t>
            </w:r>
          </w:p>
        </w:tc>
      </w:tr>
      <w:tr>
        <w:trPr>
          <w:trHeight w:val="74"/>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S-10</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S-14</w:t>
            </w:r>
          </w:p>
        </w:tc>
      </w:tr>
      <w:tr>
        <w:trPr>
          <w:trHeight w:val="74"/>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S-17</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3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S-18</w:t>
            </w:r>
          </w:p>
        </w:tc>
      </w:tr>
      <w:tr>
        <w:trPr>
          <w:trHeight w:val="74"/>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Taxation</w:t>
            </w:r>
          </w:p>
        </w:tc>
        <w:tc>
          <w:tcPr>
            <w:tcW w:w="30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S-19</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S-28</w:t>
            </w:r>
          </w:p>
        </w:tc>
      </w:tr>
      <w:tr>
        <w:trPr>
          <w:trHeight w:val="74"/>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S-30</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S-30</w:t>
            </w: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S-30</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Information Incorporated By Reference</w:t>
            </w:r>
          </w:p>
        </w:tc>
        <w:tc>
          <w:tcPr>
            <w:tcW w:w="3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0000EE"/>
                <w:w w:val="82"/>
              </w:rPr>
              <w:t>S-31</w:t>
            </w:r>
          </w:p>
        </w:tc>
      </w:tr>
      <w:tr>
        <w:trPr>
          <w:trHeight w:val="20"/>
        </w:trPr>
        <w:tc>
          <w:tcPr>
            <w:tcW w:w="102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tcBorders>
              <w:right w:val="single" w:sz="8" w:color="0000EE"/>
            </w:tcBorders>
            <w:gridSpan w:val="2"/>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5"/>
        </w:trPr>
        <w:tc>
          <w:tcPr>
            <w:tcW w:w="284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5280" w:type="dxa"/>
            <w:vAlign w:val="bottom"/>
            <w:gridSpan w:val="6"/>
          </w:tcPr>
          <w:p>
            <w:pPr>
              <w:spacing w:after="0"/>
              <w:rPr>
                <w:sz w:val="24"/>
                <w:szCs w:val="24"/>
                <w:color w:val="auto"/>
              </w:rPr>
            </w:pPr>
          </w:p>
        </w:tc>
        <w:tc>
          <w:tcPr>
            <w:tcW w:w="3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Glossary of Industry Terms and Concepts</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Company</w:t>
            </w: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11</w:t>
            </w: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12</w:t>
            </w:r>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23</w:t>
            </w:r>
          </w:p>
        </w:tc>
        <w:tc>
          <w:tcPr>
            <w:tcW w:w="2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Subscription Rights</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Purchase Contracts</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27</w:t>
            </w:r>
          </w:p>
        </w:tc>
        <w:tc>
          <w:tcPr>
            <w:tcW w:w="2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Forms of Securities</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28</w:t>
            </w: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30</w:t>
            </w:r>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Expenses of the Offering</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33</w:t>
            </w:r>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Experts</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33</w:t>
            </w:r>
          </w:p>
        </w:tc>
        <w:tc>
          <w:tcPr>
            <w:tcW w:w="20" w:type="dxa"/>
            <w:vAlign w:val="bottom"/>
          </w:tcPr>
          <w:p>
            <w:pPr>
              <w:spacing w:after="0"/>
              <w:rPr>
                <w:sz w:val="19"/>
                <w:szCs w:val="19"/>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Service of Process and Enforceability of Civil Liabilities</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34</w:t>
            </w:r>
          </w:p>
        </w:tc>
        <w:tc>
          <w:tcPr>
            <w:tcW w:w="2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Incorporated By Reference</w:t>
            </w:r>
          </w:p>
        </w:tc>
        <w:tc>
          <w:tcPr>
            <w:tcW w:w="28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36</w:t>
            </w:r>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-7482840</wp:posOffset>
            </wp:positionV>
            <wp:extent cx="939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-4337050</wp:posOffset>
            </wp:positionV>
            <wp:extent cx="111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spacing w:after="0" w:line="81"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8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 the statement in the document having the later date modifies or supersedes the earlier statement.</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prospectus or any document incorporated by reference in this prospectus supplement is accurate only as of their respective dates, regardless of the time of delivery of this prospectus, the accompanying prospectus or the documents incorporated by reference in this prospectus or in the accompanying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sales agents have authorized anyone to provide you with information that is different from that contained in this prospectus supplement, the accompanying prospectus, or any free writing prospectus we may authorize to be delivered or made available to you. Neither we nor the sales agents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sales agents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75"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“IREN,” the “Company,” “we,” “our,” “ours,” “us” or similar terms refer to Iris Energy Limited (d/b/a IREN) and its subsidiaries.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services marks, and registered website domains, company and business names that we use in connection with the operation of our business. These include, among others, Iris Energy, IREN and www.iren.com. Other trademarks, service marks, and trade names referenced in this prospectus supplement are, to our knowledge, the property of their respective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references to “Canadian dollars,” “CAD” or “C$” are to the Canadian dollar, the official currency of Canada. All references to “IFRS” are to International Financial Reporting Standards, as issued by the International Accounting Standards Board, or the IASB. References to a particular “fiscal year” are to IREN’s fiscal year ended June 30 of that year.</w:t>
      </w:r>
    </w:p>
    <w:p>
      <w:pPr>
        <w:spacing w:after="0" w:line="72"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or AI Cloud Services market, or any other market or industry referenced in this prospectus supplement. We do not intend, and do not assume any obligations, to update industry or market data set forth in this prospectus supplement. Finally, behavior, preferences, and trends in the marketplace tend to change. As a result, investors and prospective investors should be aware that data in this prospectus supplement and estimates based on such data may not be reliable indicators of future results.</w:t>
      </w:r>
    </w:p>
    <w:p>
      <w:pPr>
        <w:spacing w:after="0" w:line="87"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Throughout this prospectus supplement, we use a number of industry terms and concepts which are defined as follows:</w:t>
      </w:r>
    </w:p>
    <w:p>
      <w:pPr>
        <w:spacing w:after="0" w:line="50"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 Cloud Services</w:t>
      </w:r>
      <w:r>
        <w:rPr>
          <w:rFonts w:ascii="Times New Roman" w:cs="Times New Roman" w:eastAsia="Times New Roman" w:hAnsi="Times New Roman"/>
          <w:sz w:val="18"/>
          <w:szCs w:val="18"/>
          <w:color w:val="auto"/>
        </w:rPr>
        <w:t>: HPC products and services that are targeted to AI/ML customers.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AI/ML: </w:t>
      </w:r>
      <w:r>
        <w:rPr>
          <w:rFonts w:ascii="Times New Roman" w:cs="Times New Roman" w:eastAsia="Times New Roman" w:hAnsi="Times New Roman"/>
          <w:sz w:val="18"/>
          <w:szCs w:val="18"/>
          <w:color w:val="auto"/>
        </w:rPr>
        <w:t>Artificial Intelligence and Machine Learning. Artificial Intelligence (“AI”) is computer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ASICs: </w:t>
      </w:r>
      <w:r>
        <w:rPr>
          <w:rFonts w:ascii="Times New Roman" w:cs="Times New Roman" w:eastAsia="Times New Roman" w:hAnsi="Times New Roman"/>
          <w:sz w:val="18"/>
          <w:szCs w:val="18"/>
          <w:color w:val="auto"/>
        </w:rPr>
        <w:t>An Application Specific Integrated Circuit is a type of integrated circuit that is custom-designed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use, rather than intended for general-purpose use.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A system of global, decentralized, scarce, digital money as initially introduced in a white paper</w:t>
      </w:r>
    </w:p>
    <w:p>
      <w:pPr>
        <w:spacing w:after="0" w:line="3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Bitcoin: A Peer-to-Peer Electronic Cash System by Satoshi Nakamoto.</w:t>
      </w:r>
    </w:p>
    <w:p>
      <w:pPr>
        <w:spacing w:after="0" w:line="94" w:lineRule="exact"/>
        <w:rPr>
          <w:rFonts w:ascii="Times New Roman" w:cs="Times New Roman" w:eastAsia="Times New Roman" w:hAnsi="Times New Roman"/>
          <w:sz w:val="18"/>
          <w:szCs w:val="18"/>
          <w:color w:val="auto"/>
        </w:rPr>
      </w:pPr>
    </w:p>
    <w:p>
      <w:pPr>
        <w:ind w:left="1000" w:right="459" w:hanging="348"/>
        <w:spacing w:after="0" w:line="28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Bitcoin Network: </w:t>
      </w:r>
      <w:r>
        <w:rPr>
          <w:rFonts w:ascii="Times New Roman" w:cs="Times New Roman" w:eastAsia="Times New Roman" w:hAnsi="Times New Roman"/>
          <w:sz w:val="18"/>
          <w:szCs w:val="18"/>
          <w:color w:val="auto"/>
        </w:rPr>
        <w:t>The collection of all nodes running the Bitcoin protocol. This includes miners that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power to maintain the ledger and add new Blocks to the Blockchain.</w:t>
      </w:r>
    </w:p>
    <w:p>
      <w:pPr>
        <w:spacing w:after="0" w:line="46" w:lineRule="exact"/>
        <w:rPr>
          <w:rFonts w:ascii="Times New Roman" w:cs="Times New Roman" w:eastAsia="Times New Roman" w:hAnsi="Times New Roman"/>
          <w:sz w:val="18"/>
          <w:szCs w:val="18"/>
          <w:color w:val="auto"/>
        </w:rPr>
      </w:pPr>
    </w:p>
    <w:p>
      <w:pPr>
        <w:ind w:left="1000" w:right="599" w:hanging="348"/>
        <w:spacing w:after="0" w:line="28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w:t>
      </w:r>
      <w:r>
        <w:rPr>
          <w:rFonts w:ascii="Times New Roman" w:cs="Times New Roman" w:eastAsia="Times New Roman" w:hAnsi="Times New Roman"/>
          <w:sz w:val="18"/>
          <w:szCs w:val="18"/>
          <w:color w:val="auto"/>
        </w:rPr>
        <w:t>: A bundle of transactions analogous with digital pages in a ledger. Transactions are bundled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which are then added to the ledger. Miners are rewarded for “mining” a new Block.</w:t>
      </w:r>
    </w:p>
    <w:p>
      <w:pPr>
        <w:spacing w:after="0" w:line="46" w:lineRule="exact"/>
        <w:rPr>
          <w:rFonts w:ascii="Times New Roman" w:cs="Times New Roman" w:eastAsia="Times New Roman" w:hAnsi="Times New Roman"/>
          <w:sz w:val="18"/>
          <w:szCs w:val="18"/>
          <w:color w:val="auto"/>
        </w:rPr>
      </w:pPr>
    </w:p>
    <w:p>
      <w:pPr>
        <w:ind w:left="1000" w:right="499" w:hanging="348"/>
        <w:spacing w:after="0" w:line="26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A software program containing a cryptographically secure digital ledger that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all transactions that occur on the network, that enables peer-to-peer transmission of transaction information, and that follows a consensus protocol for confirming new Blocks to be added to the Blockchain.</w:t>
      </w:r>
    </w:p>
    <w:p>
      <w:pPr>
        <w:spacing w:after="0" w:line="68" w:lineRule="exact"/>
        <w:rPr>
          <w:rFonts w:ascii="Times New Roman" w:cs="Times New Roman" w:eastAsia="Times New Roman" w:hAnsi="Times New Roman"/>
          <w:sz w:val="18"/>
          <w:szCs w:val="18"/>
          <w:color w:val="auto"/>
        </w:rPr>
      </w:pPr>
    </w:p>
    <w:p>
      <w:pPr>
        <w:ind w:left="1000" w:right="619" w:hanging="348"/>
        <w:spacing w:after="0" w:line="26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GPUs: </w:t>
      </w:r>
      <w:r>
        <w:rPr>
          <w:rFonts w:ascii="Times New Roman" w:cs="Times New Roman" w:eastAsia="Times New Roman" w:hAnsi="Times New Roman"/>
          <w:sz w:val="18"/>
          <w:szCs w:val="18"/>
          <w:color w:val="auto"/>
        </w:rPr>
        <w:t>Graphics processing units are a type of computing technology designed for parallel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can be used in a wide range of applications, including graphics and video rendering, gaming, creative production and AI.</w:t>
      </w:r>
    </w:p>
    <w:p>
      <w:pPr>
        <w:spacing w:after="0" w:line="62" w:lineRule="exact"/>
        <w:rPr>
          <w:rFonts w:ascii="Times New Roman" w:cs="Times New Roman" w:eastAsia="Times New Roman" w:hAnsi="Times New Roman"/>
          <w:sz w:val="18"/>
          <w:szCs w:val="18"/>
          <w:color w:val="auto"/>
        </w:rPr>
      </w:pPr>
    </w:p>
    <w:p>
      <w:pPr>
        <w:ind w:left="1000" w:right="579" w:hanging="348"/>
        <w:spacing w:after="0" w:line="28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To compute a function that takes an input, and then outputs an alphanumeric string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value”.</w:t>
      </w:r>
    </w:p>
    <w:p>
      <w:pPr>
        <w:spacing w:after="0" w:line="46"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The speed at which a miner can produce computations (hashes) using the Bitcoin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 expressed in hashes per second. The hashrate of all miners on a particular network is referred to as the global hashrate.</w:t>
      </w:r>
    </w:p>
    <w:p>
      <w:pPr>
        <w:spacing w:after="0" w:line="62" w:lineRule="exact"/>
        <w:rPr>
          <w:rFonts w:ascii="Times New Roman" w:cs="Times New Roman" w:eastAsia="Times New Roman" w:hAnsi="Times New Roman"/>
          <w:sz w:val="18"/>
          <w:szCs w:val="18"/>
          <w:color w:val="auto"/>
        </w:rPr>
      </w:pPr>
    </w:p>
    <w:p>
      <w:pPr>
        <w:ind w:left="1000" w:right="539" w:hanging="348"/>
        <w:spacing w:after="0" w:line="259"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w:t>
      </w:r>
      <w:r>
        <w:rPr>
          <w:rFonts w:ascii="Times New Roman" w:cs="Times New Roman" w:eastAsia="Times New Roman" w:hAnsi="Times New Roman"/>
          <w:sz w:val="18"/>
          <w:szCs w:val="18"/>
          <w:color w:val="auto"/>
        </w:rPr>
        <w:t>: High-performance computing, which refers to the aggregation of computing power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71" w:lineRule="exact"/>
        <w:rPr>
          <w:rFonts w:ascii="Times New Roman" w:cs="Times New Roman" w:eastAsia="Times New Roman" w:hAnsi="Times New Roman"/>
          <w:sz w:val="18"/>
          <w:szCs w:val="18"/>
          <w:color w:val="auto"/>
        </w:rPr>
      </w:pPr>
    </w:p>
    <w:p>
      <w:pPr>
        <w:ind w:left="1000" w:right="819" w:hanging="348"/>
        <w:spacing w:after="0" w:line="26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Individuals or entities who operate a computer or group of computers that compete to 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Bitcoin miners who successfully mine Blocks are rewarded with new Bitcoin as well as any transaction fees.</w:t>
      </w:r>
    </w:p>
    <w:p>
      <w:pPr>
        <w:spacing w:after="0" w:line="62" w:lineRule="exact"/>
        <w:rPr>
          <w:rFonts w:ascii="Times New Roman" w:cs="Times New Roman" w:eastAsia="Times New Roman" w:hAnsi="Times New Roman"/>
          <w:sz w:val="18"/>
          <w:szCs w:val="18"/>
          <w:color w:val="auto"/>
        </w:rPr>
      </w:pPr>
    </w:p>
    <w:p>
      <w:pPr>
        <w:ind w:left="1000" w:right="359" w:hanging="348"/>
        <w:spacing w:after="0" w:line="28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The process by which new Bitcoin Blocks are created, and thus new transactions are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 in the Bitcoin Network.</w:t>
      </w:r>
    </w:p>
    <w:p>
      <w:pPr>
        <w:spacing w:after="0" w:line="46" w:lineRule="exact"/>
        <w:rPr>
          <w:rFonts w:ascii="Times New Roman" w:cs="Times New Roman" w:eastAsia="Times New Roman" w:hAnsi="Times New Roman"/>
          <w:sz w:val="18"/>
          <w:szCs w:val="18"/>
          <w:color w:val="auto"/>
        </w:rPr>
      </w:pPr>
    </w:p>
    <w:p>
      <w:pPr>
        <w:ind w:left="1000" w:right="379" w:hanging="348"/>
        <w:spacing w:after="0" w:line="259"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pools</w:t>
      </w:r>
      <w:r>
        <w:rPr>
          <w:rFonts w:ascii="Times New Roman" w:cs="Times New Roman" w:eastAsia="Times New Roman" w:hAnsi="Times New Roman"/>
          <w:sz w:val="18"/>
          <w:szCs w:val="18"/>
          <w:color w:val="auto"/>
        </w:rPr>
        <w:t>: Mining pools are platforms for miners to contribute their hashrate in exchange for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w:t>
      </w:r>
      <w:r>
        <w:rPr>
          <w:rFonts w:ascii="Times New Roman" w:cs="Times New Roman" w:eastAsia="Times New Roman" w:hAnsi="Times New Roman"/>
          <w:sz w:val="18"/>
          <w:szCs w:val="18"/>
          <w:color w:val="auto"/>
        </w:rPr>
        <w:t>: Renewable Energy Certificate.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33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79336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20" w:right="27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supplement or incorporated by reference in this prospectus supplement. This summary may not contain all the information that may be important to you, and we urge you to read this entire prospectus supplement and the accompanying prospectus and the documents incorporated by reference in this prospectus supplement carefully before deciding to invest in our securities.</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20" w:right="399" w:firstLine="36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next-generation data centers powered by 100% renewable energy (whether from clean or renewable energy sources or through the purchase of RECs). Our data centers are purpose-built for high performance computing and today support a combination of ASIC’s for Bitcoin mining and GPUs for AI workloads.</w:t>
      </w:r>
    </w:p>
    <w:p>
      <w:pPr>
        <w:spacing w:after="0" w:line="72" w:lineRule="exact"/>
        <w:rPr>
          <w:sz w:val="20"/>
          <w:szCs w:val="20"/>
          <w:color w:val="auto"/>
        </w:rPr>
      </w:pPr>
    </w:p>
    <w:p>
      <w:pPr>
        <w:jc w:val="both"/>
        <w:ind w:left="320" w:right="539" w:firstLine="360"/>
        <w:spacing w:after="0" w:line="266"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 dollars or Canadian dollars.</w:t>
      </w:r>
    </w:p>
    <w:p>
      <w:pPr>
        <w:spacing w:after="0" w:line="68"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We have been mining Bitcoin since 2019. We typically liquidate all the Bitcoin we mine daily and therefore did not have any Bitcoin held on our balance sheet as of March 31, 2024.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spacing w:after="0" w:line="75"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We are also pursuing a strategy to diversify our revenue streams into new markets. In June 2023, we announced that we have revitalized our strategy of developing HPC solutions, which currently is targeted at delivering AI Cloud Services.</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 and Corporate Information</w:t>
      </w:r>
    </w:p>
    <w:p>
      <w:pPr>
        <w:spacing w:after="0" w:line="121"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Our principal executive offices are located at Level 12, 44 Market Street, Sydney, Australia, and our telephone number is +61 2 7906 8301. We maintain a website at https://iren.com. Information on our website is not incorporated by reference into or otherwise part of this prospectus supplement.</w:t>
      </w:r>
    </w:p>
    <w:p>
      <w:pPr>
        <w:spacing w:after="0" w:line="333" w:lineRule="exact"/>
        <w:rPr>
          <w:sz w:val="20"/>
          <w:szCs w:val="20"/>
          <w:color w:val="auto"/>
        </w:rPr>
      </w:pPr>
    </w:p>
    <w:p>
      <w:pPr>
        <w:ind w:left="320" w:right="235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Implications of Being an Emerging Growth Company and a Foreign Private Issuer </w:t>
      </w:r>
      <w:r>
        <w:rPr>
          <w:rFonts w:ascii="Times New Roman" w:cs="Times New Roman" w:eastAsia="Times New Roman" w:hAnsi="Times New Roman"/>
          <w:sz w:val="18"/>
          <w:szCs w:val="18"/>
          <w:b w:val="1"/>
          <w:bCs w:val="1"/>
          <w:i w:val="1"/>
          <w:iCs w:val="1"/>
          <w:color w:val="auto"/>
        </w:rPr>
        <w:t>Emerging Growth Company</w:t>
      </w:r>
    </w:p>
    <w:p>
      <w:pPr>
        <w:spacing w:after="0" w:line="1" w:lineRule="exact"/>
        <w:rPr>
          <w:sz w:val="20"/>
          <w:szCs w:val="20"/>
          <w:color w:val="auto"/>
        </w:rPr>
      </w:pPr>
    </w:p>
    <w:p>
      <w:pPr>
        <w:ind w:left="320" w:right="459" w:firstLine="360"/>
        <w:spacing w:after="0" w:line="277" w:lineRule="auto"/>
        <w:rPr>
          <w:sz w:val="20"/>
          <w:szCs w:val="20"/>
          <w:color w:val="auto"/>
        </w:rPr>
      </w:pPr>
      <w:r>
        <w:rPr>
          <w:rFonts w:ascii="Times New Roman" w:cs="Times New Roman" w:eastAsia="Times New Roman" w:hAnsi="Times New Roman"/>
          <w:sz w:val="17"/>
          <w:szCs w:val="17"/>
          <w:color w:val="auto"/>
        </w:rPr>
        <w:t>As a company with less than $1.235 billion in revenue during our last fiscal year, we qualify as an “emerging growth company” as defined in the Jumpstart Our Business Startups Act of 2012 (“JOBS Act”). For so long as we remain an emerging growth company, we are eligible to utilize the following provisions of the JOBS Act that contain exceptions from disclosure and other requirements that otherwise are applicable to companies that conduct initial public offerings and file periodic reports with the SEC. These provisions include, but are not limited to:</w:t>
      </w:r>
    </w:p>
    <w:p>
      <w:pPr>
        <w:spacing w:after="0" w:line="60" w:lineRule="exact"/>
        <w:rPr>
          <w:sz w:val="20"/>
          <w:szCs w:val="20"/>
          <w:color w:val="auto"/>
        </w:rPr>
      </w:pPr>
    </w:p>
    <w:p>
      <w:pPr>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SOX, the assessment of our internal control over financial reporting, which would otherwise be applicable beginning with the second annual report following the effectiveness of this registration statement;</w:t>
      </w:r>
    </w:p>
    <w:p>
      <w:pPr>
        <w:spacing w:after="0" w:line="67" w:lineRule="exact"/>
        <w:rPr>
          <w:rFonts w:ascii="Times New Roman" w:cs="Times New Roman" w:eastAsia="Times New Roman" w:hAnsi="Times New Roman"/>
          <w:sz w:val="18"/>
          <w:szCs w:val="18"/>
          <w:color w:val="auto"/>
        </w:rPr>
      </w:pPr>
    </w:p>
    <w:p>
      <w:pPr>
        <w:ind w:left="1020" w:right="33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 supplement; and</w:t>
      </w:r>
    </w:p>
    <w:p>
      <w:pPr>
        <w:spacing w:after="0" w:line="53" w:lineRule="exact"/>
        <w:rPr>
          <w:rFonts w:ascii="Times New Roman" w:cs="Times New Roman" w:eastAsia="Times New Roman" w:hAnsi="Times New Roman"/>
          <w:sz w:val="18"/>
          <w:szCs w:val="18"/>
          <w:color w:val="auto"/>
        </w:rPr>
      </w:pPr>
    </w:p>
    <w:p>
      <w:pPr>
        <w:ind w:left="1020" w:right="41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82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7882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first to occur of (i) June 30, 2027, (ii) the last day of the fiscal year in which we have total annual gross revenue of at least $1.235 billion or (iii) the last day of the fiscal in which we are deemed to be a “large accelerated filer,” as defined in the Securities Exchange Act of 1934, as amended (the “Exchange Act”), which means the market value of our ordinary shares that are held by non-affiliates exceeds $700 million as of the last business day of the second financial quarter of such financial year; or, if it occurs before any of the foregoing dates, the date on which we have issued more than $1 billion in non-convertible debt over a three-year period.</w:t>
      </w:r>
    </w:p>
    <w:p>
      <w:pPr>
        <w:spacing w:after="0" w:line="81"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color w:val="auto"/>
        </w:rPr>
        <w:t>We have elected to utilize certain of the reduced disclosure obligations in this prospectus supplement and may elect to utilize other reduced reporting requirements in our future filings with the SEC. As a result, the information that we provide to our shareholders may be different than what you might receive from other public reporting companies in which you hold equity interests.</w:t>
      </w:r>
    </w:p>
    <w:p>
      <w:pPr>
        <w:spacing w:after="0" w:line="72" w:lineRule="exact"/>
        <w:rPr>
          <w:sz w:val="20"/>
          <w:szCs w:val="20"/>
          <w:color w:val="auto"/>
        </w:rPr>
      </w:pPr>
    </w:p>
    <w:p>
      <w:pPr>
        <w:ind w:left="320" w:right="439" w:firstLine="360"/>
        <w:spacing w:after="0" w:line="256" w:lineRule="auto"/>
        <w:rPr>
          <w:sz w:val="20"/>
          <w:szCs w:val="20"/>
          <w:color w:val="auto"/>
        </w:rPr>
      </w:pPr>
      <w:r>
        <w:rPr>
          <w:rFonts w:ascii="Times New Roman" w:cs="Times New Roman" w:eastAsia="Times New Roman" w:hAnsi="Times New Roman"/>
          <w:sz w:val="18"/>
          <w:szCs w:val="18"/>
          <w:color w:val="auto"/>
        </w:rPr>
        <w:t>Under Section 107(b) of the JOBS Act, emerging growth companies can delay adopting new or revised accounting standards until such time as those standards apply to private companies. Given that we currently report and expect to continue to report under the International Financial Reporting Standards (“IFRS”) as issued by the International Accounting Standards Board (“IASB”), we will not be able to avail ourselves of this extended transition period and, as a result, we will adopt new or revised accounting standards on the relevant dates on which adoption of such standards is required by the IASB.</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121" w:lineRule="exact"/>
        <w:rPr>
          <w:sz w:val="20"/>
          <w:szCs w:val="20"/>
          <w:color w:val="auto"/>
        </w:rPr>
      </w:pPr>
    </w:p>
    <w:p>
      <w:pPr>
        <w:ind w:left="320" w:right="659" w:firstLine="360"/>
        <w:spacing w:after="0" w:line="266"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SEC, including:</w:t>
      </w:r>
    </w:p>
    <w:p>
      <w:pPr>
        <w:spacing w:after="0" w:line="68" w:lineRule="exact"/>
        <w:rPr>
          <w:sz w:val="20"/>
          <w:szCs w:val="20"/>
          <w:color w:val="auto"/>
        </w:rPr>
      </w:pPr>
    </w:p>
    <w:p>
      <w:pPr>
        <w:ind w:left="1020" w:right="8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7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55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68"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also permitted to follow home country corporate governance practices instead of certain corporate governance practices required by the Nasdaq for U.S. domestic issuers. While we intend to follow most Nasdaq corporate governance listing standards, we currently follow Australian law for certain corporate governance practices in lieu of Nasdaq corporate governance listing standards as follows:</w:t>
      </w:r>
    </w:p>
    <w:p>
      <w:pPr>
        <w:spacing w:after="0" w:line="72" w:lineRule="exact"/>
        <w:rPr>
          <w:sz w:val="20"/>
          <w:szCs w:val="20"/>
          <w:color w:val="auto"/>
        </w:rPr>
      </w:pPr>
    </w:p>
    <w:p>
      <w:pPr>
        <w:ind w:left="1020" w:right="61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a nominating and corporate governance committee composed solely of independent members of the board of directors;</w:t>
      </w:r>
    </w:p>
    <w:p>
      <w:pPr>
        <w:spacing w:after="0" w:line="53" w:lineRule="exact"/>
        <w:rPr>
          <w:rFonts w:ascii="Times New Roman" w:cs="Times New Roman" w:eastAsia="Times New Roman" w:hAnsi="Times New Roman"/>
          <w:sz w:val="18"/>
          <w:szCs w:val="18"/>
          <w:color w:val="auto"/>
        </w:rPr>
      </w:pPr>
    </w:p>
    <w:p>
      <w:pPr>
        <w:ind w:left="1020" w:right="73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quorum requirements applicable to meetings of shareholders under Nasdaq rules. In accordance with generally accepted business practice and Australian law, our Constitution provides quorum requirements that are generally applicable to meetings of shareholders under Australian law;</w:t>
      </w:r>
    </w:p>
    <w:p>
      <w:pPr>
        <w:spacing w:after="0" w:line="67" w:lineRule="exact"/>
        <w:rPr>
          <w:rFonts w:ascii="Times New Roman" w:cs="Times New Roman" w:eastAsia="Times New Roman" w:hAnsi="Times New Roman"/>
          <w:sz w:val="18"/>
          <w:szCs w:val="18"/>
          <w:color w:val="auto"/>
        </w:rPr>
      </w:pPr>
    </w:p>
    <w:p>
      <w:pPr>
        <w:ind w:left="1020" w:right="339" w:hanging="350"/>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corporate governance listing standards, as permitted by the foreign private issuer exemption; and</w:t>
      </w:r>
    </w:p>
    <w:p>
      <w:pPr>
        <w:spacing w:after="0" w:line="75" w:lineRule="exact"/>
        <w:rPr>
          <w:rFonts w:ascii="Times New Roman" w:cs="Times New Roman" w:eastAsia="Times New Roman" w:hAnsi="Times New Roman"/>
          <w:sz w:val="18"/>
          <w:szCs w:val="18"/>
          <w:color w:val="auto"/>
        </w:rPr>
      </w:pPr>
    </w:p>
    <w:p>
      <w:pPr>
        <w:ind w:left="1020" w:right="93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4" w:lineRule="exact"/>
        <w:rPr>
          <w:sz w:val="20"/>
          <w:szCs w:val="20"/>
          <w:color w:val="auto"/>
        </w:rPr>
      </w:pPr>
    </w:p>
    <w:p>
      <w:pPr>
        <w:jc w:val="both"/>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We currently intend to take all actions necessary for us to maintain compliance as a foreign private issuer under the applicable corporate governance requirements of the Sarbanes-Oxley Act, the rules adopted by the SEC and the Nasdaq corporate governance rules and listing standards.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084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40849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19" w:firstLine="360"/>
        <w:spacing w:after="0" w:line="261" w:lineRule="auto"/>
        <w:rPr>
          <w:sz w:val="20"/>
          <w:szCs w:val="20"/>
          <w:color w:val="auto"/>
        </w:rPr>
      </w:pPr>
      <w:r>
        <w:rPr>
          <w:rFonts w:ascii="Times New Roman" w:cs="Times New Roman" w:eastAsia="Times New Roman" w:hAnsi="Times New Roman"/>
          <w:sz w:val="18"/>
          <w:szCs w:val="18"/>
          <w:color w:val="auto"/>
        </w:rPr>
        <w:t>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72" w:lineRule="exact"/>
        <w:rPr>
          <w:sz w:val="20"/>
          <w:szCs w:val="20"/>
          <w:color w:val="auto"/>
        </w:rPr>
      </w:pPr>
    </w:p>
    <w:p>
      <w:pPr>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We may utilize these exemptions until such time as we are no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75"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75" w:lineRule="exact"/>
        <w:rPr>
          <w:sz w:val="20"/>
          <w:szCs w:val="20"/>
          <w:color w:val="auto"/>
        </w:rPr>
      </w:pPr>
    </w:p>
    <w:p>
      <w:pPr>
        <w:ind w:left="320" w:right="43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supplement and in the documents incorporated by reference in this prospectus supplement, we have taken advantage of certain of the reduced reporting requirements as a result of being a foreign private issuer. Accordingly, the information contained in this prospectus supplement and in the documents incorporated by reference in this prospectus supplement may be different than the information you receive from other public companies in which you hold securities.</w:t>
      </w:r>
    </w:p>
    <w:p>
      <w:pPr>
        <w:spacing w:after="0" w:line="75"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For additional information, see “Item 3.D. Key Information—Risk Factors—Risks Related to Being a Foreign Private Issuer—As a foreign private issuer, we are exempt from a number of rules under the U.S. securities laws and are permitted to file less information with the SEC than a U.S. company” and “Item 3.D. Key Information—Risk Factors—General Risk Factors—We are an “emerging growth company” under the JOBS Act and will avail ourselves of reduced disclosure requirements applicable to emerging growth companies” in our Annual Report on Form 20-F, incorporated herein by reference.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9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17" w:lineRule="exact"/>
        <w:rPr>
          <w:sz w:val="20"/>
          <w:szCs w:val="20"/>
          <w:color w:val="auto"/>
        </w:rPr>
      </w:pPr>
    </w:p>
    <w:p>
      <w:pPr>
        <w:ind w:left="320" w:right="57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Investing in our ordinary shares involves a high degree of risk. You should consider carefully the risk factors described in this prospectus supplement under “Risk Factors” as well as those contained in our most recent Annual Report on Form 20-F, and any updates to those risks in our Reports on Form 6-K, in each case incorporated by reference herein, together with all of the other information appearing or incorporated by reference herein. Among these important risks are risks associated with the following:</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121" w:lineRule="exact"/>
        <w:rPr>
          <w:sz w:val="20"/>
          <w:szCs w:val="20"/>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future dilution as a result of future equity offerings.</w:t>
      </w:r>
    </w:p>
    <w:p>
      <w:pPr>
        <w:spacing w:after="0" w:line="117" w:lineRule="exact"/>
        <w:rPr>
          <w:rFonts w:ascii="Times New Roman" w:cs="Times New Roman" w:eastAsia="Times New Roman" w:hAnsi="Times New Roman"/>
          <w:sz w:val="18"/>
          <w:szCs w:val="18"/>
          <w:color w:val="auto"/>
        </w:rPr>
      </w:pPr>
    </w:p>
    <w:p>
      <w:pPr>
        <w:ind w:left="1020" w:right="85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number of ordinary shares we will sell under the sales agreement and the resulting gross proceeds is uncertain.</w:t>
      </w:r>
    </w:p>
    <w:p>
      <w:pPr>
        <w:spacing w:after="0" w:line="53" w:lineRule="exact"/>
        <w:rPr>
          <w:rFonts w:ascii="Times New Roman" w:cs="Times New Roman" w:eastAsia="Times New Roman" w:hAnsi="Times New Roman"/>
          <w:sz w:val="18"/>
          <w:szCs w:val="18"/>
          <w:color w:val="auto"/>
        </w:rPr>
      </w:pPr>
    </w:p>
    <w:p>
      <w:pPr>
        <w:ind w:left="1020" w:right="87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offered in this offering will be sold in “at the market offerings.” Investors who purchase our ordinary shares in this offering at different times will likely pay different prices.</w:t>
      </w:r>
    </w:p>
    <w:p>
      <w:pPr>
        <w:spacing w:after="0" w:line="53" w:lineRule="exact"/>
        <w:rPr>
          <w:rFonts w:ascii="Times New Roman" w:cs="Times New Roman" w:eastAsia="Times New Roman" w:hAnsi="Times New Roman"/>
          <w:sz w:val="18"/>
          <w:szCs w:val="18"/>
          <w:color w:val="auto"/>
        </w:rPr>
      </w:pPr>
    </w:p>
    <w:p>
      <w:pPr>
        <w:ind w:left="1020" w:right="51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a substantial number of our ordinary shares or the possibility that such sales could occur, could adversely affect the market price of our ordinary shares.</w:t>
      </w:r>
    </w:p>
    <w:p>
      <w:pPr>
        <w:spacing w:after="0" w:line="53" w:lineRule="exact"/>
        <w:rPr>
          <w:rFonts w:ascii="Times New Roman" w:cs="Times New Roman" w:eastAsia="Times New Roman" w:hAnsi="Times New Roman"/>
          <w:sz w:val="18"/>
          <w:szCs w:val="18"/>
          <w:color w:val="auto"/>
        </w:rPr>
      </w:pPr>
    </w:p>
    <w:p>
      <w:pPr>
        <w:ind w:left="1020" w:right="77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we may not use them effectively.</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Ordinary Shares</w:t>
      </w:r>
    </w:p>
    <w:p>
      <w:pPr>
        <w:spacing w:after="0" w:line="121" w:lineRule="exact"/>
        <w:rPr>
          <w:sz w:val="20"/>
          <w:szCs w:val="20"/>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may be highly volatile.</w:t>
      </w:r>
    </w:p>
    <w:p>
      <w:pPr>
        <w:spacing w:after="0" w:line="3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121" w:lineRule="exact"/>
        <w:rPr>
          <w:sz w:val="20"/>
          <w:szCs w:val="20"/>
          <w:color w:val="auto"/>
        </w:rPr>
      </w:pPr>
    </w:p>
    <w:p>
      <w:pPr>
        <w:ind w:left="1020" w:right="71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developments regarding the treatment of digital assets for U.S. federal income and foreign tax purposes could adversely impact our business.</w:t>
      </w:r>
    </w:p>
    <w:p>
      <w:pPr>
        <w:spacing w:after="0" w:line="53" w:lineRule="exact"/>
        <w:rPr>
          <w:rFonts w:ascii="Times New Roman" w:cs="Times New Roman" w:eastAsia="Times New Roman" w:hAnsi="Times New Roman"/>
          <w:sz w:val="18"/>
          <w:szCs w:val="18"/>
          <w:color w:val="auto"/>
        </w:rPr>
      </w:pPr>
    </w:p>
    <w:p>
      <w:pPr>
        <w:ind w:left="1020" w:right="57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tax laws could materially adversely affect our company and reduce net returns to our shareholders.</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21" w:lineRule="exact"/>
        <w:rPr>
          <w:sz w:val="20"/>
          <w:szCs w:val="20"/>
          <w:color w:val="auto"/>
        </w:rPr>
      </w:pPr>
    </w:p>
    <w:p>
      <w:pPr>
        <w:ind w:left="1020" w:right="3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operating losses as the business has grown. If we cannot sustain greater revenues than our operating costs, we will incur operating losses, which could adversely impact our operations, strategy and financial performance.</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evolving business model and strategy.</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focus on HPC solutions (including AI Cloud Services) may not be successful and may result in adverse consequences to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020" w:right="45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operating plans and expansion plans may be delayed or change in light of evolving market conditions and several other factors.</w:t>
      </w:r>
    </w:p>
    <w:p>
      <w:pPr>
        <w:spacing w:after="0" w:line="53" w:lineRule="exact"/>
        <w:rPr>
          <w:rFonts w:ascii="Times New Roman" w:cs="Times New Roman" w:eastAsia="Times New Roman" w:hAnsi="Times New Roman"/>
          <w:sz w:val="18"/>
          <w:szCs w:val="18"/>
          <w:color w:val="auto"/>
        </w:rPr>
      </w:pPr>
    </w:p>
    <w:p>
      <w:pPr>
        <w:ind w:left="1020" w:right="5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raise additional capital needed to fulfill our capital or liquidity needs or grow our business and achieve expansion plans.</w:t>
      </w:r>
    </w:p>
    <w:p>
      <w:pPr>
        <w:spacing w:after="0" w:line="53" w:lineRule="exact"/>
        <w:rPr>
          <w:rFonts w:ascii="Times New Roman" w:cs="Times New Roman" w:eastAsia="Times New Roman" w:hAnsi="Times New Roman"/>
          <w:sz w:val="18"/>
          <w:szCs w:val="18"/>
          <w:color w:val="auto"/>
        </w:rPr>
      </w:pPr>
    </w:p>
    <w:p>
      <w:pPr>
        <w:ind w:left="1020" w:right="75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limited recourse wholly-owned subsidiaries have defaulted on equipment financing agreements and are subject to bankruptcy proceedings and legal action by the lender, and we may be exposed to claims in connection with such proceedings.</w:t>
      </w:r>
    </w:p>
    <w:p>
      <w:pPr>
        <w:spacing w:after="0" w:line="67" w:lineRule="exact"/>
        <w:rPr>
          <w:rFonts w:ascii="Times New Roman" w:cs="Times New Roman" w:eastAsia="Times New Roman" w:hAnsi="Times New Roman"/>
          <w:sz w:val="18"/>
          <w:szCs w:val="18"/>
          <w:color w:val="auto"/>
        </w:rPr>
      </w:pPr>
    </w:p>
    <w:p>
      <w:pPr>
        <w:ind w:left="1020" w:right="81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will depend significantly on the price of Bitcoin, which is subject to risk and has historically been subject to significant price volatility, as well as a number of other factors.</w:t>
      </w:r>
    </w:p>
    <w:p>
      <w:pPr>
        <w:spacing w:after="0" w:line="53" w:lineRule="exact"/>
        <w:rPr>
          <w:rFonts w:ascii="Times New Roman" w:cs="Times New Roman" w:eastAsia="Times New Roman" w:hAnsi="Times New Roman"/>
          <w:sz w:val="18"/>
          <w:szCs w:val="18"/>
          <w:color w:val="auto"/>
        </w:rPr>
      </w:pPr>
    </w:p>
    <w:p>
      <w:pPr>
        <w:jc w:val="both"/>
        <w:ind w:left="1020" w:right="47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a small number of digital asset mining equipment suppliers. Failure of our suppliers to perform under the relevant supply contracts, or of our ability to fulfill our obligations thereunder, could materially impact our operating results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076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70764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319" w:hanging="350"/>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electricity outage, limitation of electricity supply or increase in electricity costs may result in material impacts to our operations and financial performance.</w:t>
      </w:r>
    </w:p>
    <w:p>
      <w:pPr>
        <w:spacing w:after="0" w:line="53" w:lineRule="exact"/>
        <w:rPr>
          <w:rFonts w:ascii="Times New Roman" w:cs="Times New Roman" w:eastAsia="Times New Roman" w:hAnsi="Times New Roman"/>
          <w:sz w:val="18"/>
          <w:szCs w:val="18"/>
          <w:color w:val="auto"/>
        </w:rPr>
      </w:pPr>
    </w:p>
    <w:p>
      <w:pPr>
        <w:ind w:left="1020" w:right="299" w:hanging="350"/>
        <w:spacing w:after="0" w:line="312"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environmental, health and safety incidents including due to climate change, severe weather conditions and man-made disasters, may result in material impacts to our operations and financial performance.</w:t>
      </w: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Bitcoin</w:t>
      </w:r>
    </w:p>
    <w:p>
      <w:pPr>
        <w:spacing w:after="0" w:line="121" w:lineRule="exact"/>
        <w:rPr>
          <w:sz w:val="20"/>
          <w:szCs w:val="20"/>
          <w:color w:val="auto"/>
        </w:rPr>
      </w:pPr>
    </w:p>
    <w:p>
      <w:pPr>
        <w:ind w:left="1020" w:right="319" w:hanging="350"/>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digital asset networks such as Bitcoin from proof-of-work mining algorithms to proof-of-stake validation may significantly impact the value of our capital expenditures and investments in machines and real property to support proof-of-work mining, which could make us less competitive and ultimately adversely affect our business and the value of our ordinary shares.</w:t>
      </w:r>
    </w:p>
    <w:p>
      <w:pPr>
        <w:spacing w:after="0" w:line="71" w:lineRule="exact"/>
        <w:rPr>
          <w:rFonts w:ascii="Times New Roman" w:cs="Times New Roman" w:eastAsia="Times New Roman" w:hAnsi="Times New Roman"/>
          <w:sz w:val="18"/>
          <w:szCs w:val="18"/>
          <w:color w:val="auto"/>
        </w:rPr>
      </w:pPr>
    </w:p>
    <w:p>
      <w:pPr>
        <w:ind w:left="1020" w:right="899" w:hanging="350"/>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of additional Bitcoin mining capacity from competing Bitcoin miners, which would increase the global hashrate and decrease our effective market share.</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is a form of technology which may become redundant or obsolete in the future.</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Third-Parties</w:t>
      </w:r>
    </w:p>
    <w:p>
      <w:pPr>
        <w:spacing w:after="0" w:line="121" w:lineRule="exact"/>
        <w:rPr>
          <w:sz w:val="20"/>
          <w:szCs w:val="20"/>
          <w:color w:val="auto"/>
        </w:rPr>
      </w:pPr>
    </w:p>
    <w:p>
      <w:pPr>
        <w:ind w:left="1020" w:right="419" w:hanging="350"/>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insurance providers and other counterparties may fail, may not provide relevant goods and services including bank accounts, or may cut off certain banking or other goods and services, including to digital assets investors or businesses that engage in Bitcoin-related activities or that accept Bitcoin as payment.</w:t>
      </w:r>
    </w:p>
    <w:p>
      <w:pPr>
        <w:spacing w:after="0" w:line="71" w:lineRule="exact"/>
        <w:rPr>
          <w:rFonts w:ascii="Times New Roman" w:cs="Times New Roman" w:eastAsia="Times New Roman" w:hAnsi="Times New Roman"/>
          <w:sz w:val="18"/>
          <w:szCs w:val="18"/>
          <w:color w:val="auto"/>
        </w:rPr>
      </w:pPr>
    </w:p>
    <w:p>
      <w:pPr>
        <w:ind w:left="1020" w:right="319" w:hanging="350"/>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Regulations and Regulatory Frameworks</w:t>
      </w:r>
    </w:p>
    <w:p>
      <w:pPr>
        <w:spacing w:after="0" w:line="121" w:lineRule="exact"/>
        <w:rPr>
          <w:sz w:val="20"/>
          <w:szCs w:val="20"/>
          <w:color w:val="auto"/>
        </w:rPr>
      </w:pPr>
    </w:p>
    <w:p>
      <w:pPr>
        <w:ind w:left="1020" w:right="799" w:hanging="350"/>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regarding digital asset mining is in flux, and we may become subject to changes to and/or additional laws and regulations that may limit our ability to operate.</w:t>
      </w:r>
    </w:p>
    <w:p>
      <w:pPr>
        <w:spacing w:after="0" w:line="53" w:lineRule="exact"/>
        <w:rPr>
          <w:rFonts w:ascii="Times New Roman" w:cs="Times New Roman" w:eastAsia="Times New Roman" w:hAnsi="Times New Roman"/>
          <w:sz w:val="18"/>
          <w:szCs w:val="18"/>
          <w:color w:val="auto"/>
        </w:rPr>
      </w:pPr>
    </w:p>
    <w:p>
      <w:pPr>
        <w:ind w:left="1020" w:right="399" w:hanging="350"/>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condition may be materially adversely affected by changes to and/or increased regulation of energy sources.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Being a Foreign Private Issuer</w:t>
      </w:r>
    </w:p>
    <w:p>
      <w:pPr>
        <w:spacing w:after="0" w:line="121" w:lineRule="exact"/>
        <w:rPr>
          <w:sz w:val="20"/>
          <w:szCs w:val="20"/>
          <w:color w:val="auto"/>
        </w:rPr>
      </w:pPr>
    </w:p>
    <w:p>
      <w:pPr>
        <w:ind w:left="1020" w:right="1059" w:hanging="350"/>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report our financial results under IFRS, which differs from U.S. generally accepted accounting principles, or U.S. GAAP.</w:t>
      </w:r>
    </w:p>
    <w:p>
      <w:pPr>
        <w:spacing w:after="0" w:line="53" w:lineRule="exact"/>
        <w:rPr>
          <w:rFonts w:ascii="Times New Roman" w:cs="Times New Roman" w:eastAsia="Times New Roman" w:hAnsi="Times New Roman"/>
          <w:sz w:val="18"/>
          <w:szCs w:val="18"/>
          <w:color w:val="auto"/>
        </w:rPr>
      </w:pPr>
    </w:p>
    <w:p>
      <w:pPr>
        <w:ind w:left="1020" w:right="519" w:hanging="350"/>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exempt from a number of rules under the U.S. securities laws and are permitted to file less information with the SEC than a U.S. company.</w:t>
      </w:r>
    </w:p>
    <w:p>
      <w:pPr>
        <w:spacing w:after="0" w:line="53" w:lineRule="exact"/>
        <w:rPr>
          <w:rFonts w:ascii="Times New Roman" w:cs="Times New Roman" w:eastAsia="Times New Roman" w:hAnsi="Times New Roman"/>
          <w:sz w:val="18"/>
          <w:szCs w:val="18"/>
          <w:color w:val="auto"/>
        </w:rPr>
      </w:pPr>
    </w:p>
    <w:p>
      <w:pPr>
        <w:ind w:left="1020" w:right="37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Australian public company with limited liability. The rights of our shareholders may be different from the rights of shareholders in companies governed by the laws of U.S. jurisdictions and may not protect investors in the same similar fashion afforded by incorporation in a U.S. jurisdiction.</w:t>
      </w:r>
    </w:p>
    <w:p>
      <w:pPr>
        <w:spacing w:after="0" w:line="68" w:lineRule="exact"/>
        <w:rPr>
          <w:sz w:val="20"/>
          <w:szCs w:val="20"/>
          <w:color w:val="auto"/>
        </w:rPr>
      </w:pPr>
    </w:p>
    <w:p>
      <w:pPr>
        <w:jc w:val="both"/>
        <w:ind w:left="320" w:right="439" w:firstLine="360"/>
        <w:spacing w:after="0" w:line="266" w:lineRule="auto"/>
        <w:rPr>
          <w:sz w:val="20"/>
          <w:szCs w:val="20"/>
          <w:color w:val="auto"/>
        </w:rPr>
      </w:pPr>
      <w:r>
        <w:rPr>
          <w:rFonts w:ascii="Times New Roman" w:cs="Times New Roman" w:eastAsia="Times New Roman" w:hAnsi="Times New Roman"/>
          <w:sz w:val="18"/>
          <w:szCs w:val="18"/>
          <w:color w:val="auto"/>
        </w:rPr>
        <w:t>Please see “Risk Factors” in our most recent Annual Report on Form 20-F and our other filings with the SEC, which are incorporated by reference herein, for a discussion of these and other factors you should consider before making an investment in our ordinary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833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58331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Ordinary shares offered by us</w:t>
      </w:r>
      <w:r>
        <w:rPr>
          <w:sz w:val="20"/>
          <w:szCs w:val="20"/>
          <w:color w:val="auto"/>
        </w:rPr>
        <w:tab/>
      </w:r>
      <w:r>
        <w:rPr>
          <w:rFonts w:ascii="Times New Roman" w:cs="Times New Roman" w:eastAsia="Times New Roman" w:hAnsi="Times New Roman"/>
          <w:sz w:val="17"/>
          <w:szCs w:val="17"/>
          <w:color w:val="auto"/>
        </w:rPr>
        <w:t>Ordinary shares having an aggregate offering price of up</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to $500,000,000. This offering is in addition to the</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$500 million previously registered on our Prior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Registration Statement. As of May 12, 2024, we have</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sold an aggregate of approximately $363,354,738 of</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ordinary shares pursuant to the sales agreement and the</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Prior Registration Statement, and we have an additional</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$136,645,262 remaining available for sale thereunder.</w:t>
      </w:r>
    </w:p>
    <w:p>
      <w:pPr>
        <w:sectPr>
          <w:pgSz w:w="11900" w:h="16838" w:orient="portrait"/>
          <w:cols w:equalWidth="0" w:num="1">
            <w:col w:w="9019"/>
          </w:cols>
          <w:pgMar w:left="1440" w:top="263" w:right="1440" w:bottom="1440" w:gutter="0" w:footer="0" w:header="0"/>
        </w:sectPr>
      </w:pPr>
    </w:p>
    <w:p>
      <w:pPr>
        <w:spacing w:after="0" w:line="135" w:lineRule="exact"/>
        <w:rPr>
          <w:sz w:val="20"/>
          <w:szCs w:val="20"/>
          <w:color w:val="auto"/>
        </w:rPr>
      </w:pPr>
    </w:p>
    <w:p>
      <w:pPr>
        <w:ind w:left="320" w:right="120"/>
        <w:spacing w:after="0" w:line="490" w:lineRule="auto"/>
        <w:rPr>
          <w:sz w:val="20"/>
          <w:szCs w:val="20"/>
          <w:color w:val="auto"/>
        </w:rPr>
      </w:pPr>
      <w:r>
        <w:rPr>
          <w:rFonts w:ascii="Times New Roman" w:cs="Times New Roman" w:eastAsia="Times New Roman" w:hAnsi="Times New Roman"/>
          <w:sz w:val="18"/>
          <w:szCs w:val="18"/>
          <w:b w:val="1"/>
          <w:bCs w:val="1"/>
          <w:color w:val="auto"/>
        </w:rPr>
        <w:t>Ordinary shares outstanding as May 12, 2024 Plan of distribution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146,584,041 shares.</w:t>
      </w:r>
    </w:p>
    <w:p>
      <w:pPr>
        <w:spacing w:after="0" w:line="158"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or to the sales agents, as agent or principal. See “Plan of Distribution” on page S-</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of this prospectus supplement.</w:t>
      </w:r>
    </w:p>
    <w:p>
      <w:pPr>
        <w:spacing w:after="0" w:line="10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We currently intend to use the net proceeds from this</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offering, if any, to contribute to funding our growth</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initiatives (including, but not limited to, hardware</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purchases and acquisition and development of data</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center sites and facilities), and for working capital and</w:t>
            </w:r>
          </w:p>
        </w:tc>
      </w:tr>
      <w:tr>
        <w:trPr>
          <w:trHeight w:val="234"/>
        </w:trPr>
        <w:tc>
          <w:tcPr>
            <w:tcW w:w="2740" w:type="dxa"/>
            <w:vAlign w:val="bottom"/>
          </w:tcPr>
          <w:p>
            <w:pPr>
              <w:spacing w:after="0"/>
              <w:rPr>
                <w:sz w:val="20"/>
                <w:szCs w:val="20"/>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general corporate purposes. See “Use of Proceeds.”</w:t>
            </w:r>
          </w:p>
        </w:tc>
      </w:tr>
      <w:tr>
        <w:trPr>
          <w:trHeight w:val="33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9"/>
              </w:rPr>
              <w:t>Investing in our ordinary shares involves a high degree</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of risk. See the “Risk Factors” section beginning on</w:t>
            </w:r>
          </w:p>
        </w:tc>
      </w:tr>
      <w:tr>
        <w:trPr>
          <w:trHeight w:val="194"/>
        </w:trPr>
        <w:tc>
          <w:tcPr>
            <w:tcW w:w="2740" w:type="dxa"/>
            <w:vAlign w:val="bottom"/>
          </w:tcPr>
          <w:p>
            <w:pPr>
              <w:spacing w:after="0"/>
              <w:rPr>
                <w:sz w:val="16"/>
                <w:szCs w:val="16"/>
                <w:color w:val="auto"/>
              </w:rPr>
            </w:pPr>
          </w:p>
        </w:tc>
        <w:tc>
          <w:tcPr>
            <w:tcW w:w="5540" w:type="dxa"/>
            <w:vAlign w:val="bottom"/>
            <w:gridSpan w:val="3"/>
          </w:tcPr>
          <w:p>
            <w:pPr>
              <w:ind w:left="1580"/>
              <w:spacing w:after="0" w:line="194" w:lineRule="exact"/>
              <w:rPr>
                <w:sz w:val="20"/>
                <w:szCs w:val="20"/>
                <w:color w:val="auto"/>
              </w:rPr>
            </w:pPr>
            <w:r>
              <w:rPr>
                <w:rFonts w:ascii="Times New Roman" w:cs="Times New Roman" w:eastAsia="Times New Roman" w:hAnsi="Times New Roman"/>
                <w:sz w:val="18"/>
                <w:szCs w:val="18"/>
                <w:color w:val="auto"/>
              </w:rPr>
              <w:t>page S-</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of this prospectus supplement and in the</w:t>
            </w:r>
          </w:p>
        </w:tc>
      </w:tr>
      <w:tr>
        <w:trPr>
          <w:trHeight w:val="20"/>
        </w:trPr>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18"/>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9"/>
              </w:rPr>
              <w:t>documents incorporated by reference in this prospectus</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supplement and the accompanying prospectus for a</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discussion of factors you should consider before</w:t>
            </w:r>
          </w:p>
        </w:tc>
      </w:tr>
      <w:tr>
        <w:trPr>
          <w:trHeight w:val="234"/>
        </w:trPr>
        <w:tc>
          <w:tcPr>
            <w:tcW w:w="2740" w:type="dxa"/>
            <w:vAlign w:val="bottom"/>
          </w:tcPr>
          <w:p>
            <w:pPr>
              <w:spacing w:after="0"/>
              <w:rPr>
                <w:sz w:val="20"/>
                <w:szCs w:val="20"/>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deciding to invest in our ordinary shares.</w:t>
            </w:r>
          </w:p>
        </w:tc>
      </w:tr>
      <w:tr>
        <w:trPr>
          <w:trHeight w:val="405"/>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“IREN”</w:t>
            </w:r>
          </w:p>
        </w:tc>
      </w:tr>
    </w:tbl>
    <w:p>
      <w:pPr>
        <w:spacing w:after="0" w:line="90" w:lineRule="exact"/>
        <w:rPr>
          <w:sz w:val="20"/>
          <w:szCs w:val="20"/>
          <w:color w:val="auto"/>
        </w:rPr>
      </w:pPr>
    </w:p>
    <w:p>
      <w:pPr>
        <w:ind w:left="320" w:right="699" w:firstLine="36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before and after this offering is based on 146,584,041 ordinary shares outstanding as of May 12, 2024, and excludes:</w:t>
      </w:r>
    </w:p>
    <w:p>
      <w:pPr>
        <w:spacing w:after="0" w:line="54" w:lineRule="exact"/>
        <w:rPr>
          <w:sz w:val="20"/>
          <w:szCs w:val="20"/>
          <w:color w:val="auto"/>
        </w:rPr>
      </w:pPr>
    </w:p>
    <w:p>
      <w:pPr>
        <w:ind w:left="1020" w:right="299" w:hanging="350"/>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8,906,839 ordinary shares issuable upon the exercise of options outstanding under our share issuance plans as of May 12, 2024, at a weighted-average exercise price of $41.93 per share; and</w:t>
      </w:r>
    </w:p>
    <w:p>
      <w:pPr>
        <w:spacing w:after="0" w:line="53" w:lineRule="exact"/>
        <w:rPr>
          <w:rFonts w:ascii="Times New Roman" w:cs="Times New Roman" w:eastAsia="Times New Roman" w:hAnsi="Times New Roman"/>
          <w:sz w:val="18"/>
          <w:szCs w:val="18"/>
          <w:color w:val="auto"/>
        </w:rPr>
      </w:pPr>
    </w:p>
    <w:p>
      <w:pPr>
        <w:ind w:left="1020" w:right="319" w:hanging="350"/>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6,616,342 ordinary shares issuable upon vesting of restricted share units outstanding under our Long-Term Incentive Plans as of May 12,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following risks and those in our then-most recent Annual Report on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ordinary shares. We cannot assure you that we will be able to sell ordinary shares or other securities in any other offering at a price per ordinary share that is equal to or greater than the price per ordinary share paid by investors in this offering, and investors purchasing ordinary shares or other securities in the future could have rights superior to existing shareholders. The price per ordinary share at which we sell additional ordinary shares or other securities convertible into or exchangeable for ordinary shares in future transactions may be higher or lower than the price per ordinary share in this offering.</w:t>
      </w:r>
    </w:p>
    <w:p>
      <w:pPr>
        <w:spacing w:after="0" w:line="185"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ordinary shares we will sell under the sales agreement and the resulting gross proceeds is uncertain.</w:t>
      </w:r>
    </w:p>
    <w:p>
      <w:pPr>
        <w:spacing w:after="0" w:line="51"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placement notice to the sales agents at any time throughout the term of the sales agreement. The number of ordinary shares that are sold by the sales agents after we deliver a placement notice will fluctuate based on the market price of our ordinary shares during the sales period and limits we set in the placement notice. Because the price per share sold will fluctuate based on the market price of our ordinary shares during the sales period, it is not possible to predict the number of ordinary shares that will be ultimately sold or the resulting gross proceeds.</w:t>
      </w:r>
    </w:p>
    <w:p>
      <w:pPr>
        <w:spacing w:after="0" w:line="169" w:lineRule="exact"/>
        <w:rPr>
          <w:sz w:val="20"/>
          <w:szCs w:val="20"/>
          <w:color w:val="auto"/>
        </w:rPr>
      </w:pPr>
    </w:p>
    <w:p>
      <w:pPr>
        <w:ind w:left="30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ordinary shares offered in this offering will be sold in “at the market offerings.” Investors who purchase our ordinary shares in this offering at different times will likely pay different prices.</w:t>
      </w:r>
    </w:p>
    <w:p>
      <w:pPr>
        <w:spacing w:after="0" w:line="5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Investors who purchase our ordinary shares in this offering at different times will likely pay different prices, and so may experience different outcomes in their investment results. We will have discretion, subject to market demand, to vary the timing, prices and numbers of ordinary shares sold, and subject to certain limitations in the sales agreement, there is no minimum or maximum sales price. For example, since September 26, 2023 through to</w:t>
      </w:r>
    </w:p>
    <w:p>
      <w:pPr>
        <w:spacing w:after="0" w:line="3"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May 12, 2024, we have sold 68,743,107 ordinary shares under the sales agreement at varying prices generating an aggregate of $363,354,738 in gross proceeds. Investors may experience a decline in the value of their ordinary shares and dilution as a result of sales made at prices lower than the prices they paid.</w:t>
      </w:r>
    </w:p>
    <w:p>
      <w:pPr>
        <w:spacing w:after="0" w:line="182"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our ordinary shares or the possibility that such sales could occur, could adversely affect the market price of our ordinary shares.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our ordinary shares at prices that may not be the same as the price per share in this offering. Additionally, the sale of a substantial number of ordinary shares pursuant to this offering, or the anticipation of such sales, could make it more difficult for us to sell equity or equity-related securities in the future at a time and at a price that we might otherwise wish to effect sales. For example, since September 26, 2023 through to May 12, 2024, we have sold 68,743,107 ordinary shares under the sales agreement at varying prices generating an aggregate of $363,354,738 in gross proceeds. We continue to monitor funding markets for opportunities to raise additional debt, equity or equity-linked capital (including potentially by registering additional ordinary shares for sale under the sales agreement) to fund further capital or liquidity needs, and growth plans. We may sell shares or other securities in any other offering at a price per share that is less than the price per share paid by investors in this offering, and investors purchasing shares or other securities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could have rights superior to existing shareholders. The price per share at which we sell additional ordinary shares, or securities convertible or exchangeable into our ordinary shares, in future transactions may be higher or lower than the price per share paid by investors in this offering.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highly volatile.</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In calendar year 2022, there was a significant downturn in the market price of Bitcoin and other digital assets, as well as many technology stocks including ours. The market price for our ordinary shares may be influenced by many factors, including:</w:t>
      </w:r>
    </w:p>
    <w:p>
      <w:pPr>
        <w:spacing w:after="0" w:line="81"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digital assets, in particular Bitcoin;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publicity, and market speculation involving us, our management, our competitors, or our industry;</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new products, services or solutions, capital raising initiatives, acquisitions, strategic partnerships, joint ventures, capital commitments, integrations or capabilities, technologies, or innovations by us or our competitors;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us or our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and overall market volatility, including resulting from COVID-19, war, incidents of terrorism, or responses to these events;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by us, our directors and officers, holders of our ordinary shares or our shareholders in the future, including pursuant to this offering, or the anticipation that such sales may occur in the future;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on the Nasdaq.</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foreign tax purposes could adversely impact our business.</w:t>
      </w:r>
    </w:p>
    <w:p>
      <w:pPr>
        <w:spacing w:after="0" w:line="51"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Due to the new and evolving nature of digital assets and the absence of comprehensive legal guidance with respect to digital asset products and transactions, many significant aspects of the U.S. federal income and foreign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tax treatment of transactions involving digital assets are uncertain, and it is unclear what guidance may be issued in the future on the treatment of digital asset transactions for U.S. federal income and foreign tax purposes.</w:t>
      </w:r>
    </w:p>
    <w:p>
      <w:pPr>
        <w:spacing w:after="0" w:line="54"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In 2014, the U.S. Internal Revenue Service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w:t>
      </w:r>
    </w:p>
    <w:p>
      <w:pPr>
        <w:spacing w:after="0" w:line="3" w:lineRule="exact"/>
        <w:rPr>
          <w:sz w:val="20"/>
          <w:szCs w:val="20"/>
          <w:color w:val="auto"/>
        </w:rPr>
      </w:pPr>
    </w:p>
    <w:p>
      <w:pPr>
        <w:ind w:left="300" w:right="299" w:hanging="8"/>
        <w:spacing w:after="0" w:line="252"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held as a capital asset. The IRS has subsequently released two revenue rulings and a set of “Frequently Asked Questions,” or the “Rulings &amp; FAQs,”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However, the IRS Notice and the Rulings &amp; FAQs do not address other significant aspects of the U.S. federal income tax treatment of digital assets and related transactions.</w:t>
      </w:r>
    </w:p>
    <w:p>
      <w:pPr>
        <w:spacing w:after="0" w:line="8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There can be no assurance that the IRS or other foreign tax authorities will not alter their existing positions with respect to digital assets in the future or that a court would uphold the treatment set forth in the IRS Notice and the Rulings &amp; FAQs.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recently released proposed regulations that would create new reporting requirements for digital assets, which may impose new requirements on us.</w:t>
      </w:r>
    </w:p>
    <w:p>
      <w:pPr>
        <w:spacing w:after="0" w:line="87"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Canadian government has modified its value added tax legislation specifically in relation to Canadian entities that are involved in Bitcoin-related activities and their associated suppliers. These legislative changes have the ability to eliminate the recovery of value added tax in Canada on inputs to our business. Any such unrecoverable value added tax may act to increase the cost of all inputs to our business in Canada including electricity, capital equipment, services and intellectual property acquired by our subsidiaries that operate in Canada. We are currently evaluating the application of this legislative change to IREN. We are currently subject to audits and an administrative appeal relating to Canadian value added tax credits, which could reduce the amount of certain input tax credits we are able to recover for certain historical periods as well as going forward.</w:t>
      </w:r>
    </w:p>
    <w:p>
      <w:pPr>
        <w:spacing w:after="0" w:line="188" w:lineRule="exact"/>
        <w:rPr>
          <w:sz w:val="20"/>
          <w:szCs w:val="20"/>
          <w:color w:val="auto"/>
        </w:rPr>
      </w:pPr>
    </w:p>
    <w:p>
      <w:pPr>
        <w:jc w:val="both"/>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for U.S. federal income tax purposes for the current taxable year and possibly subsequent taxable years, in which case U.S. investors will generally be subject to adverse U.S. federal income tax consequences.</w:t>
      </w:r>
    </w:p>
    <w:p>
      <w:pPr>
        <w:spacing w:after="0" w:line="6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6" w:lineRule="exact"/>
        <w:rPr>
          <w:sz w:val="20"/>
          <w:szCs w:val="20"/>
          <w:color w:val="auto"/>
        </w:rPr>
      </w:pPr>
    </w:p>
    <w:p>
      <w:pPr>
        <w:jc w:val="both"/>
        <w:ind w:left="300" w:right="699" w:firstLine="360"/>
        <w:spacing w:after="0" w:line="289" w:lineRule="auto"/>
        <w:rPr>
          <w:sz w:val="20"/>
          <w:szCs w:val="20"/>
          <w:color w:val="auto"/>
        </w:rPr>
      </w:pPr>
      <w:r>
        <w:rPr>
          <w:rFonts w:ascii="Times New Roman" w:cs="Times New Roman" w:eastAsia="Times New Roman" w:hAnsi="Times New Roman"/>
          <w:sz w:val="17"/>
          <w:szCs w:val="17"/>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holds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a “deemed sale” election is made. For further discussion of the PFIC rules and the adverse U.S. federal income tax consequences, see “Taxation—Material U.S. Federal Income Tax Considerations.”</w:t>
      </w:r>
    </w:p>
    <w:p>
      <w:pPr>
        <w:spacing w:after="0" w:line="183"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stock, such U.S. holder may be treated as a “United States shareholder” with respect to each “controlled foreign corporation” (“CFC”) in our group. Because our group includes U.S. subsidiaries, some or all of our non-U.S. subsidiaries will be treated as CFCs even if we are not a CFC. A United States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of a U.S. corporation. Failure to comply with CFC reporting obligations may subject a United States shareholder to significant monetary penalties.</w:t>
      </w:r>
    </w:p>
    <w:p>
      <w:pPr>
        <w:spacing w:after="0" w:line="86"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we will furnish to any United States shareholder information that may be necessary to comply with the reporting and taxpaying obligations applicable under the controlled foreign corporation rules of the Code. The IRS has provided limited guidance on situations in which investors may rely on publicly available information to comply with their reporting and taxpaying obligations with respect to foreign-controlled CFCs. U.S. holders should consult their tax advisers regarding the potential application of these rules to their investment in our ordinary shares.</w:t>
      </w:r>
    </w:p>
    <w:p>
      <w:pPr>
        <w:spacing w:after="0" w:line="183" w:lineRule="exact"/>
        <w:rPr>
          <w:sz w:val="20"/>
          <w:szCs w:val="20"/>
          <w:color w:val="auto"/>
        </w:rPr>
      </w:pPr>
    </w:p>
    <w:p>
      <w:pPr>
        <w:ind w:left="30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51"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from our interpretation may lead to an increase in our taxation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into this prospectus supplement contain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prospectus supplement and the documents incorporated by reference into this prospectus supplement,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spacing w:after="0" w:line="82"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and to diversify into the market for HPC solutions, and in particular any current or future AI Cloud Services we offer;</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AI Cloud Services;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or future AI Cloud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AI Cloud Services;</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AI Cloud Services, and other counterparties;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AI Cloud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AI Cloud Services we offer, on commercially reasonable terms or at all, and any delays or reductions in the supply of such hardware or increases in the cost of procuring such hardware;</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as well as hardware for other applications, including any current or future AI Cloud Services we offer);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(such as AI Cloud Services), including regulations related to data privacy, cybersecurity and the storage, use or processing of information;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(such as COVID-19)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environmental, social and governance issues or reporting;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being a public company; and</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disclosed under “Item 3.D.—Risk Factors” in our Annual Report on Form 20-F, incorporated herein by reference.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Because forward-looking</w:t>
      </w:r>
    </w:p>
    <w:p>
      <w:pPr>
        <w:spacing w:after="0" w:line="27" w:lineRule="exact"/>
        <w:rPr>
          <w:sz w:val="20"/>
          <w:szCs w:val="20"/>
          <w:color w:val="auto"/>
        </w:rPr>
      </w:pPr>
    </w:p>
    <w:p>
      <w:pPr>
        <w:ind w:left="300" w:right="599"/>
        <w:spacing w:after="0" w:line="265" w:lineRule="auto"/>
        <w:rPr>
          <w:sz w:val="20"/>
          <w:szCs w:val="20"/>
          <w:color w:val="auto"/>
        </w:rPr>
      </w:pPr>
      <w:r>
        <w:rPr>
          <w:rFonts w:ascii="Times New Roman" w:cs="Times New Roman" w:eastAsia="Times New Roman" w:hAnsi="Times New Roman"/>
          <w:sz w:val="17"/>
          <w:szCs w:val="17"/>
          <w:color w:val="auto"/>
        </w:rPr>
        <w:t>statements are inherently subject to risks and uncertainties,‎ some of which cannot be predicted or quantified and some of which are beyond our control, you ‎should not rely on these forward-looking statements as predictions of</w:t>
      </w:r>
    </w:p>
    <w:p>
      <w:pPr>
        <w:ind w:left="300" w:right="619"/>
        <w:spacing w:after="0" w:line="265" w:lineRule="auto"/>
        <w:rPr>
          <w:sz w:val="20"/>
          <w:szCs w:val="20"/>
          <w:color w:val="auto"/>
        </w:rPr>
      </w:pPr>
      <w:r>
        <w:rPr>
          <w:rFonts w:ascii="Times New Roman" w:cs="Times New Roman" w:eastAsia="Times New Roman" w:hAnsi="Times New Roman"/>
          <w:sz w:val="17"/>
          <w:szCs w:val="17"/>
          <w:color w:val="auto"/>
        </w:rPr>
        <w:t>future events. Moreover, we operate in an evolving‎ environment. New risk factors and uncertainties may emerge from time to time, and it is not possible for ‎management to predict all risk factors and uncertainties. Except as</w:t>
      </w:r>
    </w:p>
    <w:p>
      <w:pPr>
        <w:ind w:left="300" w:right="339"/>
        <w:spacing w:after="0" w:line="265" w:lineRule="auto"/>
        <w:rPr>
          <w:sz w:val="20"/>
          <w:szCs w:val="20"/>
          <w:color w:val="auto"/>
        </w:rPr>
      </w:pPr>
      <w:r>
        <w:rPr>
          <w:rFonts w:ascii="Times New Roman" w:cs="Times New Roman" w:eastAsia="Times New Roman" w:hAnsi="Times New Roman"/>
          <w:sz w:val="17"/>
          <w:szCs w:val="17"/>
          <w:color w:val="auto"/>
        </w:rPr>
        <w:t>required by applicable law, we do not plan to publicly‎ update or revise any forward-looking statements, whether as a result of any new information, future ‎events, changed circumstances or otherwise. You should read this prospectus</w:t>
      </w: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supplement,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may offer and sell our ordinary shares having an aggregate offering price of up to $500,000,000 from time to time through or to the sales agents. Because there is no minimum offering amount required as a condition to close this offering, the actual total public offering amount, commissions and proceeds to us are not determinable at this time. This offering amount is in addition to the $500 million previously registered to be offered and sold under the sales agreement pursuant to the Prior Registration Statement. As of May 12, 2024, we have sold an aggregate of approximately $363,354,738 of ordinary shares pursuant to the sales agreement and the Prior Registration Statement, and we have an additional $136,645,262 remaining available for sale thereunder.</w:t>
      </w:r>
    </w:p>
    <w:p>
      <w:pPr>
        <w:spacing w:after="0" w:line="8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contribute to funding our growth initiatives (including, but not limited to, hardware purchases and acquisition and development of data center sites and facilities), and for working capital and general corporate purposes.</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of directors and our management retains broad discretion in the application of the net proceeds from this offering.</w:t>
      </w:r>
    </w:p>
    <w:p>
      <w:pPr>
        <w:spacing w:after="0" w:line="79"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Pending the use of the proceeds from this offering, we may invest the net proceeds in a variety of capital preservation instruments, which may include all or a combination of short-term and long-term interest-bearing instruments, investment-grade securities, and direct or guaranteed obligations of the U.S. government. We cannot predict whether the proceeds invested will yield a favorable return.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our board and subject to Australian law. If our board of directors elects to pay dividends, the form, frequency and amount will depend upon our future operations and earning, capital requirements and surplus, general financial conditions, contractual restrictions and other factors that our board of directors may deem relevant. B Class shares do not confer on their holders any right to receive dividends.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and have the U.S. dollar as their functional currency.</w:t>
      </w:r>
    </w:p>
    <w:p>
      <w:pPr>
        <w:spacing w:after="0" w:line="7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as in effect on the date of this prospectus, including the Code, and U.S. Treasury regulations in effect or, in some cases, proposed, as of the date of this prospectus, as well as judicial and administrative interpretations thereof available on or before such date. All of the preceding authorities are subject to change, and any such change could apply retroactively and affect the</w:t>
      </w:r>
    </w:p>
    <w:p>
      <w:pPr>
        <w:spacing w:after="0" w:line="3"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U.S. federal income tax consequences described below. The statements in this prospectus are not binding on the IRS or any court. Thus, the Company can provide no assurance that the U.S. federal income tax consequences discussed below will not be challenged by the IRS or will be sustained by a court if challenged by the IRS. Furthermore, this summary does not address any estate or gift tax consequences, state, local or non-U.S. tax consequences, or other tax consequences other than U.S. federal income tax consequences.</w:t>
      </w:r>
    </w:p>
    <w:p>
      <w:pPr>
        <w:spacing w:after="0" w:line="79"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investor or to persons in special tax situations such as:</w:t>
      </w:r>
    </w:p>
    <w:p>
      <w:pPr>
        <w:spacing w:after="0" w:line="27"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our ordinary shares to market for U.S. federal income tax purposes;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90"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as part of a straddle, hedging, constructive sale, conversion, or integrated transaction;</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Company’s stock by vote or value;</w:t>
      </w:r>
    </w:p>
    <w:p>
      <w:pPr>
        <w:spacing w:after="0" w:line="76"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6"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any employee share option or otherwise as compensation; or</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through partnerships or other pass-through entities or arrangements.</w:t>
      </w:r>
    </w:p>
    <w:p>
      <w:pPr>
        <w:spacing w:after="0" w:line="113"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PROSPECTIVE PURCHASERS ARE URGED TO CONSULT THEIR TAX ADVISERS ABOUT THE APPLICATION OF THE U.S. FEDERAL TAX RULES TO THEIR PARTICULAR CIRCUMSTANCES AS WELL AS THE STATE, LOCAL AND NON-U.S. TAX CONSEQUENCES TO THEM OF THE PURCHASE, OWNERSHIP AND DISPOSITION OF OUR ORDINARY SHARES.</w:t>
      </w:r>
    </w:p>
    <w:p>
      <w:pPr>
        <w:spacing w:after="0" w:line="68" w:lineRule="exact"/>
        <w:rPr>
          <w:sz w:val="20"/>
          <w:szCs w:val="20"/>
          <w:color w:val="auto"/>
        </w:rPr>
      </w:pPr>
    </w:p>
    <w:p>
      <w:pPr>
        <w:jc w:val="both"/>
        <w:ind w:left="300" w:right="539" w:firstLine="360"/>
        <w:spacing w:after="0" w:line="268" w:lineRule="auto"/>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person eligible for the benefits of the tax treaty between the United States and Australia (the “</w:t>
      </w:r>
      <w:r>
        <w:rPr>
          <w:rFonts w:ascii="Times New Roman" w:cs="Times New Roman" w:eastAsia="Times New Roman" w:hAnsi="Times New Roman"/>
          <w:sz w:val="18"/>
          <w:szCs w:val="18"/>
          <w:b w:val="1"/>
          <w:bCs w:val="1"/>
          <w:color w:val="auto"/>
        </w:rPr>
        <w:t>Treaty</w:t>
      </w:r>
      <w:r>
        <w:rPr>
          <w:rFonts w:ascii="Times New Roman" w:cs="Times New Roman" w:eastAsia="Times New Roman" w:hAnsi="Times New Roman"/>
          <w:sz w:val="18"/>
          <w:szCs w:val="18"/>
          <w:color w:val="auto"/>
        </w:rPr>
        <w:t>”) that is, for U.S. federal income tax purposes, a beneficial owner of our ordinary shares and is or is treated as:</w:t>
      </w:r>
    </w:p>
    <w:p>
      <w:pPr>
        <w:spacing w:after="0" w:line="26"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90"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 or</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whose income is subject to U.S. federal income taxation regardless of its source.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treatment of a partner in an entity or arrangement treated as a partnership for U.S. federal income tax</w:t>
      </w:r>
    </w:p>
    <w:p>
      <w:pPr>
        <w:spacing w:after="0" w:line="27" w:lineRule="exact"/>
        <w:rPr>
          <w:sz w:val="20"/>
          <w:szCs w:val="20"/>
          <w:color w:val="auto"/>
        </w:rPr>
      </w:pPr>
    </w:p>
    <w:p>
      <w:pPr>
        <w:ind w:left="300" w:right="1019"/>
        <w:spacing w:after="0" w:line="290" w:lineRule="auto"/>
        <w:rPr>
          <w:sz w:val="20"/>
          <w:szCs w:val="20"/>
          <w:color w:val="auto"/>
        </w:rPr>
      </w:pPr>
      <w:r>
        <w:rPr>
          <w:rFonts w:ascii="Times New Roman" w:cs="Times New Roman" w:eastAsia="Times New Roman" w:hAnsi="Times New Roman"/>
          <w:sz w:val="17"/>
          <w:szCs w:val="17"/>
          <w:color w:val="auto"/>
        </w:rPr>
        <w:t>purposes‎ that holds our ordinary shares generally will depend on such partner’s status and the partnership’s ‎activities. Accordingly, a U.S. Holder that is a partner in such a partnership should consult its tax adviser.‎</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(the “Foreign Tax</w:t>
      </w:r>
    </w:p>
    <w:p>
      <w:pPr>
        <w:spacing w:after="0" w:line="27" w:lineRule="exact"/>
        <w:rPr>
          <w:sz w:val="20"/>
          <w:szCs w:val="20"/>
          <w:color w:val="auto"/>
        </w:rPr>
      </w:pPr>
    </w:p>
    <w:p>
      <w:pPr>
        <w:ind w:left="300" w:right="599"/>
        <w:spacing w:after="0" w:line="265" w:lineRule="auto"/>
        <w:rPr>
          <w:sz w:val="20"/>
          <w:szCs w:val="20"/>
          <w:color w:val="auto"/>
        </w:rPr>
      </w:pPr>
      <w:r>
        <w:rPr>
          <w:rFonts w:ascii="Times New Roman" w:cs="Times New Roman" w:eastAsia="Times New Roman" w:hAnsi="Times New Roman"/>
          <w:sz w:val="17"/>
          <w:szCs w:val="17"/>
          <w:color w:val="auto"/>
        </w:rPr>
        <w:t>Credit Regulations”)‎ may in some circumstances prohibit a U.S. person from claiming a foreign tax credit with respect to ‎certain non-U.S. taxes that are not creditable under applicable income tax treaties. However, the IRS released guidance in the form of notices which provide temporary relief from the requirements of these new regulations for taxable years ending before the date that a notice or other guidance withdrawing or modifying the</w:t>
      </w:r>
    </w:p>
    <w:p>
      <w:pPr>
        <w:spacing w:after="0" w:line="1" w:lineRule="exact"/>
        <w:rPr>
          <w:sz w:val="20"/>
          <w:szCs w:val="20"/>
          <w:color w:val="auto"/>
        </w:rPr>
      </w:pPr>
    </w:p>
    <w:p>
      <w:pPr>
        <w:ind w:left="300" w:right="379"/>
        <w:spacing w:after="0" w:line="265" w:lineRule="auto"/>
        <w:rPr>
          <w:sz w:val="20"/>
          <w:szCs w:val="20"/>
          <w:color w:val="auto"/>
        </w:rPr>
      </w:pPr>
      <w:r>
        <w:rPr>
          <w:rFonts w:ascii="Times New Roman" w:cs="Times New Roman" w:eastAsia="Times New Roman" w:hAnsi="Times New Roman"/>
          <w:sz w:val="17"/>
          <w:szCs w:val="17"/>
          <w:color w:val="auto"/>
        </w:rPr>
        <w:t>temporary relief is issued (or any later date specified in such notice or other guidance). The rules governing‎ the calculation and timing of foreign tax credits and the deduction of foreign taxes are complex and ‎depend upon a U.S.</w:t>
      </w: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Holder’s particular circumstances. Accordingly, U.S. investors that are not eligible for Treaty benefits‎ should consult their tax advisers regarding the creditability or deductibility of any Australian taxes imposed on‎ dividends on, or dispositions of, the ordinary shares. This discussion does not apply to investors in this special ‎situation.‎</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Company will be classified as a passive foreign investment company (a “PFIC”) for any taxable year if either: (a) at least 75% of its gross income is “passive income” for purposes of the PFIC rules or (b) at least 50% of the value of its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the Company will be treated as owning its proportionate share of the gross assets and earning its proportionate share of the gross income of any other corporation in which it owns, directly or indirectly, 25% or more (by value) of the stock.</w:t>
      </w:r>
    </w:p>
    <w:p>
      <w:pPr>
        <w:spacing w:after="0" w:line="86"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Company is considered a PFIC at any time that a U.S. Holder holds our ordinary shares, any gain recognized by the U.S. Holder on a sale or other disposition of our ordinary shares, as well as the amount of any “excess distribution” (defined below) received by the U.S. Holder, will be allocated ratably over the U.S. Holder’s holding period for our ordinary shares. The amounts allocated to the taxable year of the sale or other disposition (or the taxable year of receipt, in the case of an excess distribution) and to any year before the Company became a PFIC will be taxed as ordinary income. The amount allocated to each other taxable year will be subject to tax at the highest rate in effect for individuals or corporations, as appropriate, for that taxable year, and an interest charge will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holding period, whichever is shorter. Certain elections may be available that would result in alternative treatments (such as mark-to-market treatment) of our ordinary shares if the Company is considered a PFIC. Special rules apply for calculating the amount of the foreign tax credit with respect to excess distributions by a PFIC.</w:t>
      </w:r>
    </w:p>
    <w:p>
      <w:pPr>
        <w:spacing w:after="0" w:line="68"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the Company is considered a PFIC at any time that a U.S. Holder holds our ordinary shares, the Company will continue to be treated as a PFIC with respect to such investment unless (i) the Company ceases to be a PFIC and (ii) the U.S. Holder made a “deemed sale” election under the PFIC rules. U.S. Holders should consult their tax advisers regarding the advisability of making a “deemed sale” election as it may require them to recognize gain taxed under the general PFIC rules described in this paragraph.</w:t>
      </w:r>
    </w:p>
    <w:p>
      <w:pPr>
        <w:spacing w:after="0" w:line="79"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Company is a PFIC (or, with respect to a particular U.S. Holder, is treated as a PFIC) for any taxable year in which the Company pays a dividend or for the prior taxable year, the favorable tax rate described below under “— Dividends and Other Distributions on Our Ordinary Shares” with respect to dividends paid to certain non-corporate U.S. Holders will not apply.</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intend to provide information necessary for U.S. Holder to make qualified electing fund elections which, if available, would result in tax treatment different from the general tax treatment for PFICs described above.</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the Company is a PFIC, a U.S. Holder will also be subject to annual information reporting requirements. U.S. Holders should consult their tax advisers about the potential application of the PFIC rules to an investment in our ordinary shares.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Ordinary Shares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above, the gross amount of distributions made by the Company with respect to our ordinary shares (including the amount of any non-U.S. taxes withheld therefrom) generally will be includible as dividend income in a U.S. Holder’s gross income in the year received, to the extent such distributions are paid out of the Company’s current or accumulated earnings and profits, as determined under U.S. federal income tax principles. Because the Company does not maintain its earnings and profits calculations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the Company is eligible for the Treaty benefits or our ordinary shares are readily tradable on an established securities market in the United States, (2) the Company is not a (PFIC (and is not treated as a PFIC with respect to a U.S. Holder under the “once a PFIC always a PFIC rule” (as discussed above)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 U.S. Holders should consult their tax advisers regarding the availability of the lower rate for dividends paid with respect to our ordinary shares.</w:t>
      </w:r>
    </w:p>
    <w:p>
      <w:pPr>
        <w:spacing w:after="0" w:line="8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Dividends on our ordinary shares generally will constitute foreign source income for foreign tax credit limitation purposes. Subject to certain complex conditions and limitations, any Australian taxes withheld on any distributions on our ordinary shares may be eligible for credit against a U.S. Holder’s federal income tax liability or, at such holder’s election, may be eligible as a deduction in computing such holder’s U.S. federal taxable income. If a refund of the tax withheld is available under the laws of Australia or under the Treaty, the amount of tax withheld that is refundable will not be eligible for such credit against a U.S. Holder’s U.S. federal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tax liability (and will not qualify for the deduction against U.S. federal taxable income). If the dividends constitute qualified dividend income as discussed above,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the credit is calculated separately concerning specific classes of income. For this purpose, dividends distributed by the Company with respect to our ordinary shares will generally constitute “passive category income.” The rules relating to the determination of the U.S. foreign tax credit are complex, and U.S. Holders should consult their tax advisers regarding the availability of a foreign tax credit in their particular circumstances and the possibility of claiming an itemized deduction (in lieu of the foreign tax credit) for any foreign taxes paid or withheld.</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Our Ordinary Shares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above, upon a sale or other taxable disposition of our ordinary shares, a U.S. Holder will recognize capital gain or loss in an amount equal to the difference between the amount realized and the U.S. Holder’s adjusted tax basis in such ordinary shares. A U.S. Holder’s initial tax basis in our ordinary shares generally will equal the cost of such ordinary shares. Generally, any such gain or loss will be treated as long-term capital gain or loss if the U.S. Holder’s holding period in our ordinary shares exceeds one year. Non-corporate U.S. Holders (including individuals) generally will be subject to U.S. federal income tax on long-term capital gain at preferential rates. The deductibility of capital losses is subject to significant limitations.</w:t>
      </w:r>
    </w:p>
    <w:p>
      <w:pPr>
        <w:spacing w:after="0" w:line="8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U.S. Holders should consult their tax advisers regarding the tax consequences if Australian taxes are imposed on or connected with a sale or other disposition of our ordinary shares and their ability to credit any Australian tax against their U.S. federal income tax liability.</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Dividend payments with respect to our ordinary shares and proceeds from the sale, exchange, or redemption of our ordinary shares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advisers regarding applying the U.S. information reporting and backup withholding rules.</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 Reporting Requirements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advisers regarding the applicability of these requirements to their acquisition and ownership of our ordinary shares.</w:t>
      </w:r>
    </w:p>
    <w:p>
      <w:pPr>
        <w:spacing w:after="0" w:line="75" w:lineRule="exact"/>
        <w:rPr>
          <w:sz w:val="20"/>
          <w:szCs w:val="20"/>
          <w:color w:val="auto"/>
        </w:rPr>
      </w:pPr>
    </w:p>
    <w:p>
      <w:pPr>
        <w:ind w:left="300" w:right="6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PURCHASER SHOULD CONSULT ITS OWN TAX ADVISER ABOUT THE TAX CONSEQUENCES OF AN INVESTMENT IN OUR ORDINARY SHARES UNDER ITS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this section, we provide a general summary of the material Australian income tax, stamp duty, and goods and services tax considerations generally applicable to the acquisition, ownership, and disposal by the absolute beneficial owners of the ordinary shares issued by IREN.</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This section is based upon existing Australian tax law as of the date of this prospectus, which is subject to change, possibly retrospectively. This discussion does not address all aspects of Australian tax law, which may be important to particular investors in light of their investment circumstances, such as shares held by investors subject to special tax rules (for example, financial institutions, insurance companies, or tax-exempt organizations).</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It does not purport to address all possible tax situations that may be relevant to a decision to purchase, own, or deposit our ordinary shares. It is included herein solely for preliminary information purposes and is not intended to be, nor should it be construed to be, legal or tax advice. IREN and their officers, employees, taxation or other advisers do not accept any liability or responsibility in respect of any statement concerning taxation consequences or the taxation consequences.</w:t>
      </w:r>
    </w:p>
    <w:p>
      <w:pPr>
        <w:spacing w:after="0" w:line="75" w:lineRule="exact"/>
        <w:rPr>
          <w:sz w:val="20"/>
          <w:szCs w:val="20"/>
          <w:color w:val="auto"/>
        </w:rPr>
      </w:pPr>
    </w:p>
    <w:p>
      <w:pPr>
        <w:ind w:left="300" w:right="1179" w:firstLine="360"/>
        <w:spacing w:after="0" w:line="312" w:lineRule="auto"/>
        <w:rPr>
          <w:sz w:val="20"/>
          <w:szCs w:val="20"/>
          <w:color w:val="auto"/>
        </w:rPr>
      </w:pPr>
      <w:r>
        <w:rPr>
          <w:rFonts w:ascii="Times New Roman" w:cs="Times New Roman" w:eastAsia="Times New Roman" w:hAnsi="Times New Roman"/>
          <w:sz w:val="17"/>
          <w:szCs w:val="17"/>
          <w:color w:val="auto"/>
        </w:rPr>
        <w:t>Prospective purchasers of our ordinary shares should consult their tax advisers on the applicable tax consequences related to the ownership of our ordinary shares, based on their particular circumstances.</w:t>
      </w:r>
    </w:p>
    <w:p>
      <w:pPr>
        <w:spacing w:after="0" w:line="3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comments in this section deal only with the Australian taxation implications of the ownership and disposition of IREN ordinary shares if you hold your IREN ordinary shares as investments on a capital account. In addition, this summary does not discuss any non-Australian or state tax considerations, other than stamp duty and goods and services tax.</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For this summary, a holder of our ordinary shares that is not an Australian tax resident and is not carrying on business in Australia at or through a permanent establishment is referred to as a “Non-Australian Holder.”</w:t>
      </w:r>
    </w:p>
    <w:p>
      <w:pPr>
        <w:spacing w:after="0" w:line="54"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Conversely, for the purposes of this summary, a holder that is an Australian tax resident or is carrying on business in Australia at or through a permanent establishment is referred to as an “Australian Resident Holder.”</w:t>
      </w:r>
    </w:p>
    <w:p>
      <w:pPr>
        <w:spacing w:after="0" w:line="3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Company</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As the Company is a fully taxable Australian company, its taxable income is subject to corporate income tax in Australia. All Australian companies are subject to a corporate income tax rate of 30%, other than those classified as a “base rate company”, which are businesses with revenue of less than A$50 million that are subject to a reduced corporate income tax rate of 25% from the 2021/2022 income year. The Company is not considered a base rate company for the year ended June 30, 2023.</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Australian Resident Holders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income tax.</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Individuals and complying superannuation entities</w:t>
      </w:r>
    </w:p>
    <w:p>
      <w:pPr>
        <w:spacing w:after="0" w:line="11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who are individuals or complying superannuation entities should include the dividend in their assessable income in the year the dividend is paid, together with any franking credit attached to that dividend.</w:t>
      </w:r>
    </w:p>
    <w:p>
      <w:pPr>
        <w:spacing w:after="0" w:line="68"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Subject to the comments concerning ‘Qualified Persons’ below, such Australian Resident Holders should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individual Shareholder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Companies</w:t>
      </w:r>
    </w:p>
    <w:p>
      <w:pPr>
        <w:spacing w:after="0" w:line="119"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Australian Resident Holders that are companies are also required to include both the dividend and the associated franking credits (if any) in their assessable income.</w:t>
      </w:r>
    </w:p>
    <w:p>
      <w:pPr>
        <w:spacing w:after="0" w:line="54"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its investor(s) on the subsequent payment of franked dividends.</w:t>
      </w:r>
    </w:p>
    <w:p>
      <w:pPr>
        <w:spacing w:after="0" w:line="75" w:lineRule="exact"/>
        <w:rPr>
          <w:sz w:val="20"/>
          <w:szCs w:val="20"/>
          <w:color w:val="auto"/>
        </w:rPr>
      </w:pPr>
    </w:p>
    <w:p>
      <w:pPr>
        <w:jc w:val="both"/>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Excess franking credits received by the company shareholder will not give rise to a refund entitlement for a company but may be converted into carry forward tax losses instead. This is subject to specific rules on how the carry forward tax loss is calculated and utilized in future years. For completeness, this tax loss cannot be carried back under the loss carry back tax offset rules introduced in the 2020-21 Federal Budget.</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Trusts and partnerships</w:t>
      </w:r>
    </w:p>
    <w:p>
      <w:pPr>
        <w:spacing w:after="0" w:line="11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Australian Resident Holders who are trustees (other than trustees of complying superannuation entities, which are dealt with above) or partnerships are also required to include any dividends and any franking credits in calculating the net income of the trust or partnership. Where a fully franked or partially franked dividend is received, the relevant beneficiary or partner may be entitled to a tax offset in respect of any franking credits distributed to the relevant beneficiary or partner as applicable.</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trustee (other than trustees of complying superannuation entities) or partnerships, will be required to include the unfranked dividend in the net income of the trust or partnership. The relevant beneficiary will be taxed at the relevant prevailing tax rate on their share of the net income of the trust or partnership (with no tax offset).</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Qualified Persons</w:t>
      </w:r>
    </w:p>
    <w:p>
      <w:pPr>
        <w:spacing w:after="0" w:line="11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spacing w:after="0" w:line="68"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Broadly, to be a qualified person, a shareholder must satisfy the holding period rule and, if necessary, the related payment rule. The holding period rule requires a shareholder to hold the shares ‘at risk’ for at least 45 days continuously during the qualification period - starting from the day after acquiring the shares and ending 45 days after the shares become ex-dividend - in order to qualify for franking benefits.</w:t>
      </w:r>
    </w:p>
    <w:p>
      <w:pPr>
        <w:spacing w:after="0" w:line="72"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This holding period rule is subject to certain exceptions, including where the total franking offsets of an individual in a year of income do not exceed A$5,000.</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Whether you are a qualified person is a complex tax issue which requires analysis based on each shareholder’s individual circumstances. IREN ordinary shareholders should obtain their own tax advice to determine if these requirements have been satisfied.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Disposal of shares</w:t>
      </w:r>
    </w:p>
    <w:p>
      <w:pPr>
        <w:spacing w:after="0" w:line="11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IREN to the extent that the capital proceeds exceed the cost base of their ordinary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Proceeds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capital proceeds should generally be equal to any consideration received by the Australian Resident Holder in respect to the disposal of their IREN ordinary shares.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base of IREN ordinary shares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cost base of an ordinary share should generally be equal to the cost of acquiring the ordinary share, holding the ordinary share, plus any incidental costs of acquisition and disposal (e.g. brokerage costs and legal fees).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CGT Discount</w:t>
      </w:r>
    </w:p>
    <w:p>
      <w:pPr>
        <w:spacing w:after="0" w:line="11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CGT discount is:</w:t>
      </w:r>
    </w:p>
    <w:p>
      <w:pPr>
        <w:spacing w:after="0" w:line="117" w:lineRule="exact"/>
        <w:rPr>
          <w:sz w:val="20"/>
          <w:szCs w:val="20"/>
          <w:color w:val="auto"/>
        </w:rPr>
      </w:pPr>
    </w:p>
    <w:p>
      <w:pPr>
        <w:ind w:left="1000" w:right="43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if the Australian Resident Holder is an individual or trustee: meaning generally only 50% of the capital gain will be included in the Australian Resident Holder’s assessable income; and</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if the Australian Resident Holder is a trustee of a complying superannuation entity: meaning generally only two-thirds of the capital gain will be included in the Australian Resident Holder’s assessable income.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CGT discount is not available to Australian Resident Holders that are companies.</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CGT discount rules relating to trusts are complex. Subject to certain requirements being satisfied, the capital gain may flow through to the beneficiaries in that trust, who will assess the eligibility for the CGT discount in their own right. Accordingly, we recommend trustees seek their own independent advice on how the CGT discount applies to the trust and its beneficiaries.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Non-Australian Holders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Non-Australian Holders who do not have a permanent establishment in Australia should not be subject to Australian income tax but may be subject to Australian dividend withholding tax on their IREN dividends.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Franked dividends</w:t>
      </w:r>
    </w:p>
    <w:p>
      <w:pPr>
        <w:spacing w:after="0" w:line="11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outlined above, Australia has a franking system wherein dividends can be franked, and Australian resident shareholders receive a franking credit which effectively represents the corporate tax paid by the underlying company (i.e. IREN).</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 attributable to Conduit Foreign Income</w:t>
      </w:r>
    </w:p>
    <w:p>
      <w:pPr>
        <w:spacing w:after="0" w:line="11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Non-Australian Holders should not be subject to Australian dividend withholding tax on unfranked dividends to the extent that the dividend is declared to be conduit foreign income (CFI).</w:t>
      </w:r>
    </w:p>
    <w:p>
      <w:pPr>
        <w:spacing w:after="0" w:line="54"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CFI generally includes amounts received by IREN that have been derived from a non-Australian source, for example dividends received from foreign subsidiaries which are treated as non-assessable non-exempt income for Australian tax purposes.</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Unfranked dividends</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Non-Australian Holders should generally be subject to Australian dividend withholding tax to the extent the unfranked component of any dividends are not declared to by CFI. Australian dividend withholding tax will be imposed at 30% of the amount of the unfranked dividend, unless a shareholder is a resident of a country with which 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spacing w:after="0" w:line="7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Under the provisions of the current Double Taxation Convention between Australia and the United States, the Australian tax withheld on unfranked dividends that are not declared to be CFI paid by us to a resident of the United States is beneficially entitled is limited to 15%.</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company that is a Non-Australian Holder directly owns a 10% or more interest in an Australian company (i.e. IREN), the Australian tax withheld on unfranked dividends that are not declared to be CFI paid by us to which a resident of the United States is beneficially entitled is limited to 5%.</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Disposal of shares</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spacing w:after="0" w:line="68" w:lineRule="exact"/>
        <w:rPr>
          <w:sz w:val="20"/>
          <w:szCs w:val="20"/>
          <w:color w:val="auto"/>
        </w:rPr>
      </w:pPr>
    </w:p>
    <w:p>
      <w:pPr>
        <w:ind w:left="1000" w:right="37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together with their associates as defined for Australian tax purposes, hold 10% or more of our issued capital, at the time of disposal or for a 12-month period during the two years prior to disposal; and</w:t>
      </w:r>
    </w:p>
    <w:p>
      <w:pPr>
        <w:spacing w:after="0" w:line="53"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land and leasehold interests) or Australian mining, quarrying or prospecting rights at the time of disposal. This is not expected to be the case.</w:t>
      </w:r>
    </w:p>
    <w:p>
      <w:pPr>
        <w:spacing w:after="0" w:line="6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54"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capital gains tax discount is not available to Non-Australian Holders on gains in respect of IREN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Broadly, where there is a disposal of certain taxable Australian property by a Non-Australian Holder,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If a holder of ordinary shares is a resident of both Australia and the United States under those countries’ domestic taxation laws, that holder may be subject to tax as an Australian resident.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Australian Tax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comments apply to both Australian Resident Holders and Non-Australian Holders.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No Australian stamp duty is payable on the issue, transfer and/or surrender of the ordinary shares, on the basis that IREN is admitted to the official list of Nasdaq and all of its shares (and all shares of any other class of shares) are and remain quoted on that exchange and the issue/transfer/surrender of ordinary shares does not result in a person, whether alone or together with associated/related persons or with otherwise unassociated persons as part of substantially one arrangement or acting in concert with other persons, having a 90% or more interest in IREN (by reference to their entitlement to a distribution of property of IREN on a winding up or otherwise).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Australian GST will be payable on the supply of the ordinary shares.</w:t>
      </w:r>
    </w:p>
    <w:p>
      <w:pPr>
        <w:spacing w:after="0" w:line="117"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requirements, there may be a restriction on the entitlement of IREN ordinary shareholders to claim an input tax credit for any GST incurred on costs associated with the acquisition or disposal of IREN ordinary shares (e.g. lawyer’s and accountants’ fees).</w:t>
      </w:r>
    </w:p>
    <w:p>
      <w:pPr>
        <w:spacing w:after="0" w:line="64" w:lineRule="exact"/>
        <w:rPr>
          <w:sz w:val="20"/>
          <w:szCs w:val="20"/>
          <w:color w:val="auto"/>
        </w:rPr>
      </w:pPr>
    </w:p>
    <w:p>
      <w:pPr>
        <w:ind w:left="300" w:right="5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AUSTRALIAN TAX CONSEQUENCES OF AN INVESTMENT IN OUR ORDINARY SHARES AND IS BASED UPON LAWS AND RELEVANT INTERPRETATIONS THEREOF IN EFFECT AS OF THE DATE OF THIS PROSPECTUS, ALL OF WHICH ARE SUBJECT TO CHANGE, POSSIBLY WITH RETROACTIVE EFFECT. EACH PROSPECTIVE INVESTOR IS URGED TO CONSULT ITS OWN TAX ADVISOR.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previously entered into a sales agreement with B. Riley Securities, Cantor and Compass Point,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which Canaccord, Citigroup and Macquarie Capital were joined on March 21, 2024, under which we may offer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sell our ordinary shares from time to time through or to B. Riley Securities, Cantor, Compass Point, Canaccord,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Citigroup and Macquarie Capital, each acting as agent or principal (each a “sales agent” and collectively, the “sales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agents”). This prospectus supplement, together with the accompanying prospectus, relates to our ordinary shares that</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be offered and sold under the sales agreement. In accordance with the terms of the sales agreement, under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prospectus supplement we may offer and sell our ordinary shares having an aggregate offering price of up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$500,000,000 of our ordinary shares from time to time through or to the sales agents, as agent or principal.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amount is in addition to the $500,000,000 previously registered to be offered and sold under the sales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pursuant to the Prior Registration Statement, of which approximately $363,354,738 has been sold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12, 2024. Sales of our ordinary shares, if any, under this prospectus supplement and the accompanying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prospectus will be made by any method that is deemed to be an “at the market offering” as defined in Rule 415(a)(4)</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Securities Act.</w:t>
      </w:r>
    </w:p>
    <w:p>
      <w:pPr>
        <w:spacing w:after="0" w:line="9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time we wish to issue and sell ordinary shares under the sales agreement, we will notify a sales agent of the number of ordinary shares to be sold, the time period during which such sales are requested to be made, any limitation on the number of ordinary shares to be sold in any one day and any minimum price below which sales may not be made. Once we have so instructed such sales agent, unless the sales agent decline in writing to accept the terms of such notice, such sales agent has agreed to use commercially reasonable efforts consistent with its normal trading and sales practices to sell such ordinary shares up to the amount specified on such terms. We have no obligation to sell any ordinary shares under the sales agreement. The obligations of the sales agents under the sales agreement to sell our ordinary shares are subject to a number of conditions that we must meet.</w:t>
      </w:r>
    </w:p>
    <w:p>
      <w:pPr>
        <w:spacing w:after="0" w:line="8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settlement of sales of our ordinary shares between us and the sales agents is generally anticipated to occur on the second trading day following the date on which the sale was made. Sales of our ordinary shares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spacing w:after="0" w:line="75"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We will pay the sales agents a commission up to 3.0% of the aggregate gross proceeds we receive from each sale of our ordinary shares. Because there is no minimum offering amount required as a condition to close this offering, the actual total public offering amount, commissions and proceeds to us are not determinable at this time. Except as we and the sales agents otherwise agree, we will reimburse the sales agents for the fees and disbursements of their counsel, payable upon execution of the sales agreement, in an amount not to exceed $60,000, in addition to certain ongoing disbursements of their legal counsel unless we and the sales agents otherwise agree. We estimate that the total expenses for the offering, excluding any commissions or expense reimbursement payable to the sales agents under the terms of the sales agreement, will be approximately $600,000. The remaining proceeds, after deducting any other transaction fees, will equal our net proceeds from the sale of our ordinary shares in this offering.</w:t>
      </w:r>
    </w:p>
    <w:p>
      <w:pPr>
        <w:spacing w:after="0" w:line="6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sales agents will provide written confirmation to us as soon as practicable after the close on Nasdaq on each day on which ordinary shares are sold under the sales agreement. Each confirmation will include the number of ordinary shares sold on that day, the aggregate gross proceeds of such sales and the proceeds to us.</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sale of ordinary shares on our behalf, each sales agent will be deemed to be an “underwriter” within the meaning of the Securities Act, and the compensation of the sales agents will be deemed to be underwriting commissions or discounts. We have agreed to indemnify the sales agents against certain liabilities, including civil liabilities under the Securities Act. We have also agreed to contribute to payments the sales agents may be required to make in respect of such liabilities.</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sales agreement permits sales of our ordinary shares not to exceed the lesser of the amount registered on an effective registration statement and for which we have filed a prospectus, and the amount authorized from time to time to be issued and sold under the sales agreement by our board of directors or a duly authorized committee thereof. As a result, we may increase the amount of our ordinary shares that may be sold from time to time pursuant to the sales agreement in accordance with the terms of the sales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offering of our ordinary shares pursuant to the sales agreement will terminate upon the earlier of (i) the sale of all ordinary shares subject to the sales agreement and (ii) the termination of the sales agreement as permitted therein.</w:t>
      </w:r>
    </w:p>
    <w:p>
      <w:pPr>
        <w:spacing w:after="0" w:line="68"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Certain sales agents and their respective affiliates have in the past and may in the future provide various investment banking, commercial banking, financial advisory and other financial services for us and our affiliates, for which services they have received or may in the future receive customary fees. To the extent required by Regulation M under the Exchange Act, none of the sales agents will engage in any market-making activities involving our ordinary shares while the offering is ongoing under this prospectus supplement.</w:t>
      </w:r>
    </w:p>
    <w:p>
      <w:pPr>
        <w:spacing w:after="0" w:line="75"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each sales agent, and each sales agent may distribute the prospectus supplement and the accompanying prospectus electronically. The address of B. Riley Securities is 299 Park Avenue, 21st Floor, New York, NY 10171. The address of Cantor is 110 E 59th St., 6th Floor New York, NY 10022. The address of Compass Point is 1055 Thomas Jefferson Street NW, Suite 303, Washington, DC 20007. The address of Canaccord is 1 Post Office Square, 30th, Floor, Boston, MA 02109. The‎ address of Citigroup is 388 Greenwich Street, New York, New York, 10013. The‎ address of Macquarie Capital is 125 West 55th Street, 22nd Floor, New York, NY 10019.</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will be passed upon for us by Clifford Chance LLP, located at Level 24, 10 Carrington Street, Sydney NSW 2000, Australia. The validity of certain securities and certain matters with respect to U.S. federal and New York State law will be passed upon for us by Davis Polk &amp; Wardwell LLP, located at 450 Lexington Avenue, New York, New York 10017. The sales agents are represented in connection with this offering by Duane Morris LLP, located at 1540 Broadway, New York, New York 10036.</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for the fiscal year ended June 30, 2023 ‎incorporated by reference in this prospectus supplement and elsewhere in the registration statement have been so incorporated by reference in reliance on the report of Raymond Chabot Grant Thornton LLP, independent registered ‎public accountants, upon the authority of said firm as experts in accounting and auditing.</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consolidated financial statements in respect of the fiscal years ended June 30, 2022 and 2021</w:t>
      </w:r>
    </w:p>
    <w:p>
      <w:pPr>
        <w:spacing w:after="0" w:line="27" w:lineRule="exact"/>
        <w:rPr>
          <w:sz w:val="20"/>
          <w:szCs w:val="20"/>
          <w:color w:val="auto"/>
        </w:rPr>
      </w:pPr>
    </w:p>
    <w:p>
      <w:pPr>
        <w:jc w:val="both"/>
        <w:ind w:left="300" w:right="599"/>
        <w:spacing w:after="0" w:line="255" w:lineRule="auto"/>
        <w:rPr>
          <w:sz w:val="20"/>
          <w:szCs w:val="20"/>
          <w:color w:val="auto"/>
        </w:rPr>
      </w:pPr>
      <w:r>
        <w:rPr>
          <w:rFonts w:ascii="Times New Roman" w:cs="Times New Roman" w:eastAsia="Times New Roman" w:hAnsi="Times New Roman"/>
          <w:sz w:val="18"/>
          <w:szCs w:val="18"/>
          <w:color w:val="auto"/>
        </w:rPr>
        <w:t>incorporated‎ by reference in this prospectus supplement and elsewhere in the registration statement have been so incorporated by reference in reliance on the report of Armanino LLP, independent registered ‎public accountants, upon the authority of said firm as experts in accounting and auditing.‎</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we file reports, including annual reports on Form 20-F, and other information with the SEC. We are allowed four months following the end of our fiscal year to file our annual report with the SEC instead of approximately three, and we are not required to disclose certain detailed information regarding executive compensation that is required from U.S. domestic issuers. In addition, we will not be required under the Exchange Act to file periodic reports and financial statements with the SEC as frequently as companies that are not foreign private issuers whose securities are registered under the Exchange Act. Also, as a foreign private issuer, we are exempt from the rules of the Exchange Act prescribing the furnishing of proxy statements to shareholders, and our senior management, directors and principal shareholders are exempt from the reporting and “short-swing” profit recovery provisions contained in Section 16 of the Exchange Act.</w:t>
      </w:r>
    </w:p>
    <w:p>
      <w:pPr>
        <w:spacing w:after="0" w:line="80" w:lineRule="exact"/>
        <w:rPr>
          <w:sz w:val="20"/>
          <w:szCs w:val="20"/>
          <w:color w:val="auto"/>
        </w:rPr>
      </w:pPr>
    </w:p>
    <w:p>
      <w:pPr>
        <w:ind w:left="300" w:right="539" w:firstLine="360"/>
        <w:spacing w:after="0" w:line="272" w:lineRule="auto"/>
        <w:rPr>
          <w:sz w:val="20"/>
          <w:szCs w:val="20"/>
          <w:color w:val="auto"/>
        </w:rPr>
      </w:pPr>
      <w:r>
        <w:rPr>
          <w:rFonts w:ascii="Times New Roman" w:cs="Times New Roman" w:eastAsia="Times New Roman" w:hAnsi="Times New Roman"/>
          <w:sz w:val="17"/>
          <w:szCs w:val="17"/>
          <w:color w:val="auto"/>
        </w:rPr>
        <w:t>As a foreign private issuer, we also are exempt from the requirements of Regulation FD (Fair Disclosure) which, generally, are meant to ensure that select groups of investors are not privy to specific information about an issuer before other investors. We are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spacing w:after="0" w:line="6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supplement. This prospectus supplement incorporates by reference the documents listed below:</w:t>
      </w:r>
    </w:p>
    <w:p>
      <w:pPr>
        <w:spacing w:after="0" w:line="72" w:lineRule="exact"/>
        <w:rPr>
          <w:sz w:val="20"/>
          <w:szCs w:val="20"/>
          <w:color w:val="auto"/>
        </w:rPr>
      </w:pPr>
    </w:p>
    <w:p>
      <w:pPr>
        <w:ind w:left="1000" w:right="1139" w:hanging="348"/>
        <w:spacing w:after="0" w:line="282" w:lineRule="auto"/>
        <w:tabs>
          <w:tab w:leader="none" w:pos="100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20-F for the fiscal year ended June 30, 2023, filed with the SEC on </w:t>
      </w:r>
      <w:hyperlink r:id="rId49">
        <w:r>
          <w:rPr>
            <w:rFonts w:ascii="Times New Roman" w:cs="Times New Roman" w:eastAsia="Times New Roman" w:hAnsi="Times New Roman"/>
            <w:sz w:val="18"/>
            <w:szCs w:val="18"/>
            <w:u w:val="single" w:color="auto"/>
            <w:color w:val="0000EE"/>
          </w:rPr>
          <w:t>September 13, 2023</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5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Form 6-K filed with the SEC on </w:t>
      </w:r>
      <w:hyperlink r:id="rId50">
        <w:r>
          <w:rPr>
            <w:rFonts w:ascii="Times New Roman" w:cs="Times New Roman" w:eastAsia="Times New Roman" w:hAnsi="Times New Roman"/>
            <w:sz w:val="18"/>
            <w:szCs w:val="18"/>
            <w:u w:val="single" w:color="auto"/>
            <w:color w:val="0000EE"/>
          </w:rPr>
          <w:t>October 20,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“Restricted Share Units (‘RSUs’)” in Exhibit 99.4 thereto);</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25"/>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Reports on Form 6-K filed with the SEC on </w:t>
      </w:r>
      <w:hyperlink r:id="rId51">
        <w:r>
          <w:rPr>
            <w:rFonts w:ascii="Times New Roman" w:cs="Times New Roman" w:eastAsia="Times New Roman" w:hAnsi="Times New Roman"/>
            <w:sz w:val="18"/>
            <w:szCs w:val="18"/>
            <w:u w:val="single" w:color="auto"/>
            <w:color w:val="0000EE"/>
          </w:rPr>
          <w:t>July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2">
        <w:r>
          <w:rPr>
            <w:rFonts w:ascii="Times New Roman" w:cs="Times New Roman" w:eastAsia="Times New Roman" w:hAnsi="Times New Roman"/>
            <w:sz w:val="18"/>
            <w:szCs w:val="18"/>
            <w:u w:val="single" w:color="auto"/>
            <w:color w:val="0000EE"/>
          </w:rPr>
          <w:t>August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3">
        <w:r>
          <w:rPr>
            <w:rFonts w:ascii="Times New Roman" w:cs="Times New Roman" w:eastAsia="Times New Roman" w:hAnsi="Times New Roman"/>
            <w:sz w:val="18"/>
            <w:szCs w:val="18"/>
            <w:u w:val="single" w:color="auto"/>
            <w:color w:val="0000EE"/>
          </w:rPr>
          <w:t>August 29,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4">
        <w:r>
          <w:rPr>
            <w:rFonts w:ascii="Times New Roman" w:cs="Times New Roman" w:eastAsia="Times New Roman" w:hAnsi="Times New Roman"/>
            <w:sz w:val="18"/>
            <w:szCs w:val="18"/>
            <w:u w:val="single" w:color="auto"/>
            <w:color w:val="0000EE"/>
          </w:rPr>
          <w:t>October 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0">
        <w:r>
          <w:rPr>
            <w:rFonts w:ascii="Times New Roman" w:cs="Times New Roman" w:eastAsia="Times New Roman" w:hAnsi="Times New Roman"/>
            <w:sz w:val="18"/>
            <w:szCs w:val="18"/>
            <w:u w:val="single" w:color="auto"/>
            <w:color w:val="0000EE"/>
          </w:rPr>
          <w:t>October 20,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second Report on Form 6-K filed on such date), </w:t>
      </w:r>
      <w:hyperlink r:id="rId55">
        <w:r>
          <w:rPr>
            <w:rFonts w:ascii="Times New Roman" w:cs="Times New Roman" w:eastAsia="Times New Roman" w:hAnsi="Times New Roman"/>
            <w:sz w:val="18"/>
            <w:szCs w:val="18"/>
            <w:u w:val="single" w:color="auto"/>
            <w:color w:val="0000EE"/>
          </w:rPr>
          <w:t>November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6">
        <w:r>
          <w:rPr>
            <w:rFonts w:ascii="Times New Roman" w:cs="Times New Roman" w:eastAsia="Times New Roman" w:hAnsi="Times New Roman"/>
            <w:sz w:val="18"/>
            <w:szCs w:val="18"/>
            <w:u w:val="single" w:color="auto"/>
            <w:color w:val="0000EE"/>
          </w:rPr>
          <w:t>December 7, 2023</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December 15,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8">
        <w:r>
          <w:rPr>
            <w:rFonts w:ascii="Times New Roman" w:cs="Times New Roman" w:eastAsia="Times New Roman" w:hAnsi="Times New Roman"/>
            <w:sz w:val="18"/>
            <w:szCs w:val="18"/>
            <w:u w:val="single" w:color="auto"/>
            <w:color w:val="0000EE"/>
          </w:rPr>
          <w:t>January 16,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9">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color w:val="auto"/>
          </w:rPr>
          <w:t xml:space="preserve">(other than the information contained in the press release furnished as Exhibit 99.1 thereto), </w:t>
        </w:r>
        <w:r>
          <w:rPr>
            <w:rFonts w:ascii="Times New Roman" w:cs="Times New Roman" w:eastAsia="Times New Roman" w:hAnsi="Times New Roman"/>
            <w:sz w:val="18"/>
            <w:szCs w:val="18"/>
            <w:u w:val="single" w:color="auto"/>
            <w:color w:val="0000EE"/>
          </w:rPr>
          <w:t>February 15,</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the information contained in the press release furnished as Exhibit 99.1 and presentation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as Exhibit 99.2 thereto) and </w:t>
      </w:r>
      <w:hyperlink r:id="rId61">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000000"/>
        </w:rPr>
        <w:t>; and</w:t>
      </w:r>
    </w:p>
    <w:p>
      <w:pPr>
        <w:spacing w:after="0" w:line="81" w:lineRule="exact"/>
        <w:rPr>
          <w:rFonts w:ascii="Times New Roman" w:cs="Times New Roman" w:eastAsia="Times New Roman" w:hAnsi="Times New Roman"/>
          <w:sz w:val="18"/>
          <w:szCs w:val="18"/>
          <w:color w:val="000000"/>
        </w:rPr>
      </w:pPr>
    </w:p>
    <w:p>
      <w:pPr>
        <w:ind w:left="1000" w:right="399" w:hanging="348"/>
        <w:spacing w:after="0" w:line="266" w:lineRule="auto"/>
        <w:tabs>
          <w:tab w:leader="none" w:pos="1000" w:val="left"/>
        </w:tabs>
        <w:numPr>
          <w:ilvl w:val="0"/>
          <w:numId w:val="25"/>
        </w:numPr>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auto"/>
          </w:rPr>
          <w:t xml:space="preserve">the description of our share capital contained in our registration statement on Form 8-A dated </w:t>
        </w:r>
        <w:r>
          <w:rPr>
            <w:rFonts w:ascii="Times New Roman" w:cs="Times New Roman" w:eastAsia="Times New Roman" w:hAnsi="Times New Roman"/>
            <w:sz w:val="18"/>
            <w:szCs w:val="18"/>
            <w:u w:val="single" w:color="auto"/>
            <w:color w:val="0000EE"/>
          </w:rPr>
          <w:t>November</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16, 2021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(File No. 001-41072) filed under the Exchange Act, including any amendment or report filed </w:t>
        </w:r>
      </w:hyperlink>
      <w:r>
        <w:rPr>
          <w:rFonts w:ascii="Times New Roman" w:cs="Times New Roman" w:eastAsia="Times New Roman" w:hAnsi="Times New Roman"/>
          <w:sz w:val="18"/>
          <w:szCs w:val="18"/>
          <w:color w:val="0000EE"/>
        </w:rPr>
        <w:t xml:space="preserve">for </w:t>
      </w:r>
      <w:r>
        <w:rPr>
          <w:rFonts w:ascii="Times New Roman" w:cs="Times New Roman" w:eastAsia="Times New Roman" w:hAnsi="Times New Roman"/>
          <w:sz w:val="18"/>
          <w:szCs w:val="18"/>
          <w:color w:val="000000"/>
        </w:rPr>
        <w:t>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except as so modified or superseded, to constitute part of this prospectus supplement.</w:t>
      </w:r>
    </w:p>
    <w:p>
      <w:pPr>
        <w:spacing w:after="0" w:line="75" w:lineRule="exact"/>
        <w:rPr>
          <w:rFonts w:ascii="Times New Roman" w:cs="Times New Roman" w:eastAsia="Times New Roman" w:hAnsi="Times New Roman"/>
          <w:sz w:val="18"/>
          <w:szCs w:val="18"/>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supplement forms a part and prior to the effectiveness of such registration statement and (ii) after the date of this prospectus supplement and prior to the completion of an offering of securities under this prospectus supplement.</w:t>
      </w:r>
    </w:p>
    <w:p>
      <w:pPr>
        <w:spacing w:after="0" w:line="86"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supplement through us or from the SEC through the SEC’s website at https://www.sec.gov. We will provide, without charge, to each person, including any beneficial owner, to whom a copy of this prospectus supplement is delivered, upon written or oral request of such person, a copy of any or all of the reports or documents referred to above which have been or may be incorporated by reference into this prospectus supplement. You should direct all requests for those documents to:</w:t>
      </w:r>
    </w:p>
    <w:p>
      <w:pPr>
        <w:spacing w:after="0" w:line="116" w:lineRule="exact"/>
        <w:rPr>
          <w:rFonts w:ascii="Times New Roman" w:cs="Times New Roman" w:eastAsia="Times New Roman" w:hAnsi="Times New Roman"/>
          <w:sz w:val="18"/>
          <w:szCs w:val="18"/>
          <w:color w:val="auto"/>
        </w:rPr>
      </w:pPr>
    </w:p>
    <w:p>
      <w:pPr>
        <w:ind w:left="3780"/>
        <w:spacing w:after="0"/>
        <w:rPr>
          <w:sz w:val="20"/>
          <w:szCs w:val="20"/>
          <w:color w:val="auto"/>
        </w:rPr>
      </w:pPr>
      <w:r>
        <w:rPr>
          <w:rFonts w:ascii="Times New Roman" w:cs="Times New Roman" w:eastAsia="Times New Roman" w:hAnsi="Times New Roman"/>
          <w:sz w:val="18"/>
          <w:szCs w:val="18"/>
          <w:color w:val="auto"/>
        </w:rPr>
        <w:t>Iris Energy Limited</w:t>
      </w:r>
    </w:p>
    <w:p>
      <w:pPr>
        <w:spacing w:after="0" w:line="27" w:lineRule="exact"/>
        <w:rPr>
          <w:rFonts w:ascii="Times New Roman" w:cs="Times New Roman" w:eastAsia="Times New Roman" w:hAnsi="Times New Roman"/>
          <w:sz w:val="18"/>
          <w:szCs w:val="18"/>
          <w:color w:val="auto"/>
        </w:rPr>
      </w:pPr>
    </w:p>
    <w:p>
      <w:pPr>
        <w:ind w:left="3520"/>
        <w:spacing w:after="0"/>
        <w:rPr>
          <w:sz w:val="20"/>
          <w:szCs w:val="20"/>
          <w:color w:val="auto"/>
        </w:rPr>
      </w:pPr>
      <w:r>
        <w:rPr>
          <w:rFonts w:ascii="Times New Roman" w:cs="Times New Roman" w:eastAsia="Times New Roman" w:hAnsi="Times New Roman"/>
          <w:sz w:val="18"/>
          <w:szCs w:val="18"/>
          <w:color w:val="auto"/>
        </w:rPr>
        <w:t>Level 12, 44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https://iren.com The information contained on, or that may be accessed through, our website is not part of, and is not incorporated by reference into, this prospectus supplement.</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182880</wp:posOffset>
            </wp:positionV>
            <wp:extent cx="1242695" cy="746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12426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Iris Energy Limited</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(d/b/a IREN)</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$500,000,000</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Ordinary Shares</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Purchase Contracts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right="43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$500,000,000 of any combination of the following securities: ordinary shares, debt securities, warrants, subscription rights, purchase contracts and units (collectively,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8" w:lineRule="exact"/>
        <w:rPr>
          <w:sz w:val="20"/>
          <w:szCs w:val="20"/>
          <w:color w:val="auto"/>
        </w:rPr>
      </w:pPr>
    </w:p>
    <w:p>
      <w:pPr>
        <w:ind w:left="40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“Plan of Distribution” beginning on page </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of this prospectus.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“IREN”.</w:t>
      </w:r>
    </w:p>
    <w:p>
      <w:pPr>
        <w:spacing w:after="0" w:line="221" w:lineRule="exact"/>
        <w:rPr>
          <w:sz w:val="20"/>
          <w:szCs w:val="20"/>
          <w:color w:val="auto"/>
        </w:rPr>
      </w:pPr>
    </w:p>
    <w:p>
      <w:pPr>
        <w:ind w:left="40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the “Risk Factors” section beginning on page </w:t>
      </w:r>
      <w:r>
        <w:rPr>
          <w:rFonts w:ascii="Times New Roman" w:cs="Times New Roman" w:eastAsia="Times New Roman" w:hAnsi="Times New Roman"/>
          <w:sz w:val="18"/>
          <w:szCs w:val="18"/>
          <w:b w:val="1"/>
          <w:bCs w:val="1"/>
          <w:u w:val="single" w:color="auto"/>
          <w:color w:val="0000EE"/>
        </w:rPr>
        <w:t>7</w:t>
      </w:r>
      <w:r>
        <w:rPr>
          <w:rFonts w:ascii="Times New Roman" w:cs="Times New Roman" w:eastAsia="Times New Roman" w:hAnsi="Times New Roman"/>
          <w:sz w:val="18"/>
          <w:szCs w:val="18"/>
          <w:b w:val="1"/>
          <w:bCs w:val="1"/>
          <w:color w:val="auto"/>
        </w:rPr>
        <w:t xml:space="preserve"> of this prospectus and, if applicable, any risk factors described in any applicable prospectus supplement and in our Securities and Exchange Commission (“SEC”) filings that are incorporated by reference in this prospectus.</w:t>
      </w:r>
    </w:p>
    <w:p>
      <w:pPr>
        <w:spacing w:after="0" w:line="176" w:lineRule="exact"/>
        <w:rPr>
          <w:sz w:val="20"/>
          <w:szCs w:val="20"/>
          <w:color w:val="auto"/>
        </w:rPr>
      </w:pPr>
    </w:p>
    <w:p>
      <w:pPr>
        <w:jc w:val="both"/>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dated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5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6"/>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Glossary of Industry Terms and Concepts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Company</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12</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13</w:t>
            </w: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23</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Subscription Rights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25</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Purchase Contracts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26</w:t>
            </w: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27</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Forms of Securities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28</w:t>
            </w: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30</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Expenses of the Offering</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32</w:t>
            </w: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33</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33</w:t>
            </w: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Service of Process and Enforceability of Civil Liabilities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34</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35</w:t>
            </w: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Incorporated By Reference</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36</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-4337050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using a “shelf” registration process. Under this shelf registration process, we may, from time to time, sell up to $500,000,000 of any combination of the securities described in this prospectus. This prospectus provides you with a general description of the securities that may be offered by us.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81"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Before buying any of the securities that we are offering,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6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we nor any underwriters, dealers or agents have authorized anyone to provide you with information that is different from that contained in this prospectus, any amendment or supplement to this prospectus, or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8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75" w:lineRule="exact"/>
        <w:rPr>
          <w:sz w:val="20"/>
          <w:szCs w:val="20"/>
          <w:color w:val="auto"/>
        </w:rPr>
      </w:pPr>
    </w:p>
    <w:p>
      <w:pPr>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prospectus to “IREN,” the “Company,” “we,” “our,” “ours,” “us” or similar terms refer to Iris Energy Limited (d/b/a IREN) and its subsidiaries.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services marks, registered website domains, company and business names that we use in connection with the operation of our business. These include, among others, Iris Energy, IREN and www.iren.com. Other trademarks, service marks, and trade names referenced in this prospectus are, to our knowledge, the property of their respective owners.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references to “Canadian dollars,” “CAD” or “C$” are to the Canadian dollar, the official currency of Canada. All references to “IFRS” are to International Financial Reporting Standards, as issued by the International Accounting Standards Board, or the IASB. References to a particular “fiscal year” are to IREN’s fiscal year ended June 30 of that year.</w:t>
      </w:r>
    </w:p>
    <w:p>
      <w:pPr>
        <w:spacing w:after="0" w:line="72"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or AI Cloud Services market, or any other market or industry referenced in this prospectus. We do not intend, and do not assume any obligations, to update industry or market data set forth in this prospectus. Finally, behavior, preferences and trends in the marketplace tend to change. As a result, investors and prospective investors should be aware that data in this prospectus and estimates based on such data may not be reliable indicators of future results.</w:t>
      </w:r>
    </w:p>
    <w:p>
      <w:pPr>
        <w:spacing w:after="0" w:line="7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Throughout this prospectus, we use a number of industry terms and concepts which are defined as follows:</w:t>
      </w:r>
    </w:p>
    <w:p>
      <w:pPr>
        <w:spacing w:after="0" w:line="113"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Cloud Services: </w:t>
      </w:r>
      <w:r>
        <w:rPr>
          <w:rFonts w:ascii="Times New Roman" w:cs="Times New Roman" w:eastAsia="Times New Roman" w:hAnsi="Times New Roman"/>
          <w:sz w:val="18"/>
          <w:szCs w:val="18"/>
          <w:color w:val="auto"/>
        </w:rPr>
        <w:t>HPC products and services that are targeted to AI/ML customers.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AI/ML: </w:t>
      </w:r>
      <w:r>
        <w:rPr>
          <w:rFonts w:ascii="Times New Roman" w:cs="Times New Roman" w:eastAsia="Times New Roman" w:hAnsi="Times New Roman"/>
          <w:sz w:val="18"/>
          <w:szCs w:val="18"/>
          <w:color w:val="auto"/>
        </w:rPr>
        <w:t>Artificial Intelligence and Machine Learning. Artificial Intelligence (“AI”) is computer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ASICs: </w:t>
      </w:r>
      <w:r>
        <w:rPr>
          <w:rFonts w:ascii="Times New Roman" w:cs="Times New Roman" w:eastAsia="Times New Roman" w:hAnsi="Times New Roman"/>
          <w:sz w:val="18"/>
          <w:szCs w:val="18"/>
          <w:color w:val="auto"/>
        </w:rPr>
        <w:t>An Application Specific Integrated Circuit is a type of integrated circuit that is custom-designed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use, rather than intended for general-purpose use.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A system of global, decentralized, scarce, digital money as initially introduced in a white paper</w:t>
      </w:r>
    </w:p>
    <w:p>
      <w:pPr>
        <w:spacing w:after="0" w:line="3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Bitcoin: A Peer-to-Peer Electronic Cash System by Satoshi Nakamoto.</w:t>
      </w:r>
    </w:p>
    <w:p>
      <w:pPr>
        <w:spacing w:after="0" w:line="94" w:lineRule="exact"/>
        <w:rPr>
          <w:rFonts w:ascii="Times New Roman" w:cs="Times New Roman" w:eastAsia="Times New Roman" w:hAnsi="Times New Roman"/>
          <w:sz w:val="18"/>
          <w:szCs w:val="18"/>
          <w:color w:val="auto"/>
        </w:rPr>
      </w:pPr>
    </w:p>
    <w:p>
      <w:pPr>
        <w:ind w:left="1000" w:right="459" w:hanging="348"/>
        <w:spacing w:after="0" w:line="28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Bitcoin Network: </w:t>
      </w:r>
      <w:r>
        <w:rPr>
          <w:rFonts w:ascii="Times New Roman" w:cs="Times New Roman" w:eastAsia="Times New Roman" w:hAnsi="Times New Roman"/>
          <w:sz w:val="18"/>
          <w:szCs w:val="18"/>
          <w:color w:val="auto"/>
        </w:rPr>
        <w:t>The collection of all nodes running the Bitcoin protocol. This includes miners that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power to maintain the ledger and add new Blocks to the Blockchain.</w:t>
      </w:r>
    </w:p>
    <w:p>
      <w:pPr>
        <w:spacing w:after="0" w:line="46" w:lineRule="exact"/>
        <w:rPr>
          <w:rFonts w:ascii="Times New Roman" w:cs="Times New Roman" w:eastAsia="Times New Roman" w:hAnsi="Times New Roman"/>
          <w:sz w:val="18"/>
          <w:szCs w:val="18"/>
          <w:color w:val="auto"/>
        </w:rPr>
      </w:pPr>
    </w:p>
    <w:p>
      <w:pPr>
        <w:ind w:left="1000" w:right="599" w:hanging="348"/>
        <w:spacing w:after="0" w:line="28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w:t>
      </w:r>
      <w:r>
        <w:rPr>
          <w:rFonts w:ascii="Times New Roman" w:cs="Times New Roman" w:eastAsia="Times New Roman" w:hAnsi="Times New Roman"/>
          <w:sz w:val="18"/>
          <w:szCs w:val="18"/>
          <w:color w:val="auto"/>
        </w:rPr>
        <w:t>: A bundle of transactions analogous with digital pages in a ledger. Transactions are bundled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which are then added to the ledger. Miners are rewarded for “mining” a new Block.</w:t>
      </w:r>
    </w:p>
    <w:p>
      <w:pPr>
        <w:spacing w:after="0" w:line="46" w:lineRule="exact"/>
        <w:rPr>
          <w:rFonts w:ascii="Times New Roman" w:cs="Times New Roman" w:eastAsia="Times New Roman" w:hAnsi="Times New Roman"/>
          <w:sz w:val="18"/>
          <w:szCs w:val="18"/>
          <w:color w:val="auto"/>
        </w:rPr>
      </w:pPr>
    </w:p>
    <w:p>
      <w:pPr>
        <w:ind w:left="1000" w:right="499" w:hanging="348"/>
        <w:spacing w:after="0" w:line="26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A software program containing a cryptographically secure digital ledger that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all transactions that occur on the network, that enables peer-to-peer transmission of transaction information, and that follows a consensus protocol for confirming new Blocks to be added to the Blockchain.</w:t>
      </w:r>
    </w:p>
    <w:p>
      <w:pPr>
        <w:spacing w:after="0" w:line="68" w:lineRule="exact"/>
        <w:rPr>
          <w:rFonts w:ascii="Times New Roman" w:cs="Times New Roman" w:eastAsia="Times New Roman" w:hAnsi="Times New Roman"/>
          <w:sz w:val="18"/>
          <w:szCs w:val="18"/>
          <w:color w:val="auto"/>
        </w:rPr>
      </w:pPr>
    </w:p>
    <w:p>
      <w:pPr>
        <w:ind w:left="1000" w:right="619" w:hanging="348"/>
        <w:spacing w:after="0" w:line="26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GPUs: </w:t>
      </w:r>
      <w:r>
        <w:rPr>
          <w:rFonts w:ascii="Times New Roman" w:cs="Times New Roman" w:eastAsia="Times New Roman" w:hAnsi="Times New Roman"/>
          <w:sz w:val="18"/>
          <w:szCs w:val="18"/>
          <w:color w:val="auto"/>
        </w:rPr>
        <w:t>Graphics processing units are a type of computing technology designed for parallel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can be used in a wide range of applications, including graphics and video rendering, gaming, creative production and AI.</w:t>
      </w:r>
    </w:p>
    <w:p>
      <w:pPr>
        <w:spacing w:after="0" w:line="62" w:lineRule="exact"/>
        <w:rPr>
          <w:rFonts w:ascii="Times New Roman" w:cs="Times New Roman" w:eastAsia="Times New Roman" w:hAnsi="Times New Roman"/>
          <w:sz w:val="18"/>
          <w:szCs w:val="18"/>
          <w:color w:val="auto"/>
        </w:rPr>
      </w:pPr>
    </w:p>
    <w:p>
      <w:pPr>
        <w:ind w:left="1000" w:right="579" w:hanging="348"/>
        <w:spacing w:after="0" w:line="28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To compute a function that takes an input, and then outputs an alphanumeric string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value”.</w:t>
      </w:r>
    </w:p>
    <w:p>
      <w:pPr>
        <w:spacing w:after="0" w:line="46"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The speed at which a miner can produce computations (hashes) using the Bitcoin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 expressed in hashes per second. The hashrate of all miners on a particular network is referred to as the global hashrate.</w:t>
      </w:r>
    </w:p>
    <w:p>
      <w:pPr>
        <w:spacing w:after="0" w:line="62" w:lineRule="exact"/>
        <w:rPr>
          <w:rFonts w:ascii="Times New Roman" w:cs="Times New Roman" w:eastAsia="Times New Roman" w:hAnsi="Times New Roman"/>
          <w:sz w:val="18"/>
          <w:szCs w:val="18"/>
          <w:color w:val="auto"/>
        </w:rPr>
      </w:pPr>
    </w:p>
    <w:p>
      <w:pPr>
        <w:ind w:left="1000" w:right="539" w:hanging="348"/>
        <w:spacing w:after="0" w:line="259"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w:t>
      </w:r>
      <w:r>
        <w:rPr>
          <w:rFonts w:ascii="Times New Roman" w:cs="Times New Roman" w:eastAsia="Times New Roman" w:hAnsi="Times New Roman"/>
          <w:sz w:val="18"/>
          <w:szCs w:val="18"/>
          <w:color w:val="auto"/>
        </w:rPr>
        <w:t>: High-performance computing, which refers to the aggregation of computing power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71" w:lineRule="exact"/>
        <w:rPr>
          <w:rFonts w:ascii="Times New Roman" w:cs="Times New Roman" w:eastAsia="Times New Roman" w:hAnsi="Times New Roman"/>
          <w:sz w:val="18"/>
          <w:szCs w:val="18"/>
          <w:color w:val="auto"/>
        </w:rPr>
      </w:pPr>
    </w:p>
    <w:p>
      <w:pPr>
        <w:ind w:left="1000" w:right="819" w:hanging="348"/>
        <w:spacing w:after="0" w:line="26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Individuals or entities who operate a computer or group of computers that compete to 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Bitcoin miners who successfully mine Blocks are rewarded with new Bitcoin as well as any transaction fees.</w:t>
      </w:r>
    </w:p>
    <w:p>
      <w:pPr>
        <w:spacing w:after="0" w:line="62" w:lineRule="exact"/>
        <w:rPr>
          <w:rFonts w:ascii="Times New Roman" w:cs="Times New Roman" w:eastAsia="Times New Roman" w:hAnsi="Times New Roman"/>
          <w:sz w:val="18"/>
          <w:szCs w:val="18"/>
          <w:color w:val="auto"/>
        </w:rPr>
      </w:pPr>
    </w:p>
    <w:p>
      <w:pPr>
        <w:ind w:left="1000" w:right="359" w:hanging="348"/>
        <w:spacing w:after="0" w:line="28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The process by which new Bitcoin Blocks are created, and thus new transactions are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 in the Bitcoin Network.</w:t>
      </w:r>
    </w:p>
    <w:p>
      <w:pPr>
        <w:spacing w:after="0" w:line="46" w:lineRule="exact"/>
        <w:rPr>
          <w:rFonts w:ascii="Times New Roman" w:cs="Times New Roman" w:eastAsia="Times New Roman" w:hAnsi="Times New Roman"/>
          <w:sz w:val="18"/>
          <w:szCs w:val="18"/>
          <w:color w:val="auto"/>
        </w:rPr>
      </w:pPr>
    </w:p>
    <w:p>
      <w:pPr>
        <w:ind w:left="1000" w:right="379" w:hanging="348"/>
        <w:spacing w:after="0" w:line="259"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pools</w:t>
      </w:r>
      <w:r>
        <w:rPr>
          <w:rFonts w:ascii="Times New Roman" w:cs="Times New Roman" w:eastAsia="Times New Roman" w:hAnsi="Times New Roman"/>
          <w:sz w:val="18"/>
          <w:szCs w:val="18"/>
          <w:color w:val="auto"/>
        </w:rPr>
        <w:t>: Mining pools are platforms for miners to contribute their hashrate in exchange for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w:t>
      </w:r>
      <w:r>
        <w:rPr>
          <w:rFonts w:ascii="Times New Roman" w:cs="Times New Roman" w:eastAsia="Times New Roman" w:hAnsi="Times New Roman"/>
          <w:sz w:val="18"/>
          <w:szCs w:val="18"/>
          <w:color w:val="auto"/>
        </w:rPr>
        <w:t>: Renewable Energy Certificate.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87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next-generation data centers powered by 100% renewable energy (whether from clean or renewable energy sources or through the purchase of RECs). Our data centers are purpose-built for high performance computing and today support a combination of ASICs for Bitcoin mining and GPUs for AI workloads.</w:t>
      </w:r>
    </w:p>
    <w:p>
      <w:pPr>
        <w:spacing w:after="0" w:line="72" w:lineRule="exact"/>
        <w:rPr>
          <w:sz w:val="20"/>
          <w:szCs w:val="20"/>
          <w:color w:val="auto"/>
        </w:rPr>
      </w:pPr>
    </w:p>
    <w:p>
      <w:pPr>
        <w:jc w:val="both"/>
        <w:ind w:left="320" w:right="539" w:firstLine="360"/>
        <w:spacing w:after="0" w:line="266"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 dollars or Canadian dollars.</w:t>
      </w:r>
    </w:p>
    <w:p>
      <w:pPr>
        <w:spacing w:after="0" w:line="68"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We have been mining Bitcoin since 2019. We typically liquidate all the Bitcoin we mine daily and therefore did not have any Bitcoin held on our balance sheet as of March 31, 2024.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spacing w:after="0" w:line="75"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We are also pursuing a strategy to diversify our revenue streams into new markets. In June 2023, we announced that we have revitalized our strategy of developing HPC solutions, which currently is targeted at delivering AI Cloud Services.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 and Corporate Information</w:t>
      </w:r>
    </w:p>
    <w:p>
      <w:pPr>
        <w:spacing w:after="0" w:line="121"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Our principal executive offices are located at Level 12, 44 Market Street, Sydney, Australia, and our telephone number is +61 2 7906 8301. We maintain a website at https://iren.com. Information on our website is not incorporated by reference into or otherwise part of this prospectus.</w:t>
      </w:r>
    </w:p>
    <w:p>
      <w:pPr>
        <w:spacing w:after="0" w:line="185" w:lineRule="exact"/>
        <w:rPr>
          <w:sz w:val="20"/>
          <w:szCs w:val="20"/>
          <w:color w:val="auto"/>
        </w:rPr>
      </w:pPr>
    </w:p>
    <w:p>
      <w:pPr>
        <w:ind w:left="320" w:right="235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Implications of Being an Emerging Growth Company and a Foreign Private Issuer </w:t>
      </w:r>
      <w:r>
        <w:rPr>
          <w:rFonts w:ascii="Times New Roman" w:cs="Times New Roman" w:eastAsia="Times New Roman" w:hAnsi="Times New Roman"/>
          <w:sz w:val="18"/>
          <w:szCs w:val="18"/>
          <w:b w:val="1"/>
          <w:bCs w:val="1"/>
          <w:i w:val="1"/>
          <w:iCs w:val="1"/>
          <w:color w:val="auto"/>
        </w:rPr>
        <w:t>Emerging Growth Company</w:t>
      </w:r>
    </w:p>
    <w:p>
      <w:pPr>
        <w:spacing w:after="0" w:line="1" w:lineRule="exact"/>
        <w:rPr>
          <w:sz w:val="20"/>
          <w:szCs w:val="20"/>
          <w:color w:val="auto"/>
        </w:rPr>
      </w:pPr>
    </w:p>
    <w:p>
      <w:pPr>
        <w:ind w:left="320" w:right="459" w:firstLine="360"/>
        <w:spacing w:after="0" w:line="277" w:lineRule="auto"/>
        <w:rPr>
          <w:sz w:val="20"/>
          <w:szCs w:val="20"/>
          <w:color w:val="auto"/>
        </w:rPr>
      </w:pPr>
      <w:r>
        <w:rPr>
          <w:rFonts w:ascii="Times New Roman" w:cs="Times New Roman" w:eastAsia="Times New Roman" w:hAnsi="Times New Roman"/>
          <w:sz w:val="17"/>
          <w:szCs w:val="17"/>
          <w:color w:val="auto"/>
        </w:rPr>
        <w:t>As a company with less than $1.235 billion in revenue during our last fiscal year, we qualify as an “emerging growth company” as defined in the Jumpstart Our Business Startups Act of 2012 (“JOBS Act”). For so long as we remain an emerging growth company, we are eligible to utilize the following provisions of the JOBS Act that contain exceptions from disclosure and other requirements that otherwise are applicable to companies that conduct initial public offerings and file periodic reports with the SEC. These provisions include, but are not limited to:</w:t>
      </w:r>
    </w:p>
    <w:p>
      <w:pPr>
        <w:spacing w:after="0" w:line="60" w:lineRule="exact"/>
        <w:rPr>
          <w:sz w:val="20"/>
          <w:szCs w:val="20"/>
          <w:color w:val="auto"/>
        </w:rPr>
      </w:pPr>
    </w:p>
    <w:p>
      <w:pPr>
        <w:ind w:left="1020" w:right="299" w:hanging="350"/>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SOX, the assessment of our internal control over financial reporting, which would otherwise be applicable beginning with the second annual report following the effectiveness of this registration statement;</w:t>
      </w:r>
    </w:p>
    <w:p>
      <w:pPr>
        <w:spacing w:after="0" w:line="67" w:lineRule="exact"/>
        <w:rPr>
          <w:rFonts w:ascii="Times New Roman" w:cs="Times New Roman" w:eastAsia="Times New Roman" w:hAnsi="Times New Roman"/>
          <w:sz w:val="18"/>
          <w:szCs w:val="18"/>
          <w:color w:val="auto"/>
        </w:rPr>
      </w:pPr>
    </w:p>
    <w:p>
      <w:pPr>
        <w:ind w:left="1020" w:right="339" w:hanging="350"/>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 and</w:t>
      </w:r>
    </w:p>
    <w:p>
      <w:pPr>
        <w:spacing w:after="0" w:line="53" w:lineRule="exact"/>
        <w:rPr>
          <w:rFonts w:ascii="Times New Roman" w:cs="Times New Roman" w:eastAsia="Times New Roman" w:hAnsi="Times New Roman"/>
          <w:sz w:val="18"/>
          <w:szCs w:val="18"/>
          <w:color w:val="auto"/>
        </w:rPr>
      </w:pPr>
    </w:p>
    <w:p>
      <w:pPr>
        <w:ind w:left="1020" w:right="419" w:hanging="350"/>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54"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first to occur of (i) June 30, 2027, (ii) the last day of the fiscal year in which we have total annual gross revenue of at least $1.235 billion or (iii) the last day of the fiscal in which we are deemed to be a “large accelerated filer,” as defined in the Securities Exchange Act of 1934, as amended (the “Exchange Act”), which means the market value of our ordinary shares that are held by non-affiliates exceeds $700 million as of the last business day of the second financial quarter of such financial year; or, if it occurs before any of the foregoing dates, the date on which we have issued more than $1 billion in non-convertible debt over a three-year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0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99" w:firstLine="360"/>
        <w:spacing w:after="0" w:line="261" w:lineRule="auto"/>
        <w:rPr>
          <w:sz w:val="20"/>
          <w:szCs w:val="20"/>
          <w:color w:val="auto"/>
        </w:rPr>
      </w:pPr>
      <w:r>
        <w:rPr>
          <w:rFonts w:ascii="Times New Roman" w:cs="Times New Roman" w:eastAsia="Times New Roman" w:hAnsi="Times New Roman"/>
          <w:sz w:val="18"/>
          <w:szCs w:val="18"/>
          <w:color w:val="auto"/>
        </w:rPr>
        <w:t>We have elected to utilize certain of the reduced disclosure obligations in this prospectus and may elect to utilize other reduced reporting requirements in our future filings with the SEC. As a result, the information that we provide to our shareholders may be different than what you might receive from other public reporting companies in which you hold equity interests.</w:t>
      </w:r>
    </w:p>
    <w:p>
      <w:pPr>
        <w:spacing w:after="0" w:line="72" w:lineRule="exact"/>
        <w:rPr>
          <w:sz w:val="20"/>
          <w:szCs w:val="20"/>
          <w:color w:val="auto"/>
        </w:rPr>
      </w:pPr>
    </w:p>
    <w:p>
      <w:pPr>
        <w:ind w:left="320" w:right="439" w:firstLine="360"/>
        <w:spacing w:after="0" w:line="256" w:lineRule="auto"/>
        <w:rPr>
          <w:sz w:val="20"/>
          <w:szCs w:val="20"/>
          <w:color w:val="auto"/>
        </w:rPr>
      </w:pPr>
      <w:r>
        <w:rPr>
          <w:rFonts w:ascii="Times New Roman" w:cs="Times New Roman" w:eastAsia="Times New Roman" w:hAnsi="Times New Roman"/>
          <w:sz w:val="18"/>
          <w:szCs w:val="18"/>
          <w:color w:val="auto"/>
        </w:rPr>
        <w:t>Under Section 107(b) of the JOBS Act, emerging growth companies can delay adopting new or revised accounting standards until such time as those standards apply to private companies. Given that we currently report and expect to continue to report under the International Financial Reporting Standards (“IFRS”) as issued by the International Accounting Standards Board (“IASB”), we will not be able to avail ourselves of this extended transition period and, as a result, we will adopt new or revised accounting standards on the relevant dates on which adoption of such standards is required by the IASB.</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121" w:lineRule="exact"/>
        <w:rPr>
          <w:sz w:val="20"/>
          <w:szCs w:val="20"/>
          <w:color w:val="auto"/>
        </w:rPr>
      </w:pPr>
    </w:p>
    <w:p>
      <w:pPr>
        <w:ind w:left="320" w:right="659" w:firstLine="360"/>
        <w:spacing w:after="0" w:line="266"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SEC, including:</w:t>
      </w:r>
    </w:p>
    <w:p>
      <w:pPr>
        <w:spacing w:after="0" w:line="68" w:lineRule="exact"/>
        <w:rPr>
          <w:sz w:val="20"/>
          <w:szCs w:val="20"/>
          <w:color w:val="auto"/>
        </w:rPr>
      </w:pPr>
    </w:p>
    <w:p>
      <w:pPr>
        <w:ind w:left="1020" w:right="819" w:hanging="350"/>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719" w:hanging="350"/>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559" w:hanging="350"/>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68"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also permitted to follow home country corporate governance practices instead of certain corporate governance practices required by the Nasdaq for U.S. domestic issuers. While we intend to follow most Nasdaq corporate governance listing standards, we intend to follow Australian law for certain corporate governance practices in lieu of Nasdaq corporate governance listing standards as follows:</w:t>
      </w:r>
    </w:p>
    <w:p>
      <w:pPr>
        <w:spacing w:after="0" w:line="72" w:lineRule="exact"/>
        <w:rPr>
          <w:sz w:val="20"/>
          <w:szCs w:val="20"/>
          <w:color w:val="auto"/>
        </w:rPr>
      </w:pPr>
    </w:p>
    <w:p>
      <w:pPr>
        <w:ind w:left="1020" w:right="619" w:hanging="350"/>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a nominating and corporate governance committee composed solely of independent members of the board of directors;</w:t>
      </w:r>
    </w:p>
    <w:p>
      <w:pPr>
        <w:spacing w:after="0" w:line="53" w:lineRule="exact"/>
        <w:rPr>
          <w:rFonts w:ascii="Times New Roman" w:cs="Times New Roman" w:eastAsia="Times New Roman" w:hAnsi="Times New Roman"/>
          <w:sz w:val="18"/>
          <w:szCs w:val="18"/>
          <w:color w:val="auto"/>
        </w:rPr>
      </w:pPr>
    </w:p>
    <w:p>
      <w:pPr>
        <w:ind w:left="1020" w:right="739" w:hanging="350"/>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quorum requirements applicable to meetings of shareholders under Nasdaq rules. In accordance with generally accepted business practice and Australian law, our Constitution provides quorum requirements that are generally applicable to meetings of shareholders under Australian law;</w:t>
      </w:r>
    </w:p>
    <w:p>
      <w:pPr>
        <w:spacing w:after="0" w:line="67" w:lineRule="exact"/>
        <w:rPr>
          <w:rFonts w:ascii="Times New Roman" w:cs="Times New Roman" w:eastAsia="Times New Roman" w:hAnsi="Times New Roman"/>
          <w:sz w:val="18"/>
          <w:szCs w:val="18"/>
          <w:color w:val="auto"/>
        </w:rPr>
      </w:pPr>
    </w:p>
    <w:p>
      <w:pPr>
        <w:ind w:left="1020" w:right="339" w:hanging="350"/>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corporate governance listing standards, as permitted by the foreign private issuer exemption; and</w:t>
      </w:r>
    </w:p>
    <w:p>
      <w:pPr>
        <w:spacing w:after="0" w:line="75" w:lineRule="exact"/>
        <w:rPr>
          <w:rFonts w:ascii="Times New Roman" w:cs="Times New Roman" w:eastAsia="Times New Roman" w:hAnsi="Times New Roman"/>
          <w:sz w:val="18"/>
          <w:szCs w:val="18"/>
          <w:color w:val="auto"/>
        </w:rPr>
      </w:pPr>
    </w:p>
    <w:p>
      <w:pPr>
        <w:ind w:left="1020" w:right="939" w:hanging="350"/>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4" w:lineRule="exact"/>
        <w:rPr>
          <w:sz w:val="20"/>
          <w:szCs w:val="20"/>
          <w:color w:val="auto"/>
        </w:rPr>
      </w:pPr>
    </w:p>
    <w:p>
      <w:pPr>
        <w:jc w:val="both"/>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We currently intend to take all actions necessary for us to maintain compliance as a foreign private issuer under the applicable corporate governance requirements of the Sarbanes-Oxley Act, the rules adopted by the SEC and the Nasdaq corporate governance rules and listing standards.</w:t>
      </w:r>
    </w:p>
    <w:p>
      <w:pPr>
        <w:spacing w:after="0" w:line="68" w:lineRule="exact"/>
        <w:rPr>
          <w:sz w:val="20"/>
          <w:szCs w:val="20"/>
          <w:color w:val="auto"/>
        </w:rPr>
      </w:pPr>
    </w:p>
    <w:p>
      <w:pPr>
        <w:ind w:left="320" w:right="519" w:firstLine="360"/>
        <w:spacing w:after="0" w:line="261" w:lineRule="auto"/>
        <w:rPr>
          <w:sz w:val="20"/>
          <w:szCs w:val="20"/>
          <w:color w:val="auto"/>
        </w:rPr>
      </w:pPr>
      <w:r>
        <w:rPr>
          <w:rFonts w:ascii="Times New Roman" w:cs="Times New Roman" w:eastAsia="Times New Roman" w:hAnsi="Times New Roman"/>
          <w:sz w:val="18"/>
          <w:szCs w:val="18"/>
          <w:color w:val="auto"/>
        </w:rPr>
        <w:t>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72" w:lineRule="exact"/>
        <w:rPr>
          <w:sz w:val="20"/>
          <w:szCs w:val="20"/>
          <w:color w:val="auto"/>
        </w:rPr>
      </w:pPr>
    </w:p>
    <w:p>
      <w:pPr>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We may utilize these exemptions until such time as we are no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57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5653405" cy="25761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75" w:lineRule="exact"/>
        <w:rPr>
          <w:sz w:val="20"/>
          <w:szCs w:val="20"/>
          <w:color w:val="auto"/>
        </w:rPr>
      </w:pPr>
    </w:p>
    <w:p>
      <w:pPr>
        <w:ind w:left="320" w:right="419" w:firstLine="360"/>
        <w:spacing w:after="0" w:line="281" w:lineRule="auto"/>
        <w:rPr>
          <w:sz w:val="20"/>
          <w:szCs w:val="20"/>
          <w:color w:val="auto"/>
        </w:rPr>
      </w:pPr>
      <w:r>
        <w:rPr>
          <w:rFonts w:ascii="Times New Roman" w:cs="Times New Roman" w:eastAsia="Times New Roman" w:hAnsi="Times New Roman"/>
          <w:sz w:val="17"/>
          <w:szCs w:val="17"/>
          <w:color w:val="auto"/>
        </w:rPr>
        <w:t>In this prospectus and in the documents incorporated by reference in this prospectus, we have taken advantage of certain of the reduced reporting requirements as a result of being a foreign private issuer. Accordingly, the information contained in this prospectus and in the documents incorporated by reference in this prospectus may be different than the information you receive from other public companies in which you hold securities.</w:t>
      </w:r>
    </w:p>
    <w:p>
      <w:pPr>
        <w:spacing w:after="0" w:line="56"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For additional information, see “Item 3.D. Key Information—Risk Factors—Risks Related to Being a Foreign Private Issuer—As a foreign private issuer, we are exempt from a number of rules under the U.S. securities laws and are permitted to file less information with the SEC than a U.S. company” and “Item 3.D. Key Information—Risk Factors—General Risk Factors—We are an “emerging growth company” under the JOBS Act and will avail ourselves of reduced disclosure requirements applicable to emerging growth companies” in our Annual Report on Form 20-F, incorporated herein by reference.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risks described under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w:t>
      </w:r>
    </w:p>
    <w:p>
      <w:pPr>
        <w:spacing w:after="0" w:line="8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prospectus and the documents incorporated by reference into this prospectus,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spacing w:after="0" w:line="8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and to diversify into the market for HPC solutions, and in particular any current or future AI Cloud Services we offer ;</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AI Cloud Services;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or future AI Cloud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AI Cloud Services;</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AI Cloud Services, and other counterparties;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AI Cloud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AI Cloud Services we offer, on commercially reasonable terms or at all, and any delays or reductions in the supply of such hardware or increases in the cost of procuring such hardware;</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as well as hardware for other applications, including any current or future AI Cloud Services we offer);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(such as AI Cloud Services), including regulations related to data privacy, cybersecurity and the storage, use or processing of information;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(such as COVID-19)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environmental, social and governance issues or reporting;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being a public company; and</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disclosed under “Item 3.D.—Risk Factors” in our Annual Report on Form 20-F, incorporated herein by reference.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Because forward-looking</w:t>
      </w:r>
    </w:p>
    <w:p>
      <w:pPr>
        <w:spacing w:after="0" w:line="27" w:lineRule="exact"/>
        <w:rPr>
          <w:sz w:val="20"/>
          <w:szCs w:val="20"/>
          <w:color w:val="auto"/>
        </w:rPr>
      </w:pPr>
    </w:p>
    <w:p>
      <w:pPr>
        <w:ind w:left="300" w:right="599"/>
        <w:spacing w:after="0" w:line="265" w:lineRule="auto"/>
        <w:rPr>
          <w:sz w:val="20"/>
          <w:szCs w:val="20"/>
          <w:color w:val="auto"/>
        </w:rPr>
      </w:pPr>
      <w:r>
        <w:rPr>
          <w:rFonts w:ascii="Times New Roman" w:cs="Times New Roman" w:eastAsia="Times New Roman" w:hAnsi="Times New Roman"/>
          <w:sz w:val="17"/>
          <w:szCs w:val="17"/>
          <w:color w:val="auto"/>
        </w:rPr>
        <w:t>statements are inherently subject to risks and uncertainties,‎ some of which cannot be predicted or quantified and some of which are beyond our control, you ‎should not rely on these forward-looking statements as predictions of</w:t>
      </w:r>
    </w:p>
    <w:p>
      <w:pPr>
        <w:ind w:left="300" w:right="619"/>
        <w:spacing w:after="0" w:line="265" w:lineRule="auto"/>
        <w:rPr>
          <w:sz w:val="20"/>
          <w:szCs w:val="20"/>
          <w:color w:val="auto"/>
        </w:rPr>
      </w:pPr>
      <w:r>
        <w:rPr>
          <w:rFonts w:ascii="Times New Roman" w:cs="Times New Roman" w:eastAsia="Times New Roman" w:hAnsi="Times New Roman"/>
          <w:sz w:val="17"/>
          <w:szCs w:val="17"/>
          <w:color w:val="auto"/>
        </w:rPr>
        <w:t>future events. Moreover, we operate in an evolving‎ environment. New risk factors and uncertainties may emerge from time to time, and it is not possible for ‎management to predict all risk factors and uncertainties. Except as</w:t>
      </w:r>
    </w:p>
    <w:p>
      <w:pPr>
        <w:ind w:left="300" w:right="339"/>
        <w:spacing w:after="0" w:line="265" w:lineRule="auto"/>
        <w:rPr>
          <w:sz w:val="20"/>
          <w:szCs w:val="20"/>
          <w:color w:val="auto"/>
        </w:rPr>
      </w:pPr>
      <w:r>
        <w:rPr>
          <w:rFonts w:ascii="Times New Roman" w:cs="Times New Roman" w:eastAsia="Times New Roman" w:hAnsi="Times New Roman"/>
          <w:sz w:val="17"/>
          <w:szCs w:val="17"/>
          <w:color w:val="auto"/>
        </w:rPr>
        <w:t>required by applicable law, we do not plan to publicly‎ update or revise any forward-looking statements, whether as a result of any new information, future ‎events, changed circumstances or otherwise. You should read this prospectus,</w:t>
      </w: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our board and subject to Australian law. If our board of directors elects to pay dividends, the form, frequency and amount will depend upon our future operations and earning, capital requirements and surplus, general financial conditions, contractual restrictions and other factors that our board of directors may deem relevant. B Class shares do not confer on their holders any right to receive dividends.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CONSTITUTION</w:t>
      </w:r>
    </w:p>
    <w:p>
      <w:pPr>
        <w:spacing w:after="0" w:line="11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Constitution. Reference is made to the more detailed provisions of the Constitution. Please note that this summary is not intended to be exhaustive. For further information please refer to the full version of our amended and restated Constitution which is included as an exhibit to this registration statement.</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IREN was incorporated under the laws of New South Wales, Australia on November 6, 2018, and is an Australian public company (ACN 629 842 799). Our registered address is located at c/o Pitcher Partners, Level 13, 664 Collins Street, Docklands, Victoria, Australia 3008.</w:t>
      </w:r>
    </w:p>
    <w:p>
      <w:pPr>
        <w:spacing w:after="0" w:line="68" w:lineRule="exact"/>
        <w:rPr>
          <w:sz w:val="20"/>
          <w:szCs w:val="20"/>
          <w:color w:val="auto"/>
        </w:rPr>
      </w:pPr>
    </w:p>
    <w:p>
      <w:pPr>
        <w:jc w:val="both"/>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We do not have a limit on our authorized share capital and do not recognize the concept of par value under Australian law.</w:t>
      </w:r>
    </w:p>
    <w:p>
      <w:pPr>
        <w:spacing w:after="0" w:line="54" w:lineRule="exact"/>
        <w:rPr>
          <w:sz w:val="20"/>
          <w:szCs w:val="20"/>
          <w:color w:val="auto"/>
        </w:rPr>
      </w:pPr>
    </w:p>
    <w:p>
      <w:pPr>
        <w:jc w:val="both"/>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Subject to restrictions on the issue of securities in our Constitution and the Corporations Act and any other applicable law, we may at any time issue shares and grant options or warrants on any terms, with the rights and restrictions and for the consideration that the board determine.</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rights and restrictions attaching to ordinary shares and B Class shares are derived through a combination of our Constitution, the common law applicable to Australia, the Corporations Act and other applicable law. A general summary of some of the rights and restrictions attaching to ordinary shares and B Class shares are summarized below. Each ordinary shareholder is entitled to receive notice of and to be present, to vote and to speak at general meetings.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and B Class shares will have the rights and restrictions described in “Key Provisions in our Constitution.”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in Our Constitution</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Our Constitution is similar in nature to the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spacing w:after="0" w:line="72"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forms a part.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 Exercisable by Directors</w:t>
      </w:r>
    </w:p>
    <w:p>
      <w:pPr>
        <w:spacing w:after="0" w:line="12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 management and control of our business affairs are vested in our board of directors.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Under the Constitution, the minimum number of directors that may comprise the board is 3 and the maximum is fixed by the directors but may not be more than 10 (unless otherwise determined by the board of directors). Directors are elected at annual general meetings of the Company. The directors may also appoint a Director to fill a casual vacancy on the Board or in addition to the existing directors, who will then hold office until the next annual general meeting of the Company.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and Restrictions on Classes of Shares</w:t>
      </w:r>
    </w:p>
    <w:p>
      <w:pPr>
        <w:spacing w:after="0" w:line="121"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of directors may determine. Subject to the Corporations Act and our Constitution (see </w:t>
      </w:r>
      <w:r>
        <w:rPr>
          <w:rFonts w:ascii="Times New Roman" w:cs="Times New Roman" w:eastAsia="Times New Roman" w:hAnsi="Times New Roman"/>
          <w:sz w:val="18"/>
          <w:szCs w:val="18"/>
          <w:i w:val="1"/>
          <w:iCs w:val="1"/>
          <w:color w:val="auto"/>
        </w:rPr>
        <w:t>“Anti-Takeover Effects of Certain Provisions of Our Constitution”</w:t>
      </w:r>
      <w:r>
        <w:rPr>
          <w:rFonts w:ascii="Times New Roman" w:cs="Times New Roman" w:eastAsia="Times New Roman" w:hAnsi="Times New Roman"/>
          <w:sz w:val="18"/>
          <w:szCs w:val="18"/>
          <w:color w:val="auto"/>
        </w:rPr>
        <w:t>), we may issue further shares on such terms and conditions as our board of directors resolve.</w:t>
      </w:r>
    </w:p>
    <w:p>
      <w:pPr>
        <w:spacing w:after="0" w:line="7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300" w:right="519" w:firstLine="360"/>
        <w:spacing w:after="0" w:line="276" w:lineRule="auto"/>
        <w:rPr>
          <w:sz w:val="20"/>
          <w:szCs w:val="20"/>
          <w:color w:val="auto"/>
        </w:rPr>
      </w:pPr>
      <w:r>
        <w:rPr>
          <w:rFonts w:ascii="Times New Roman" w:cs="Times New Roman" w:eastAsia="Times New Roman" w:hAnsi="Times New Roman"/>
          <w:sz w:val="17"/>
          <w:szCs w:val="17"/>
          <w:color w:val="auto"/>
        </w:rPr>
        <w:t>Under the Corporations Act, a company must not pay a dividend unless (a) the company’s assets exceed its liabilities immediately before the dividend is declared and the excess is sufficient for the payment of the dividend;</w:t>
      </w:r>
    </w:p>
    <w:p>
      <w:pPr>
        <w:spacing w:after="0" w:line="1" w:lineRule="exact"/>
        <w:rPr>
          <w:sz w:val="20"/>
          <w:szCs w:val="20"/>
          <w:color w:val="auto"/>
        </w:rPr>
      </w:pPr>
    </w:p>
    <w:p>
      <w:pPr>
        <w:ind w:left="300" w:right="319" w:hanging="8"/>
        <w:spacing w:after="0" w:line="253" w:lineRule="auto"/>
        <w:tabs>
          <w:tab w:leader="none" w:pos="5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dividend is fair and reasonable to the company’s shareholders as a whole; and (c)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w:t>
      </w:r>
    </w:p>
    <w:p>
      <w:pPr>
        <w:spacing w:after="0" w:line="79"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All dividends unclaimed for one year after the time for payment has passed may be invested or otherwise made use of by our board for our benefit until claimed or until dealt with under any law relating to unclaimed moneys.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Voting rights at a general meeting of the Company’s shareholders will be determined by poll (rather than a show of hands).</w:t>
      </w:r>
    </w:p>
    <w:p>
      <w:pPr>
        <w:spacing w:after="0" w:line="54"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On a poll, holders of ordinary shares are entitled to one vote for each ordinary share held and a fraction of a vote for each partly paid share held by the shareholder and in respect.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B Class shares are entitled to vote at general meetings of shareholders. Each B Class shareholder is entitled on a poll, to 15 votes for each ordinary share held by the holder of a B Class share.</w:t>
      </w:r>
    </w:p>
    <w:p>
      <w:pPr>
        <w:spacing w:after="0" w:line="54"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In the case of joint holders of a share, the vote of the joint holder whose name appears first on the register of shareholders in respect of the joint holding shall be accepted to the exclusion of the votes of the other joint 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Corporations Act and the provisions of our Constitution, the circumstances in which holders of a class of shares, including holders of ordinary shares, will be entitled to vote separately as a single class are limited to:</w:t>
      </w:r>
    </w:p>
    <w:p>
      <w:pPr>
        <w:spacing w:after="0" w:line="68"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variation of class rights that only affect a single share class;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compromise or arrangement proposed that would affect a certain class of holder, e.g. a plan of arrangement to transfer a class of share to a bidder;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response to a takeover bid for a specific class of shares.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 to Share in Our Profits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to Share in the Surplus in the Event of Winding Up</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If the Company is wound up, then subject to any rights or restrictions attached to a class of shares, any surplus must be divided among the Company’s shareholders in the proportions which the amount paid and payable (including amounts credited) on the shares of a shareholder is of the total amount paid and payable (including amounts credited) on the shares of all shareholders of the Company.</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 Class shares shall not confer on their holders any right to participate pro rata in any distribution of profits and assets of, and any proceeds received by, the company in excess of the total amount of capital paid-up by the holders upon issue of such B Class share.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 Provision for Shares</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There are no redemption provisions in our Constitution in relation to ordinary shares. Under our Constitution, shares may be issued and allotted, which are liable to be redeemed.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Class shares will be redeemed by the Company for A$1.00 per B Class share in accordance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Constitution upon the earlier to occur of the following circumstances:</w:t>
      </w:r>
    </w:p>
    <w:p>
      <w:pPr>
        <w:spacing w:after="0" w:line="99"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(or its affiliate) ceases to be a director due to voluntary retirement;</w:t>
      </w:r>
    </w:p>
    <w:p>
      <w:pPr>
        <w:spacing w:after="0" w:line="11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B Class share by that holder (or an affiliate) to another person in breach of the Constitution (which is unremedied within 20 business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winding up of the Company; or</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12 years after the date upon which the company becomes first listed on a recognized stock exchange.</w:t>
      </w:r>
    </w:p>
    <w:p>
      <w:pPr>
        <w:spacing w:after="0" w:line="5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or Cancellation of Share Rights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121" w:lineRule="exact"/>
        <w:rPr>
          <w:sz w:val="20"/>
          <w:szCs w:val="20"/>
          <w:color w:val="auto"/>
        </w:rPr>
      </w:pPr>
    </w:p>
    <w:p>
      <w:pPr>
        <w:ind w:left="300" w:right="739" w:firstLine="360"/>
        <w:spacing w:after="0" w:line="312" w:lineRule="auto"/>
        <w:rPr>
          <w:sz w:val="20"/>
          <w:szCs w:val="20"/>
          <w:color w:val="auto"/>
        </w:rPr>
      </w:pPr>
      <w:r>
        <w:rPr>
          <w:rFonts w:ascii="Times New Roman" w:cs="Times New Roman" w:eastAsia="Times New Roman" w:hAnsi="Times New Roman"/>
          <w:sz w:val="17"/>
          <w:szCs w:val="17"/>
          <w:color w:val="auto"/>
        </w:rPr>
        <w:t>General meetings of shareholders may be called by our board of directors. Except as permitted under the Corporations Act, shareholders may not convene a meeting. The Corporations Act requires the directors to call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Ownership Regulations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Constitution does not impose specific limitations on the rights of non-residents to own securities. However, acquisitions and proposed acquisitions of securities in Australian companies may be subject to review and approval by the Australian Federal Treasurer under the </w:t>
      </w:r>
      <w:r>
        <w:rPr>
          <w:rFonts w:ascii="Times New Roman" w:cs="Times New Roman" w:eastAsia="Times New Roman" w:hAnsi="Times New Roman"/>
          <w:sz w:val="18"/>
          <w:szCs w:val="18"/>
          <w:i w:val="1"/>
          <w:iCs w:val="1"/>
          <w:color w:val="auto"/>
        </w:rPr>
        <w:t>Foreign Acquisitions and Takeovers Act 1975</w:t>
      </w:r>
      <w:r>
        <w:rPr>
          <w:rFonts w:ascii="Times New Roman" w:cs="Times New Roman" w:eastAsia="Times New Roman" w:hAnsi="Times New Roman"/>
          <w:sz w:val="18"/>
          <w:szCs w:val="18"/>
          <w:color w:val="auto"/>
        </w:rPr>
        <w:t xml:space="preserve"> (Cth), or the FATA, which generally applies to acquisitions or proposed acquisitions:</w:t>
      </w:r>
    </w:p>
    <w:p>
      <w:pPr>
        <w:spacing w:after="0" w:line="72" w:lineRule="exact"/>
        <w:rPr>
          <w:sz w:val="20"/>
          <w:szCs w:val="20"/>
          <w:color w:val="auto"/>
        </w:rPr>
      </w:pPr>
    </w:p>
    <w:p>
      <w:pPr>
        <w:ind w:left="1000" w:right="39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person (as defined in the FATA) or associated foreign persons that would result in such persons having an interest in 20% or more of the issued shares of, or control of 20% or more of the voting power in, an Australian company; or</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government investor (as defined in the FATA) that would result in such a person having any direct interest (as defined in the FATA) in an Australian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terms, for proposals for investment in non-sensitive sectors, no such review or approval under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FATA is required if the foreign acquirer is a U.S. entity and the value of the Australian target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A$1,427 million. A lower general A$330 million threshold applies to most other foreign investors. These monetary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thresholds apply as at the date of this registration statement but may be amended from time to time (including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indexation).</w:t>
      </w:r>
    </w:p>
    <w:p>
      <w:pPr>
        <w:spacing w:after="0" w:line="9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Issues of Shares and Change in Capital</w:t>
      </w:r>
    </w:p>
    <w:p>
      <w:pPr>
        <w:spacing w:after="0" w:line="121" w:lineRule="exact"/>
        <w:rPr>
          <w:sz w:val="20"/>
          <w:szCs w:val="20"/>
          <w:color w:val="auto"/>
        </w:rPr>
      </w:pPr>
    </w:p>
    <w:p>
      <w:pPr>
        <w:jc w:val="both"/>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w:t>
      </w:r>
    </w:p>
    <w:p>
      <w:pPr>
        <w:spacing w:after="0" w:line="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8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Proportional takeover bids</w:t>
      </w:r>
    </w:p>
    <w:p>
      <w:pPr>
        <w:spacing w:after="0" w:line="121"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Our Constitution contains provisions for shareholder approval to be required in relation to any proportional takeover bid. These provisions will cease to apply unless renewed by special resolution of the shareholders in general meeting by the third anniversary of the date of the Constitution’s adoption.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p>
      <w:pPr>
        <w:spacing w:after="0" w:line="79"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holder of the securities (other than if the person holds those securities as a bare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power to exercise, or control the exercise of, a right to vote attached to the securities;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power to dispose of, or control the exercise of a power to dispose of, the securities (including any indirect or direct power or control).</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at a particular time a person has a relevant interest in issued securities and the person (whether before or after acquiring the relevant interest):</w:t>
      </w:r>
    </w:p>
    <w:p>
      <w:pPr>
        <w:spacing w:after="0" w:line="54"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or enters into an agreement with another person with respect to the securities;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6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granted or grants an option to, or has been or is granted an option by, another person with respect to the securities and the other person would have a relevant interest in the securities if the agreement were performed, the right enforced or the option exercised,</w:t>
      </w:r>
    </w:p>
    <w:p>
      <w:pPr>
        <w:spacing w:after="0" w:line="68" w:lineRule="exact"/>
        <w:rPr>
          <w:sz w:val="20"/>
          <w:szCs w:val="20"/>
          <w:color w:val="auto"/>
        </w:rPr>
      </w:pPr>
    </w:p>
    <w:p>
      <w:pPr>
        <w:ind w:left="300" w:right="1099"/>
        <w:spacing w:after="0" w:line="282" w:lineRule="auto"/>
        <w:rPr>
          <w:sz w:val="20"/>
          <w:szCs w:val="20"/>
          <w:color w:val="auto"/>
        </w:rPr>
      </w:pPr>
      <w:r>
        <w:rPr>
          <w:rFonts w:ascii="Times New Roman" w:cs="Times New Roman" w:eastAsia="Times New Roman" w:hAnsi="Times New Roman"/>
          <w:sz w:val="18"/>
          <w:szCs w:val="18"/>
          <w:color w:val="auto"/>
        </w:rPr>
        <w:t>the other person is also taken to have acquired a relevant interest in the securities that are the subject of an abovementioned act, at the time that such act occurs.</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There are a number of exceptions to the Takeover Prohibition. In general terms, some of the more significant exceptions include:</w:t>
      </w:r>
    </w:p>
    <w:p>
      <w:pPr>
        <w:spacing w:after="0" w:line="54"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acceptance of an offer under a formal takeover bid;</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is conducted on market by or on behalf of the bidder under a takeover bid and the acquisition occurs during the bid period;</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dis-interested shareholders of the target company approve the takeover by resolution passed at general meeting;</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rights issue;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dividend reinvestment schemes or bonus share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operation of law;</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which arises through the acquisition of a relevant interest in another listed company which is listed on a prescribed financial market;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 auction of forfeited shares conducted on-market;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through a compromise, arrangement, liquidation or buy-back.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Set forth below is a comparison of certain shareholder rights and corporate governance matters under</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Delaware law and Australian law:</w:t>
      </w:r>
    </w:p>
    <w:p>
      <w:pPr>
        <w:sectPr>
          <w:pgSz w:w="11900" w:h="16838" w:orient="portrait"/>
          <w:cols w:equalWidth="0" w:num="1">
            <w:col w:w="9019"/>
          </w:cols>
          <w:pgMar w:left="1440" w:top="263" w:right="1440" w:bottom="1440" w:gutter="0" w:footer="0" w:header="0"/>
        </w:sectPr>
      </w:pP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Corporate law issue</w:t>
            </w:r>
          </w:p>
        </w:tc>
        <w:tc>
          <w:tcPr>
            <w:tcW w:w="336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 law</w:t>
            </w:r>
          </w:p>
        </w:tc>
      </w:tr>
      <w:tr>
        <w:trPr>
          <w:trHeight w:val="51"/>
        </w:trPr>
        <w:tc>
          <w:tcPr>
            <w:tcW w:w="12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r>
        <w:trPr>
          <w:trHeight w:val="259"/>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Meetings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generally do not have the right</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Shareholders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 call meetings of shareholders unless that</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right is granted in the certificate of</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by-laws.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However, if a corporation fails to hold its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within a period of 30 days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after the date designated for the annual</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or if no date has been designated for</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period of 13 months after its last annual</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the Delaware Court of Chancery</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may order a meeting to be held upon the</w:t>
            </w:r>
          </w:p>
        </w:tc>
      </w:tr>
      <w:tr>
        <w:trPr>
          <w:trHeight w:val="234"/>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a shareholder.</w:t>
            </w:r>
          </w:p>
        </w:tc>
      </w:tr>
    </w:tbl>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21513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2"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p>
      <w:pPr>
        <w:spacing w:after="0" w:line="844" w:lineRule="exact"/>
        <w:rPr>
          <w:sz w:val="20"/>
          <w:szCs w:val="20"/>
          <w:color w:val="auto"/>
        </w:rPr>
      </w:pPr>
    </w:p>
    <w:p>
      <w:pPr>
        <w:sectPr>
          <w:pgSz w:w="11900" w:h="16838" w:orient="portrait"/>
          <w:cols w:equalWidth="0" w:num="2">
            <w:col w:w="5140" w:space="180"/>
            <w:col w:w="3699"/>
          </w:cols>
          <w:pgMar w:left="1440" w:top="263" w:right="1440" w:bottom="1440" w:gutter="0" w:footer="0" w:header="0"/>
          <w:type w:val="continuous"/>
        </w:sectPr>
      </w:pPr>
    </w:p>
    <w:p>
      <w:pPr>
        <w:spacing w:after="0" w:line="160"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Interested</w:t>
      </w:r>
      <w:r>
        <w:rPr>
          <w:sz w:val="20"/>
          <w:szCs w:val="20"/>
          <w:color w:val="auto"/>
        </w:rPr>
        <w:tab/>
      </w:r>
      <w:r>
        <w:rPr>
          <w:rFonts w:ascii="Times New Roman" w:cs="Times New Roman" w:eastAsia="Times New Roman" w:hAnsi="Times New Roman"/>
          <w:sz w:val="18"/>
          <w:szCs w:val="18"/>
          <w:color w:val="auto"/>
        </w:rPr>
        <w:t>Interested director transactions are permissible</w:t>
      </w:r>
    </w:p>
    <w:p>
      <w:pPr>
        <w:spacing w:after="0" w:line="2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and may not be legally voided if:</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7"/>
          <w:szCs w:val="17"/>
          <w:color w:val="auto"/>
        </w:rPr>
        <w:t>Transactions</w:t>
      </w:r>
      <w:r>
        <w:rPr>
          <w:sz w:val="20"/>
          <w:szCs w:val="20"/>
          <w:color w:val="auto"/>
        </w:rPr>
        <w:tab/>
      </w:r>
      <w:r>
        <w:rPr>
          <w:rFonts w:ascii="Times New Roman" w:cs="Times New Roman" w:eastAsia="Times New Roman" w:hAnsi="Times New Roman"/>
          <w:sz w:val="17"/>
          <w:szCs w:val="17"/>
          <w:color w:val="auto"/>
        </w:rPr>
        <w:t>•   either a majority of disinterested directors,</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or a majority in interest of holders of</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shares of the corporation’s capital shares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entitled to vote upon the matter, approves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the transaction upon disclosure of all</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material facts; or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•   the transaction is determined to have been</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fair as to the corporation as of the time it is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authorized, approved or ratified by the</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board of directors, a committee thereof or</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the shareholders.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or that director’s alternate who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personal interest in a matter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considered at a directors’ meeting must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present while the matter is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at the meeting or vote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matter unless permitted to do so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in which case such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be counted in determining whether or not a</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quorum is present at any meeting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directors considering that contract or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arrangement or proposed contract or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arrangement;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 or countersign any document relating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to that contract or arrangement or proposed</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contract or arrangement; and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vote in respect of, or in respect of any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matter arising out of, the contract or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arrangement or proposed contract or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arrangement.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Unless a relevant exception applies,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Corporations Act requires our directors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provide disclosure of any material personal</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interest, and prohibits directors from</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voting on matters in which they have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material personal interest and from being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present at</w:t>
      </w:r>
    </w:p>
    <w:p>
      <w:pPr>
        <w:spacing w:after="0" w:line="200" w:lineRule="exact"/>
        <w:rPr>
          <w:sz w:val="20"/>
          <w:szCs w:val="20"/>
          <w:color w:val="auto"/>
        </w:rPr>
      </w:pPr>
    </w:p>
    <w:p>
      <w:pPr>
        <w:sectPr>
          <w:pgSz w:w="11900" w:h="16838" w:orient="portrait"/>
          <w:cols w:equalWidth="0" w:num="2">
            <w:col w:w="5140" w:space="180"/>
            <w:col w:w="3699"/>
          </w:cols>
          <w:pgMar w:left="1440" w:top="263" w:right="1440" w:bottom="1440" w:gutter="0" w:footer="0" w:header="0"/>
          <w:type w:val="continuous"/>
        </w:sectPr>
      </w:pP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00"/>
        <w:spacing w:after="0"/>
        <w:tabs>
          <w:tab w:leader="none" w:pos="3020" w:val="left"/>
          <w:tab w:leader="none" w:pos="6540" w:val="left"/>
        </w:tabs>
        <w:rPr>
          <w:sz w:val="20"/>
          <w:szCs w:val="20"/>
          <w:color w:val="auto"/>
        </w:rPr>
      </w:pPr>
      <w:r>
        <w:rPr>
          <w:rFonts w:ascii="Times New Roman" w:cs="Times New Roman" w:eastAsia="Times New Roman" w:hAnsi="Times New Roman"/>
          <w:sz w:val="14"/>
          <w:szCs w:val="14"/>
          <w:b w:val="1"/>
          <w:bCs w:val="1"/>
          <w:color w:val="auto"/>
        </w:rPr>
        <w:t>Corporate law issue</w:t>
      </w:r>
      <w:r>
        <w:rPr>
          <w:sz w:val="20"/>
          <w:szCs w:val="20"/>
          <w:color w:val="auto"/>
        </w:rPr>
        <w:tab/>
      </w:r>
      <w:r>
        <w:rPr>
          <w:rFonts w:ascii="Times New Roman" w:cs="Times New Roman" w:eastAsia="Times New Roman" w:hAnsi="Times New Roman"/>
          <w:sz w:val="14"/>
          <w:szCs w:val="14"/>
          <w:b w:val="1"/>
          <w:bCs w:val="1"/>
          <w:color w:val="auto"/>
        </w:rPr>
        <w:t>Delaware law</w:t>
      </w:r>
      <w:r>
        <w:rPr>
          <w:sz w:val="20"/>
          <w:szCs w:val="20"/>
          <w:color w:val="auto"/>
        </w:rPr>
        <w:tab/>
      </w: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the meeting while the matter is being</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considered, unless directors who do not have a</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material personal interest in the relevant</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matter have passed a resolution that identifies</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the director, the nature and extent of the</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director’s interest in the matter and its relation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to our affairs and states that those directors are</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satisfied that the interest should not disqualify</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the director from voting or being present. In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addition, the Corporations Act may require</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shareholder approval of any provision of</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related party benefits to our directors, unless a</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relevant exception applies.</w:t>
      </w:r>
    </w:p>
    <w:p>
      <w:pPr>
        <w:sectPr>
          <w:pgSz w:w="11900" w:h="16838" w:orient="portrait"/>
          <w:cols w:equalWidth="0" w:num="1">
            <w:col w:w="9019"/>
          </w:cols>
          <w:pgMar w:left="1440" w:top="263" w:right="1440" w:bottom="1440" w:gutter="0" w:footer="0" w:header="0"/>
        </w:sectPr>
      </w:pPr>
    </w:p>
    <w:p>
      <w:pPr>
        <w:spacing w:after="0" w:line="36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7"/>
          <w:szCs w:val="17"/>
          <w:color w:val="auto"/>
        </w:rPr>
        <w:t>Cumulative</w:t>
      </w:r>
      <w:r>
        <w:rPr>
          <w:sz w:val="20"/>
          <w:szCs w:val="20"/>
          <w:color w:val="auto"/>
        </w:rPr>
        <w:tab/>
      </w:r>
      <w:r>
        <w:rPr>
          <w:rFonts w:ascii="Times New Roman" w:cs="Times New Roman" w:eastAsia="Times New Roman" w:hAnsi="Times New Roman"/>
          <w:sz w:val="17"/>
          <w:szCs w:val="17"/>
          <w:color w:val="auto"/>
        </w:rPr>
        <w:t>The certificate of incorporation of a Delaware</w:t>
      </w:r>
    </w:p>
    <w:p>
      <w:pPr>
        <w:spacing w:after="0" w:line="3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Voting</w:t>
      </w:r>
      <w:r>
        <w:rPr>
          <w:sz w:val="20"/>
          <w:szCs w:val="20"/>
          <w:color w:val="auto"/>
        </w:rPr>
        <w:tab/>
      </w:r>
      <w:r>
        <w:rPr>
          <w:rFonts w:ascii="Times New Roman" w:cs="Times New Roman" w:eastAsia="Times New Roman" w:hAnsi="Times New Roman"/>
          <w:sz w:val="18"/>
          <w:szCs w:val="18"/>
          <w:color w:val="auto"/>
        </w:rPr>
        <w:t>corporation may provide that shareholders of</w:t>
      </w:r>
    </w:p>
    <w:p>
      <w:pPr>
        <w:spacing w:after="0" w:line="9" w:lineRule="exact"/>
        <w:rPr>
          <w:sz w:val="20"/>
          <w:szCs w:val="20"/>
          <w:color w:val="auto"/>
        </w:rPr>
      </w:pPr>
    </w:p>
    <w:p>
      <w:pPr>
        <w:ind w:left="1780" w:right="60"/>
        <w:spacing w:after="0" w:line="255" w:lineRule="auto"/>
        <w:rPr>
          <w:sz w:val="20"/>
          <w:szCs w:val="20"/>
          <w:color w:val="auto"/>
        </w:rPr>
      </w:pPr>
      <w:r>
        <w:rPr>
          <w:rFonts w:ascii="Times New Roman" w:cs="Times New Roman" w:eastAsia="Times New Roman" w:hAnsi="Times New Roman"/>
          <w:sz w:val="18"/>
          <w:szCs w:val="18"/>
          <w:color w:val="auto"/>
        </w:rPr>
        <w:t>any class or classes or of any series may vote cumulatively either at all elections or at elections under specified circumstances.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right="419"/>
        <w:spacing w:after="0" w:line="273" w:lineRule="auto"/>
        <w:rPr>
          <w:sz w:val="20"/>
          <w:szCs w:val="20"/>
          <w:color w:val="auto"/>
        </w:rPr>
      </w:pPr>
      <w:r>
        <w:rPr>
          <w:rFonts w:ascii="Times New Roman" w:cs="Times New Roman" w:eastAsia="Times New Roman" w:hAnsi="Times New Roman"/>
          <w:sz w:val="17"/>
          <w:szCs w:val="17"/>
          <w:color w:val="auto"/>
        </w:rPr>
        <w:t>No cumulative voting concept for director elections. Voting rights can vary by share class, depending on the terms attaching to the shares under the constitution of the company. Ordinary shares carry one vote (by poll) per share and B Class shares carry 15 votes (by poll) per ordinary share held by the holder.</w:t>
      </w:r>
    </w:p>
    <w:p>
      <w:pPr>
        <w:spacing w:after="0" w:line="200" w:lineRule="exact"/>
        <w:rPr>
          <w:sz w:val="20"/>
          <w:szCs w:val="20"/>
          <w:color w:val="auto"/>
        </w:rPr>
      </w:pPr>
    </w:p>
    <w:p>
      <w:pPr>
        <w:sectPr>
          <w:pgSz w:w="11900" w:h="16838" w:orient="portrait"/>
          <w:cols w:equalWidth="0" w:num="2">
            <w:col w:w="5080" w:space="240"/>
            <w:col w:w="3699"/>
          </w:cols>
          <w:pgMar w:left="1440" w:top="263" w:right="1440" w:bottom="1440" w:gutter="0" w:footer="0" w:header="0"/>
          <w:type w:val="continuous"/>
        </w:sectPr>
      </w:pPr>
    </w:p>
    <w:p>
      <w:pPr>
        <w:spacing w:after="0" w:line="133"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Approval of</w:t>
      </w:r>
      <w:r>
        <w:rPr>
          <w:sz w:val="20"/>
          <w:szCs w:val="20"/>
          <w:color w:val="auto"/>
        </w:rPr>
        <w:tab/>
      </w:r>
      <w:r>
        <w:rPr>
          <w:rFonts w:ascii="Times New Roman" w:cs="Times New Roman" w:eastAsia="Times New Roman" w:hAnsi="Times New Roman"/>
          <w:sz w:val="17"/>
          <w:szCs w:val="17"/>
          <w:color w:val="auto"/>
        </w:rPr>
        <w:t>Unless otherwise specified in a corporation’s</w:t>
      </w:r>
    </w:p>
    <w:p>
      <w:pPr>
        <w:spacing w:after="0" w:line="2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Corporate</w:t>
      </w:r>
      <w:r>
        <w:rPr>
          <w:sz w:val="20"/>
          <w:szCs w:val="20"/>
          <w:color w:val="auto"/>
        </w:rPr>
        <w:tab/>
      </w:r>
      <w:r>
        <w:rPr>
          <w:rFonts w:ascii="Times New Roman" w:cs="Times New Roman" w:eastAsia="Times New Roman" w:hAnsi="Times New Roman"/>
          <w:sz w:val="18"/>
          <w:szCs w:val="18"/>
          <w:color w:val="auto"/>
        </w:rPr>
        <w:t>certificate of incorporation, shareholders may</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Matters by</w:t>
      </w:r>
      <w:r>
        <w:rPr>
          <w:sz w:val="20"/>
          <w:szCs w:val="20"/>
          <w:color w:val="auto"/>
        </w:rPr>
        <w:tab/>
      </w:r>
      <w:r>
        <w:rPr>
          <w:rFonts w:ascii="Times New Roman" w:cs="Times New Roman" w:eastAsia="Times New Roman" w:hAnsi="Times New Roman"/>
          <w:sz w:val="17"/>
          <w:szCs w:val="17"/>
          <w:color w:val="auto"/>
        </w:rPr>
        <w:t>take action permitted to be taken at an annual</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Written Consent</w:t>
      </w:r>
      <w:r>
        <w:rPr>
          <w:sz w:val="20"/>
          <w:szCs w:val="20"/>
          <w:color w:val="auto"/>
        </w:rPr>
        <w:tab/>
      </w:r>
      <w:r>
        <w:rPr>
          <w:rFonts w:ascii="Times New Roman" w:cs="Times New Roman" w:eastAsia="Times New Roman" w:hAnsi="Times New Roman"/>
          <w:sz w:val="17"/>
          <w:szCs w:val="17"/>
          <w:color w:val="auto"/>
        </w:rPr>
        <w:t>or special meeting, without a meeting, notice,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or a vote, if consents, in writing, setting forth</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action, are signed by shareholders with not</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less than the minimum number of votes that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would be necessary to authorize the action at a</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meeting. All consents must be dated and are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only effective if the requisite signatures are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collected within 60 days of the earliest dated</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consent delivered.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19"/>
        <w:spacing w:after="0" w:line="282" w:lineRule="auto"/>
        <w:rPr>
          <w:sz w:val="20"/>
          <w:szCs w:val="20"/>
          <w:color w:val="auto"/>
        </w:rPr>
      </w:pPr>
      <w:r>
        <w:rPr>
          <w:rFonts w:ascii="Times New Roman" w:cs="Times New Roman" w:eastAsia="Times New Roman" w:hAnsi="Times New Roman"/>
          <w:sz w:val="18"/>
          <w:szCs w:val="18"/>
          <w:color w:val="auto"/>
        </w:rPr>
        <w:t>Australian public companies cannot pass resolutions by circulating written resolutions.</w:t>
      </w:r>
    </w:p>
    <w:p>
      <w:pPr>
        <w:spacing w:after="0" w:line="2314" w:lineRule="exact"/>
        <w:rPr>
          <w:sz w:val="20"/>
          <w:szCs w:val="20"/>
          <w:color w:val="auto"/>
        </w:rPr>
      </w:pPr>
    </w:p>
    <w:p>
      <w:pPr>
        <w:sectPr>
          <w:pgSz w:w="11900" w:h="16838" w:orient="portrait"/>
          <w:cols w:equalWidth="0" w:num="2">
            <w:col w:w="5140" w:space="180"/>
            <w:col w:w="3699"/>
          </w:cols>
          <w:pgMar w:left="1440" w:top="263" w:right="1440" w:bottom="1440" w:gutter="0" w:footer="0" w:header="0"/>
          <w:type w:val="continuous"/>
        </w:sectPr>
      </w:pPr>
    </w:p>
    <w:p>
      <w:pPr>
        <w:spacing w:after="0" w:line="16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Business</w:t>
      </w:r>
      <w:r>
        <w:rPr>
          <w:sz w:val="20"/>
          <w:szCs w:val="20"/>
          <w:color w:val="auto"/>
        </w:rPr>
        <w:tab/>
      </w:r>
      <w:r>
        <w:rPr>
          <w:rFonts w:ascii="Times New Roman" w:cs="Times New Roman" w:eastAsia="Times New Roman" w:hAnsi="Times New Roman"/>
          <w:sz w:val="18"/>
          <w:szCs w:val="18"/>
          <w:color w:val="auto"/>
        </w:rPr>
        <w:t>With certain exceptions, a merger,</w:t>
      </w:r>
    </w:p>
    <w:p>
      <w:pPr>
        <w:spacing w:after="0" w:line="2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7"/>
          <w:szCs w:val="17"/>
          <w:color w:val="auto"/>
        </w:rPr>
        <w:t>Combinations</w:t>
      </w:r>
      <w:r>
        <w:rPr>
          <w:sz w:val="20"/>
          <w:szCs w:val="20"/>
          <w:color w:val="auto"/>
        </w:rPr>
        <w:tab/>
      </w:r>
      <w:r>
        <w:rPr>
          <w:rFonts w:ascii="Times New Roman" w:cs="Times New Roman" w:eastAsia="Times New Roman" w:hAnsi="Times New Roman"/>
          <w:sz w:val="17"/>
          <w:szCs w:val="17"/>
          <w:color w:val="auto"/>
        </w:rPr>
        <w:t>consolidation, or sale of all or substantially all</w:t>
      </w:r>
    </w:p>
    <w:p>
      <w:pPr>
        <w:spacing w:after="0" w:line="21" w:lineRule="exact"/>
        <w:rPr>
          <w:sz w:val="20"/>
          <w:szCs w:val="20"/>
          <w:color w:val="auto"/>
        </w:rPr>
      </w:pPr>
    </w:p>
    <w:p>
      <w:pPr>
        <w:ind w:left="1780" w:right="100"/>
        <w:spacing w:after="0" w:line="253" w:lineRule="auto"/>
        <w:rPr>
          <w:sz w:val="20"/>
          <w:szCs w:val="20"/>
          <w:color w:val="auto"/>
        </w:rPr>
      </w:pPr>
      <w:r>
        <w:rPr>
          <w:rFonts w:ascii="Times New Roman" w:cs="Times New Roman" w:eastAsia="Times New Roman" w:hAnsi="Times New Roman"/>
          <w:sz w:val="18"/>
          <w:szCs w:val="18"/>
          <w:color w:val="auto"/>
        </w:rPr>
        <w:t>the assets of a Delaware corporation must be approved by the board of directors and a majority of the outstanding shares entitled to vote thereon.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519"/>
        <w:spacing w:after="0" w:line="255" w:lineRule="auto"/>
        <w:rPr>
          <w:sz w:val="20"/>
          <w:szCs w:val="20"/>
          <w:color w:val="auto"/>
        </w:rPr>
      </w:pPr>
      <w:r>
        <w:rPr>
          <w:rFonts w:ascii="Times New Roman" w:cs="Times New Roman" w:eastAsia="Times New Roman" w:hAnsi="Times New Roman"/>
          <w:sz w:val="18"/>
          <w:szCs w:val="18"/>
          <w:color w:val="auto"/>
        </w:rPr>
        <w:t>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w:t>
      </w:r>
    </w:p>
    <w:p>
      <w:pPr>
        <w:spacing w:after="0" w:line="200" w:lineRule="exact"/>
        <w:rPr>
          <w:sz w:val="20"/>
          <w:szCs w:val="20"/>
          <w:color w:val="auto"/>
        </w:rPr>
      </w:pPr>
    </w:p>
    <w:p>
      <w:pPr>
        <w:sectPr>
          <w:pgSz w:w="11900" w:h="16838" w:orient="portrait"/>
          <w:cols w:equalWidth="0" w:num="2">
            <w:col w:w="5100" w:space="220"/>
            <w:col w:w="3699"/>
          </w:cols>
          <w:pgMar w:left="1440" w:top="263" w:right="1440" w:bottom="1440" w:gutter="0" w:footer="0" w:header="0"/>
          <w:type w:val="continuous"/>
        </w:sectPr>
      </w:pPr>
    </w:p>
    <w:p>
      <w:pPr>
        <w:spacing w:after="0" w:line="15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Limitations on</w:t>
      </w:r>
      <w:r>
        <w:rPr>
          <w:sz w:val="20"/>
          <w:szCs w:val="20"/>
          <w:color w:val="auto"/>
        </w:rPr>
        <w:tab/>
      </w:r>
      <w:r>
        <w:rPr>
          <w:rFonts w:ascii="Times New Roman" w:cs="Times New Roman" w:eastAsia="Times New Roman" w:hAnsi="Times New Roman"/>
          <w:sz w:val="17"/>
          <w:szCs w:val="17"/>
          <w:color w:val="auto"/>
        </w:rPr>
        <w:t>A Delaware corporation may include in its</w:t>
      </w:r>
    </w:p>
    <w:p>
      <w:pPr>
        <w:spacing w:after="0" w:line="2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certificate of incorporation provisions limiting</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Liability and</w:t>
      </w:r>
      <w:r>
        <w:rPr>
          <w:sz w:val="20"/>
          <w:szCs w:val="20"/>
          <w:color w:val="auto"/>
        </w:rPr>
        <w:tab/>
      </w:r>
      <w:r>
        <w:rPr>
          <w:rFonts w:ascii="Times New Roman" w:cs="Times New Roman" w:eastAsia="Times New Roman" w:hAnsi="Times New Roman"/>
          <w:sz w:val="18"/>
          <w:szCs w:val="18"/>
          <w:color w:val="auto"/>
        </w:rPr>
        <w:t>the personal liability of its directors to the</w:t>
      </w:r>
    </w:p>
    <w:p>
      <w:pPr>
        <w:spacing w:after="0" w:line="9" w:lineRule="exact"/>
        <w:rPr>
          <w:sz w:val="20"/>
          <w:szCs w:val="20"/>
          <w:color w:val="auto"/>
        </w:rPr>
      </w:pPr>
    </w:p>
    <w:p>
      <w:pPr>
        <w:ind w:left="300" w:right="200"/>
        <w:spacing w:after="0" w:line="250" w:lineRule="auto"/>
        <w:rPr>
          <w:sz w:val="20"/>
          <w:szCs w:val="20"/>
          <w:color w:val="auto"/>
        </w:rPr>
      </w:pPr>
      <w:r>
        <w:rPr>
          <w:rFonts w:ascii="Times New Roman" w:cs="Times New Roman" w:eastAsia="Times New Roman" w:hAnsi="Times New Roman"/>
          <w:sz w:val="18"/>
          <w:szCs w:val="18"/>
          <w:color w:val="auto"/>
        </w:rPr>
        <w:t>Indemnification corporation or its shareholders for monetary of Directors and damages for many types of breach of</w:t>
      </w:r>
    </w:p>
    <w:p>
      <w:pPr>
        <w:spacing w:after="0" w:line="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7"/>
          <w:szCs w:val="17"/>
          <w:color w:val="auto"/>
        </w:rPr>
        <w:t>Officers</w:t>
      </w:r>
      <w:r>
        <w:rPr>
          <w:sz w:val="20"/>
          <w:szCs w:val="20"/>
          <w:color w:val="auto"/>
        </w:rPr>
        <w:tab/>
      </w:r>
      <w:r>
        <w:rPr>
          <w:rFonts w:ascii="Times New Roman" w:cs="Times New Roman" w:eastAsia="Times New Roman" w:hAnsi="Times New Roman"/>
          <w:sz w:val="17"/>
          <w:szCs w:val="17"/>
          <w:color w:val="auto"/>
        </w:rPr>
        <w:t>fiduciary duty. However, these provisions may</w:t>
      </w:r>
    </w:p>
    <w:p>
      <w:pPr>
        <w:spacing w:after="0" w:line="21" w:lineRule="exact"/>
        <w:rPr>
          <w:sz w:val="20"/>
          <w:szCs w:val="20"/>
          <w:color w:val="auto"/>
        </w:rPr>
      </w:pPr>
    </w:p>
    <w:p>
      <w:pPr>
        <w:ind w:left="1780" w:right="40"/>
        <w:spacing w:after="0" w:line="255" w:lineRule="auto"/>
        <w:rPr>
          <w:sz w:val="20"/>
          <w:szCs w:val="20"/>
          <w:color w:val="auto"/>
        </w:rPr>
      </w:pPr>
      <w:r>
        <w:rPr>
          <w:rFonts w:ascii="Times New Roman" w:cs="Times New Roman" w:eastAsia="Times New Roman" w:hAnsi="Times New Roman"/>
          <w:sz w:val="18"/>
          <w:szCs w:val="18"/>
          <w:color w:val="auto"/>
        </w:rPr>
        <w:t>not limit liability for any breach of the duty of loyalty, acts or omissions not in good faith or that involve intentional</w:t>
      </w:r>
    </w:p>
    <w:p>
      <w:pPr>
        <w:spacing w:after="0" w:line="2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499"/>
        <w:spacing w:after="0" w:line="256" w:lineRule="auto"/>
        <w:rPr>
          <w:sz w:val="20"/>
          <w:szCs w:val="20"/>
          <w:color w:val="auto"/>
        </w:rPr>
      </w:pPr>
      <w:r>
        <w:rPr>
          <w:rFonts w:ascii="Times New Roman" w:cs="Times New Roman" w:eastAsia="Times New Roman" w:hAnsi="Times New Roman"/>
          <w:sz w:val="18"/>
          <w:szCs w:val="18"/>
          <w:color w:val="auto"/>
        </w:rPr>
        <w:t>Australian law provides that a company or a related body corporate of the company may provide for indemnification of officers and directors, except to the extent of any of the following liabilities incurred as an officer or director of the company:  </w:t>
      </w:r>
    </w:p>
    <w:p>
      <w:pPr>
        <w:spacing w:after="0" w:line="206" w:lineRule="exact"/>
        <w:rPr>
          <w:sz w:val="20"/>
          <w:szCs w:val="20"/>
          <w:color w:val="auto"/>
        </w:rPr>
      </w:pPr>
    </w:p>
    <w:p>
      <w:pPr>
        <w:ind w:left="280" w:right="319" w:hanging="262"/>
        <w:spacing w:after="0" w:line="260" w:lineRule="auto"/>
        <w:rPr>
          <w:sz w:val="20"/>
          <w:szCs w:val="20"/>
          <w:color w:val="auto"/>
        </w:rPr>
      </w:pPr>
      <w:r>
        <w:rPr>
          <w:rFonts w:ascii="Times New Roman" w:cs="Times New Roman" w:eastAsia="Times New Roman" w:hAnsi="Times New Roman"/>
          <w:sz w:val="18"/>
          <w:szCs w:val="18"/>
          <w:color w:val="auto"/>
        </w:rPr>
        <w:t>•  a liability owed to the company or a related body corporate of the company;</w:t>
      </w:r>
    </w:p>
    <w:p>
      <w:pPr>
        <w:sectPr>
          <w:pgSz w:w="11900" w:h="16838" w:orient="portrait"/>
          <w:cols w:equalWidth="0" w:num="2">
            <w:col w:w="5140" w:space="180"/>
            <w:col w:w="3699"/>
          </w:cols>
          <w:pgMar w:left="1440" w:top="263" w:right="1440" w:bottom="1440"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00"/>
        <w:spacing w:after="0"/>
        <w:tabs>
          <w:tab w:leader="none" w:pos="3020" w:val="left"/>
        </w:tabs>
        <w:rPr>
          <w:sz w:val="20"/>
          <w:szCs w:val="20"/>
          <w:color w:val="auto"/>
        </w:rPr>
      </w:pPr>
      <w:r>
        <w:rPr>
          <w:rFonts w:ascii="Times New Roman" w:cs="Times New Roman" w:eastAsia="Times New Roman" w:hAnsi="Times New Roman"/>
          <w:sz w:val="14"/>
          <w:szCs w:val="14"/>
          <w:b w:val="1"/>
          <w:bCs w:val="1"/>
          <w:color w:val="auto"/>
        </w:rPr>
        <w:t>Corporate law issue</w:t>
      </w:r>
      <w:r>
        <w:rPr>
          <w:sz w:val="20"/>
          <w:szCs w:val="20"/>
          <w:color w:val="auto"/>
        </w:rPr>
        <w:tab/>
      </w:r>
      <w:r>
        <w:rPr>
          <w:rFonts w:ascii="Times New Roman" w:cs="Times New Roman" w:eastAsia="Times New Roman" w:hAnsi="Times New Roman"/>
          <w:sz w:val="14"/>
          <w:szCs w:val="14"/>
          <w:b w:val="1"/>
          <w:bCs w:val="1"/>
          <w:color w:val="auto"/>
        </w:rPr>
        <w:t>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3077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2" w:lineRule="exact"/>
        <w:rPr>
          <w:sz w:val="20"/>
          <w:szCs w:val="20"/>
          <w:color w:val="auto"/>
        </w:rPr>
      </w:pPr>
    </w:p>
    <w:p>
      <w:pPr>
        <w:ind w:left="1780"/>
        <w:spacing w:after="0" w:line="255" w:lineRule="auto"/>
        <w:rPr>
          <w:sz w:val="20"/>
          <w:szCs w:val="20"/>
          <w:color w:val="auto"/>
        </w:rPr>
      </w:pPr>
      <w:r>
        <w:rPr>
          <w:rFonts w:ascii="Times New Roman" w:cs="Times New Roman" w:eastAsia="Times New Roman" w:hAnsi="Times New Roman"/>
          <w:sz w:val="18"/>
          <w:szCs w:val="18"/>
          <w:color w:val="auto"/>
        </w:rPr>
        <w:t>misconduct or a knowing violation of law, the authorization of unlawful dividends, stock purchases, or redemptions, or any transaction from which a director derived an improper personal benefit. Moreover, these provisions would not be likely to bar claims arising under U.S. federal securities laws.  </w:t>
      </w:r>
    </w:p>
    <w:p>
      <w:pPr>
        <w:spacing w:after="0" w:line="207" w:lineRule="exact"/>
        <w:rPr>
          <w:sz w:val="20"/>
          <w:szCs w:val="20"/>
          <w:color w:val="auto"/>
        </w:rPr>
      </w:pPr>
    </w:p>
    <w:p>
      <w:pPr>
        <w:ind w:left="1780" w:right="60"/>
        <w:spacing w:after="0" w:line="251" w:lineRule="auto"/>
        <w:rPr>
          <w:sz w:val="20"/>
          <w:szCs w:val="20"/>
          <w:color w:val="auto"/>
        </w:rPr>
      </w:pPr>
      <w:r>
        <w:rPr>
          <w:rFonts w:ascii="Times New Roman" w:cs="Times New Roman" w:eastAsia="Times New Roman" w:hAnsi="Times New Roman"/>
          <w:sz w:val="18"/>
          <w:szCs w:val="18"/>
          <w:color w:val="auto"/>
        </w:rPr>
        <w:t>A Delaware corporation may indemnify a director or officer of the corporation against expenses (including attorneys’ fees), judgments, fines, and amounts paid in settlement actually and reasonably incurred in defense of an action, suit, or proceeding by reason of his or her position if (i) the director or officer acted in good faith and in a manner he or she reasonably believed to be in or not opposed to the best interests of the corporation, and (ii) with respect to any criminal action or proceeding, the director or officer had no reasonable cause to believe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Appraisal Rights</w:t>
      </w:r>
      <w:r>
        <w:rPr>
          <w:sz w:val="20"/>
          <w:szCs w:val="20"/>
          <w:color w:val="auto"/>
        </w:rPr>
        <w:tab/>
      </w:r>
      <w:r>
        <w:rPr>
          <w:rFonts w:ascii="Times New Roman" w:cs="Times New Roman" w:eastAsia="Times New Roman" w:hAnsi="Times New Roman"/>
          <w:sz w:val="17"/>
          <w:szCs w:val="17"/>
          <w:color w:val="auto"/>
        </w:rPr>
        <w:t>A shareholder of a Delaware corporation</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participating in certain major corporate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transactions may, under certain circumstances,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be entitled to appraisal rights under which the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shareholder may receive cash in the amount of</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fair value of the shares held by that</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shareholder (as determined by a court) in lieu</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of the consideration the shareholder would</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otherwise receive in the transaction.</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32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Australian law</w:t>
            </w:r>
          </w:p>
        </w:tc>
      </w:tr>
      <w:tr>
        <w:trPr>
          <w:trHeight w:val="51"/>
        </w:trPr>
        <w:tc>
          <w:tcPr>
            <w:tcW w:w="18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r>
      <w:tr>
        <w:trPr>
          <w:trHeight w:val="25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liability for a pecuniary penalty order</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made under section 1317G or a</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order under section 961M,</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1317H, 1317HA or 1317HB of the</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Corporations Act; a liability that is owed to</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someone other than the company or a</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body corporate of the company and</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did not arise out of conduct in good faith;</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costs incurred in defending an action</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 liability incurred as an officer or</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of the company if the costs are</w:t>
            </w:r>
          </w:p>
        </w:tc>
      </w:tr>
      <w:tr>
        <w:trPr>
          <w:trHeight w:val="216"/>
        </w:trPr>
        <w:tc>
          <w:tcPr>
            <w:tcW w:w="18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incurred:</w:t>
            </w:r>
          </w:p>
        </w:tc>
      </w:tr>
      <w:tr>
        <w:trPr>
          <w:trHeight w:val="234"/>
        </w:trPr>
        <w:tc>
          <w:tcPr>
            <w:tcW w:w="18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r>
    </w:tbl>
    <w:p>
      <w:pPr>
        <w:ind w:left="560" w:right="299" w:hanging="553"/>
        <w:spacing w:after="0" w:line="265" w:lineRule="auto"/>
        <w:tabs>
          <w:tab w:leader="none" w:pos="1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in defending or resisting proceedings in which the officer or director is found to have a liability for which they cannot be indemnified as set out above;</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40" w:right="639" w:hanging="533"/>
        <w:spacing w:after="0" w:line="265" w:lineRule="auto"/>
        <w:tabs>
          <w:tab w:leader="none" w:pos="18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in defending or resisting criminal proceedings in which the officer or director is found guilty;</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40" w:right="319" w:hanging="533"/>
        <w:spacing w:after="0" w:line="270" w:lineRule="auto"/>
        <w:tabs>
          <w:tab w:leader="none" w:pos="18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in defending or resisting proceedings brought by the Australian Securities &amp; Investments Commission or a liquidator for a court order if the grounds for making the order are found by the court to have been established (except costs</w:t>
      </w:r>
    </w:p>
    <w:p>
      <w:pPr>
        <w:spacing w:after="0" w:line="200" w:lineRule="exact"/>
        <w:rPr>
          <w:sz w:val="20"/>
          <w:szCs w:val="20"/>
          <w:color w:val="auto"/>
        </w:rPr>
      </w:pPr>
    </w:p>
    <w:p>
      <w:pPr>
        <w:spacing w:after="0" w:line="352"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No equivalent concept under Australian law, subject to general minority oppression rights under which shareholders can apply to the Courts for an order in respect of Company actions that are unfairly prejudicial to a shareholder.</w:t>
      </w:r>
    </w:p>
    <w:p>
      <w:pPr>
        <w:spacing w:after="0" w:line="828" w:lineRule="exact"/>
        <w:rPr>
          <w:sz w:val="20"/>
          <w:szCs w:val="20"/>
          <w:color w:val="auto"/>
        </w:rPr>
      </w:pPr>
    </w:p>
    <w:p>
      <w:pPr>
        <w:sectPr>
          <w:pgSz w:w="11900" w:h="16838" w:orient="portrait"/>
          <w:cols w:equalWidth="0" w:num="2">
            <w:col w:w="5140" w:space="180"/>
            <w:col w:w="3699"/>
          </w:cols>
          <w:pgMar w:left="1440" w:top="263" w:right="1440" w:bottom="1440" w:gutter="0" w:footer="0" w:header="0"/>
        </w:sectPr>
      </w:pPr>
    </w:p>
    <w:p>
      <w:pPr>
        <w:spacing w:after="0" w:line="169" w:lineRule="exact"/>
        <w:rPr>
          <w:sz w:val="20"/>
          <w:szCs w:val="20"/>
          <w:color w:val="auto"/>
        </w:rPr>
      </w:pPr>
    </w:p>
    <w:p>
      <w:pPr>
        <w:ind w:left="1780" w:hanging="1484"/>
        <w:spacing w:after="0" w:line="254" w:lineRule="auto"/>
        <w:tabs>
          <w:tab w:leader="none" w:pos="1760" w:val="left"/>
        </w:tabs>
        <w:rPr>
          <w:sz w:val="20"/>
          <w:szCs w:val="20"/>
          <w:color w:val="auto"/>
        </w:rPr>
      </w:pPr>
      <w:r>
        <w:rPr>
          <w:rFonts w:ascii="Times New Roman" w:cs="Times New Roman" w:eastAsia="Times New Roman" w:hAnsi="Times New Roman"/>
          <w:sz w:val="18"/>
          <w:szCs w:val="18"/>
          <w:color w:val="auto"/>
        </w:rPr>
        <w:t>Shareholder Suits</w:t>
        <w:tab/>
        <w:t>Class actions and derivative actions generally are available to the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have a number of statutory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protections and rights available to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quantity of shares they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ability to call a meeting of the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company and propose resolutions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right to apply to the court for orders in</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cases where majority shareholders, or the</w:t>
      </w:r>
    </w:p>
    <w:p>
      <w:pPr>
        <w:sectPr>
          <w:pgSz w:w="11900" w:h="16838" w:orient="portrait"/>
          <w:cols w:equalWidth="0" w:num="2">
            <w:col w:w="5120" w:space="200"/>
            <w:col w:w="3699"/>
          </w:cols>
          <w:pgMar w:left="1440" w:top="263" w:right="1440" w:bottom="1440" w:gutter="0" w:footer="0" w:header="0"/>
          <w:type w:val="continuous"/>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00"/>
        <w:spacing w:after="0"/>
        <w:tabs>
          <w:tab w:leader="none" w:pos="3020" w:val="left"/>
        </w:tabs>
        <w:rPr>
          <w:sz w:val="20"/>
          <w:szCs w:val="20"/>
          <w:color w:val="auto"/>
        </w:rPr>
      </w:pPr>
      <w:r>
        <w:rPr>
          <w:rFonts w:ascii="Times New Roman" w:cs="Times New Roman" w:eastAsia="Times New Roman" w:hAnsi="Times New Roman"/>
          <w:sz w:val="14"/>
          <w:szCs w:val="14"/>
          <w:b w:val="1"/>
          <w:bCs w:val="1"/>
          <w:color w:val="auto"/>
        </w:rPr>
        <w:t>Corporate law issue</w:t>
      </w:r>
      <w:r>
        <w:rPr>
          <w:sz w:val="20"/>
          <w:szCs w:val="20"/>
          <w:color w:val="auto"/>
        </w:rPr>
        <w:tab/>
      </w:r>
      <w:r>
        <w:rPr>
          <w:rFonts w:ascii="Times New Roman" w:cs="Times New Roman" w:eastAsia="Times New Roman" w:hAnsi="Times New Roman"/>
          <w:sz w:val="14"/>
          <w:szCs w:val="14"/>
          <w:b w:val="1"/>
          <w:bCs w:val="1"/>
          <w:color w:val="auto"/>
        </w:rPr>
        <w:t>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3077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Inspection of</w:t>
      </w:r>
      <w:r>
        <w:rPr>
          <w:sz w:val="20"/>
          <w:szCs w:val="20"/>
          <w:color w:val="auto"/>
        </w:rPr>
        <w:tab/>
      </w:r>
      <w:r>
        <w:rPr>
          <w:rFonts w:ascii="Times New Roman" w:cs="Times New Roman" w:eastAsia="Times New Roman" w:hAnsi="Times New Roman"/>
          <w:sz w:val="17"/>
          <w:szCs w:val="17"/>
          <w:color w:val="auto"/>
        </w:rPr>
        <w:t>All shareholders of a Delaware corporation</w:t>
      </w:r>
    </w:p>
    <w:p>
      <w:pPr>
        <w:spacing w:after="0" w:line="2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Books and</w:t>
      </w:r>
      <w:r>
        <w:rPr>
          <w:sz w:val="20"/>
          <w:szCs w:val="20"/>
          <w:color w:val="auto"/>
        </w:rPr>
        <w:tab/>
      </w:r>
      <w:r>
        <w:rPr>
          <w:rFonts w:ascii="Times New Roman" w:cs="Times New Roman" w:eastAsia="Times New Roman" w:hAnsi="Times New Roman"/>
          <w:sz w:val="17"/>
          <w:szCs w:val="17"/>
          <w:color w:val="auto"/>
        </w:rPr>
        <w:t>have the right, upon written demand, to</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Records</w:t>
      </w:r>
      <w:r>
        <w:rPr>
          <w:sz w:val="20"/>
          <w:szCs w:val="20"/>
          <w:color w:val="auto"/>
        </w:rPr>
        <w:tab/>
      </w:r>
      <w:r>
        <w:rPr>
          <w:rFonts w:ascii="Times New Roman" w:cs="Times New Roman" w:eastAsia="Times New Roman" w:hAnsi="Times New Roman"/>
          <w:sz w:val="18"/>
          <w:szCs w:val="18"/>
          <w:color w:val="auto"/>
        </w:rPr>
        <w:t>inspect or obtain copies of the corporation’s</w:t>
      </w:r>
    </w:p>
    <w:p>
      <w:pPr>
        <w:spacing w:after="0" w:line="9" w:lineRule="exact"/>
        <w:rPr>
          <w:sz w:val="20"/>
          <w:szCs w:val="20"/>
          <w:color w:val="auto"/>
        </w:rPr>
      </w:pPr>
    </w:p>
    <w:p>
      <w:pPr>
        <w:ind w:left="1780"/>
        <w:spacing w:after="0" w:line="255" w:lineRule="auto"/>
        <w:rPr>
          <w:sz w:val="20"/>
          <w:szCs w:val="20"/>
          <w:color w:val="auto"/>
        </w:rPr>
      </w:pPr>
      <w:r>
        <w:rPr>
          <w:rFonts w:ascii="Times New Roman" w:cs="Times New Roman" w:eastAsia="Times New Roman" w:hAnsi="Times New Roman"/>
          <w:sz w:val="18"/>
          <w:szCs w:val="18"/>
          <w:color w:val="auto"/>
        </w:rPr>
        <w:t>shares ledger and its other books and records for any purpose reasonably related to such person’s interest as a shareholder.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21513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2" w:lineRule="exact"/>
        <w:rPr>
          <w:sz w:val="20"/>
          <w:szCs w:val="20"/>
          <w:color w:val="auto"/>
        </w:rPr>
      </w:pPr>
    </w:p>
    <w:p>
      <w:pPr>
        <w:ind w:left="260" w:right="319"/>
        <w:spacing w:after="0" w:line="257" w:lineRule="auto"/>
        <w:rPr>
          <w:sz w:val="20"/>
          <w:szCs w:val="20"/>
          <w:color w:val="auto"/>
        </w:rPr>
      </w:pPr>
      <w:r>
        <w:rPr>
          <w:rFonts w:ascii="Times New Roman" w:cs="Times New Roman" w:eastAsia="Times New Roman" w:hAnsi="Times New Roman"/>
          <w:sz w:val="18"/>
          <w:szCs w:val="18"/>
          <w:color w:val="auto"/>
        </w:rPr>
        <w:t>directors, act in an oppressive or unfairly prejudicial manner towards a single shareholder does not have a minimum shareholding requirement, and can result in a broad range of orders, including:  </w:t>
      </w:r>
    </w:p>
    <w:p>
      <w:pPr>
        <w:spacing w:after="0" w:line="206" w:lineRule="exact"/>
        <w:rPr>
          <w:sz w:val="20"/>
          <w:szCs w:val="20"/>
          <w:color w:val="auto"/>
        </w:rPr>
      </w:pPr>
    </w:p>
    <w:p>
      <w:pPr>
        <w:ind w:left="180" w:hanging="173"/>
        <w:spacing w:after="0"/>
        <w:tabs>
          <w:tab w:leader="none" w:pos="1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The winding up of the company</w:t>
      </w:r>
    </w:p>
    <w:p>
      <w:pPr>
        <w:spacing w:after="0" w:line="20"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40" w:right="959" w:hanging="533"/>
        <w:spacing w:after="0" w:line="265" w:lineRule="auto"/>
        <w:tabs>
          <w:tab w:leader="none" w:pos="18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Modification of the company’s constitution</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40" w:right="339" w:hanging="533"/>
        <w:spacing w:after="0" w:line="290" w:lineRule="auto"/>
        <w:tabs>
          <w:tab w:leader="none" w:pos="18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Any other order the court determines to be appropriate</w:t>
      </w:r>
    </w:p>
    <w:p>
      <w:pPr>
        <w:spacing w:after="0" w:line="319" w:lineRule="exact"/>
        <w:rPr>
          <w:sz w:val="20"/>
          <w:szCs w:val="20"/>
          <w:color w:val="auto"/>
        </w:rPr>
      </w:pPr>
    </w:p>
    <w:p>
      <w:pPr>
        <w:ind w:right="319"/>
        <w:spacing w:after="0" w:line="263" w:lineRule="auto"/>
        <w:rPr>
          <w:sz w:val="20"/>
          <w:szCs w:val="20"/>
          <w:color w:val="auto"/>
        </w:rPr>
      </w:pPr>
      <w:r>
        <w:rPr>
          <w:rFonts w:ascii="Times New Roman" w:cs="Times New Roman" w:eastAsia="Times New Roman" w:hAnsi="Times New Roman"/>
          <w:sz w:val="18"/>
          <w:szCs w:val="18"/>
          <w:color w:val="auto"/>
        </w:rPr>
        <w:t>Any shareholder of the Company has the right to inspect or obtain copies of our share register on the payment of a prescribed fee.  </w:t>
      </w:r>
    </w:p>
    <w:p>
      <w:pPr>
        <w:spacing w:after="0" w:line="202"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an order for inspection of our books.  </w:t>
      </w:r>
    </w:p>
    <w:p>
      <w:pPr>
        <w:spacing w:after="0" w:line="210" w:lineRule="exact"/>
        <w:rPr>
          <w:sz w:val="20"/>
          <w:szCs w:val="20"/>
          <w:color w:val="auto"/>
        </w:rPr>
      </w:pPr>
    </w:p>
    <w:p>
      <w:pPr>
        <w:ind w:right="299"/>
        <w:spacing w:after="0" w:line="253" w:lineRule="auto"/>
        <w:rPr>
          <w:sz w:val="20"/>
          <w:szCs w:val="20"/>
          <w:color w:val="auto"/>
        </w:rPr>
      </w:pPr>
      <w:r>
        <w:rPr>
          <w:rFonts w:ascii="Times New Roman" w:cs="Times New Roman" w:eastAsia="Times New Roman" w:hAnsi="Times New Roman"/>
          <w:sz w:val="18"/>
          <w:szCs w:val="18"/>
          <w:color w:val="auto"/>
        </w:rPr>
        <w:t>All public companies are required to prepare annual financial reports and directors’ reports for each financial year, and to file these reports with the Australian Securities and Investments Commission.</w:t>
      </w:r>
    </w:p>
    <w:p>
      <w:pPr>
        <w:spacing w:after="0" w:line="200" w:lineRule="exact"/>
        <w:rPr>
          <w:sz w:val="20"/>
          <w:szCs w:val="20"/>
          <w:color w:val="auto"/>
        </w:rPr>
      </w:pPr>
    </w:p>
    <w:p>
      <w:pPr>
        <w:sectPr>
          <w:pgSz w:w="11900" w:h="16838" w:orient="portrait"/>
          <w:cols w:equalWidth="0" w:num="2">
            <w:col w:w="5000" w:space="320"/>
            <w:col w:w="3699"/>
          </w:cols>
          <w:pgMar w:left="1440" w:top="263" w:right="1440" w:bottom="1440" w:gutter="0" w:footer="0" w:header="0"/>
        </w:sectPr>
      </w:pPr>
    </w:p>
    <w:p>
      <w:pPr>
        <w:spacing w:after="0" w:line="14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Amendments to</w:t>
      </w:r>
      <w:r>
        <w:rPr>
          <w:sz w:val="20"/>
          <w:szCs w:val="20"/>
          <w:color w:val="auto"/>
        </w:rPr>
        <w:tab/>
      </w:r>
      <w:r>
        <w:rPr>
          <w:rFonts w:ascii="Times New Roman" w:cs="Times New Roman" w:eastAsia="Times New Roman" w:hAnsi="Times New Roman"/>
          <w:sz w:val="17"/>
          <w:szCs w:val="17"/>
          <w:color w:val="auto"/>
        </w:rPr>
        <w:t>Amendments to the certificate of</w:t>
      </w:r>
    </w:p>
    <w:p>
      <w:pPr>
        <w:spacing w:after="0" w:line="2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color w:val="auto"/>
        </w:rPr>
        <w:t>Charter</w:t>
      </w:r>
      <w:r>
        <w:rPr>
          <w:sz w:val="20"/>
          <w:szCs w:val="20"/>
          <w:color w:val="auto"/>
        </w:rPr>
        <w:tab/>
      </w:r>
      <w:r>
        <w:rPr>
          <w:rFonts w:ascii="Times New Roman" w:cs="Times New Roman" w:eastAsia="Times New Roman" w:hAnsi="Times New Roman"/>
          <w:sz w:val="18"/>
          <w:szCs w:val="18"/>
          <w:color w:val="auto"/>
        </w:rPr>
        <w:t>incorporation of a Delaware corporation</w:t>
      </w:r>
    </w:p>
    <w:p>
      <w:pPr>
        <w:spacing w:after="0" w:line="9"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739"/>
        <w:spacing w:after="0" w:line="266" w:lineRule="auto"/>
        <w:rPr>
          <w:sz w:val="20"/>
          <w:szCs w:val="20"/>
          <w:color w:val="auto"/>
        </w:rPr>
      </w:pPr>
      <w:r>
        <w:rPr>
          <w:rFonts w:ascii="Times New Roman" w:cs="Times New Roman" w:eastAsia="Times New Roman" w:hAnsi="Times New Roman"/>
          <w:sz w:val="18"/>
          <w:szCs w:val="18"/>
          <w:color w:val="auto"/>
        </w:rPr>
        <w:t>Amending or replacing the company’s constitution, requires a special resolution (75%) of the shareholders.</w:t>
      </w:r>
    </w:p>
    <w:p>
      <w:pPr>
        <w:sectPr>
          <w:pgSz w:w="11900" w:h="16838" w:orient="portrait"/>
          <w:cols w:equalWidth="0" w:num="2">
            <w:col w:w="5120" w:space="200"/>
            <w:col w:w="3699"/>
          </w:cols>
          <w:pgMar w:left="1440" w:top="263" w:right="1440" w:bottom="1440" w:gutter="0" w:footer="0" w:header="0"/>
          <w:type w:val="continuous"/>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 The transfer agent and registrar’s address is 150 Royal Street, Canton, MA 02021.</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“IREN”.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60"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debt securities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price or prices, expressed as a percentage of the aggregate principal amount of the debt securities;</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will be payable and any regular record date for the interest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ordinary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75"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warrants in respect of which the prospectus supplement is delivered:</w:t>
      </w:r>
    </w:p>
    <w:p>
      <w:pPr>
        <w:spacing w:after="0" w:line="54"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81"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subscription rights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to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each right;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limitations relating to the exercise of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exercise of rights will commence;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if any, to determine who is entitled to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trading of rights, including the stock exchanges, if any, on which the rights will be listed;</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 material Australian tax considerations;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the rights;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rights.</w:t>
      </w:r>
    </w:p>
    <w:p>
      <w:pPr>
        <w:spacing w:after="0" w:line="117"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or such securities or any combination of the above as specified in the applicable prospectus supplement.</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Australian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86"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purchase contracts, warrants, debt securities, preferred shares, ordinary shares or any combination of such securities. The applicable supplement will describe:</w:t>
      </w:r>
    </w:p>
    <w:p>
      <w:pPr>
        <w:spacing w:after="0" w:line="68" w:lineRule="exact"/>
        <w:rPr>
          <w:sz w:val="20"/>
          <w:szCs w:val="20"/>
          <w:color w:val="auto"/>
        </w:rPr>
      </w:pPr>
    </w:p>
    <w:p>
      <w:pPr>
        <w:ind w:left="1000" w:right="43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warrants, debt securities, preferred shares and/or ordinary shares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8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8"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IREN, the trustees, the warrant agents, the unit agents or any other agent of IREN,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117"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17"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17"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54"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8"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75"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5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51"/>
        </w:trPr>
        <w:tc>
          <w:tcPr>
            <w:tcW w:w="72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$73,800</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88"/>
              </w:rPr>
              <w:t>75,500‬</w:t>
            </w: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7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tcPr>
          <w:p>
            <w:pPr>
              <w:spacing w:after="0"/>
              <w:rPr>
                <w:sz w:val="23"/>
                <w:szCs w:val="23"/>
                <w:color w:val="auto"/>
              </w:rPr>
            </w:pP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3"/>
        </w:trPr>
        <w:tc>
          <w:tcPr>
            <w:tcW w:w="7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Miscellaneous costs</w:t>
            </w:r>
          </w:p>
        </w:tc>
        <w:tc>
          <w:tcPr>
            <w:tcW w:w="280" w:type="dxa"/>
            <w:vAlign w:val="bottom"/>
          </w:tcPr>
          <w:p>
            <w:pPr>
              <w:spacing w:after="0"/>
              <w:rPr>
                <w:sz w:val="17"/>
                <w:szCs w:val="17"/>
                <w:color w:val="auto"/>
              </w:rPr>
            </w:pP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15"/>
        </w:trPr>
        <w:tc>
          <w:tcPr>
            <w:tcW w:w="7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128"/>
        </w:trPr>
        <w:tc>
          <w:tcPr>
            <w:tcW w:w="7760" w:type="dxa"/>
            <w:vAlign w:val="bottom"/>
            <w:tcBorders>
              <w:bottom w:val="single" w:sz="8" w:color="CCEEFF"/>
            </w:tcBorders>
            <w:gridSpan w:val="2"/>
            <w:vMerge w:val="continue"/>
            <w:shd w:val="clear" w:color="auto" w:fill="CCEEFF"/>
          </w:tcPr>
          <w:p>
            <w:pPr>
              <w:spacing w:after="0"/>
              <w:rPr>
                <w:sz w:val="11"/>
                <w:szCs w:val="11"/>
                <w:color w:val="auto"/>
              </w:rPr>
            </w:pPr>
          </w:p>
        </w:tc>
        <w:tc>
          <w:tcPr>
            <w:tcW w:w="280" w:type="dxa"/>
            <w:vAlign w:val="bottom"/>
            <w:tcBorders>
              <w:bottom w:val="single" w:sz="8" w:color="auto"/>
            </w:tcBorders>
            <w:vMerge w:val="continue"/>
            <w:shd w:val="clear" w:color="auto" w:fill="CCEEFF"/>
          </w:tcPr>
          <w:p>
            <w:pPr>
              <w:spacing w:after="0"/>
              <w:rPr>
                <w:sz w:val="11"/>
                <w:szCs w:val="11"/>
                <w:color w:val="auto"/>
              </w:rPr>
            </w:pPr>
          </w:p>
        </w:tc>
        <w:tc>
          <w:tcPr>
            <w:tcW w:w="320" w:type="dxa"/>
            <w:vAlign w:val="bottom"/>
            <w:tcBorders>
              <w:bottom w:val="single" w:sz="8" w:color="auto"/>
            </w:tcBorders>
            <w:gridSpan w:val="2"/>
            <w:shd w:val="clear" w:color="auto" w:fill="CCEEFF"/>
          </w:tcPr>
          <w:p>
            <w:pPr>
              <w:ind w:left="200"/>
              <w:spacing w:after="0" w:line="8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-1473835</wp:posOffset>
            </wp:positionV>
            <wp:extent cx="3086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39" w:hanging="348"/>
        <w:spacing w:after="0" w:line="26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depend on the securities offered and the number of issuances, and accordingly cannot be estimated at this time and will be reflected in the applicable prospectus supplement.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The validity of certain securities and certain other matters with respect to Australian law have been passed upon for us by Clifford Chance LLP, located at Level 24, 10 Carrington Street, Sydney NSW 2000, Australia. The validity of certain securities and certain matters with respect to U.S. federal and New York State law have been passed upon for us by Davis Polk &amp; Wardwell LLP, located at 450 Lexington Avenue, New York, New York 10017. Any underwriters, dealers or agents will be advised by their own legal counsel concerning issues relating to any offering.</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for the fiscal year ended June 30, 2023 ‎incorporated by reference in this prospectus and elsewhere in the registration statement have been so incorporated by reference in reliance on the report of Raymond Chabot Grant Thornton LLP, independent registered ‎public accountants, upon the authority of said firm as experts in accounting and auditing.</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in respect of the fiscal years ended June 30, 2022 and 2021 incorporated‎</w:t>
      </w:r>
    </w:p>
    <w:p>
      <w:pPr>
        <w:spacing w:after="0" w:line="27"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by reference in this prospectus and elsewhere in the registration statement have been so incorporated by reference in reliance on the report of Armanino LLP, independent registered ‎public accountants, upon the authority of said firm as experts in accounting and auditing.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 OF PROCESS AND ENFORCEABILITY OF CIVIL LIABILITIES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are a public company incorporated under the laws of Australia with limited liability. Some or all of our directors may be non-residents of the United States and substantially all of their assets are located outside the United States. As a result, it may not be possible or practicable for you to:</w:t>
      </w:r>
    </w:p>
    <w:p>
      <w:pPr>
        <w:spacing w:after="0" w:line="68"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U.S. courts in any action, including actions under the civil liability provisions of U.S. securities laws;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You may also have difficulties enforcing in courts outside the United States judgments that are obtained in U.S. courts against any of our non-U.S. resident directors or us, including actions under the civil liability provisions of the U.S. securities laws. Australia has developed a different body of securities laws as compared to the United States and may provide protections for investors to a lesser extent.</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It may be difficult (or impossible in some circumstances) for Australian companies to commence court action or proceedings before the federal courts of the United States or other jurisdiction in which it conducts business or has assets. This may make it difficult for us to recover amounts we are owed and to generally enforce our rights, which may have an adverse impact on our operations and financial standing. Even where we are able to enforce our rights, this may be costly and/or time consuming, risky, and may not guarantee recovery, which in turn may have an adverse impact on our operations and financial standing.</w:t>
      </w:r>
    </w:p>
    <w:p>
      <w:pPr>
        <w:spacing w:after="0" w:line="7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disclosures in this section are not based on the opinion of counsel.</w:t>
      </w:r>
    </w:p>
    <w:p>
      <w:pPr>
        <w:spacing w:after="0" w:line="117"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under the federal securities laws of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59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we file reports, including annual reports on Form 20-F, and other information with the SEC. We are allowed four months following the end of our fiscal year to file our annual report with the SEC instead of approximately three (for U.S. domestic issuers), and we are not required to disclose certain detailed information regarding executive compensation that is required from U.S. domestic issuers. In addition, we will not be required under the Exchange Act to file periodic reports and financial statements with the SEC as frequently as companies that are not foreign private issuers whose securities are registered under the Exchange Act. Also, as a foreign private issuer, we are exempt from the rules of the Exchange Act prescribing the furnishing of proxy statements to shareholders, and our senior management, directors and principal shareholders are exempt from the reporting and “short-swing” profit recovery provisions contained in Section 16 of the Exchange Act.</w:t>
      </w:r>
    </w:p>
    <w:p>
      <w:pPr>
        <w:spacing w:after="0" w:line="80" w:lineRule="exact"/>
        <w:rPr>
          <w:sz w:val="20"/>
          <w:szCs w:val="20"/>
          <w:color w:val="auto"/>
        </w:rPr>
      </w:pPr>
    </w:p>
    <w:p>
      <w:pPr>
        <w:ind w:left="300" w:right="539" w:firstLine="360"/>
        <w:spacing w:after="0" w:line="272" w:lineRule="auto"/>
        <w:rPr>
          <w:sz w:val="20"/>
          <w:szCs w:val="20"/>
          <w:color w:val="auto"/>
        </w:rPr>
      </w:pPr>
      <w:r>
        <w:rPr>
          <w:rFonts w:ascii="Times New Roman" w:cs="Times New Roman" w:eastAsia="Times New Roman" w:hAnsi="Times New Roman"/>
          <w:sz w:val="17"/>
          <w:szCs w:val="17"/>
          <w:color w:val="auto"/>
        </w:rPr>
        <w:t>As a foreign private issuer, we also are exempt from the requirements of Regulation FD (Fair Disclosure) which, generally, are meant to ensure that select groups of investors are not privy to specific information about an issuer before other investors. We are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spacing w:after="0" w:line="6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This prospectus incorporates by reference the documents listed below:</w:t>
      </w:r>
    </w:p>
    <w:p>
      <w:pPr>
        <w:spacing w:after="0" w:line="72" w:lineRule="exact"/>
        <w:rPr>
          <w:sz w:val="20"/>
          <w:szCs w:val="20"/>
          <w:color w:val="auto"/>
        </w:rPr>
      </w:pPr>
    </w:p>
    <w:p>
      <w:pPr>
        <w:ind w:left="1000" w:right="1139" w:hanging="348"/>
        <w:spacing w:after="0" w:line="282" w:lineRule="auto"/>
        <w:tabs>
          <w:tab w:leader="none" w:pos="1000" w:val="left"/>
        </w:tabs>
        <w:numPr>
          <w:ilvl w:val="0"/>
          <w:numId w:val="5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20-F for the fiscal year ended June 30, 2023, filed with the SEC on </w:t>
      </w:r>
      <w:hyperlink r:id="rId49">
        <w:r>
          <w:rPr>
            <w:rFonts w:ascii="Times New Roman" w:cs="Times New Roman" w:eastAsia="Times New Roman" w:hAnsi="Times New Roman"/>
            <w:sz w:val="18"/>
            <w:szCs w:val="18"/>
            <w:u w:val="single" w:color="auto"/>
            <w:color w:val="0000EE"/>
          </w:rPr>
          <w:t>September 13, 2023</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5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Form 6-K filed with the SEC on </w:t>
      </w:r>
      <w:hyperlink r:id="rId50">
        <w:r>
          <w:rPr>
            <w:rFonts w:ascii="Times New Roman" w:cs="Times New Roman" w:eastAsia="Times New Roman" w:hAnsi="Times New Roman"/>
            <w:sz w:val="18"/>
            <w:szCs w:val="18"/>
            <w:u w:val="single" w:color="auto"/>
            <w:color w:val="0000EE"/>
          </w:rPr>
          <w:t>October 20,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“Restricted Share Units (‘RSUs’)” in Exhibit 99.4 thereto);</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5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Reports on Form 6-K filed with the SEC on </w:t>
      </w:r>
      <w:hyperlink r:id="rId51">
        <w:r>
          <w:rPr>
            <w:rFonts w:ascii="Times New Roman" w:cs="Times New Roman" w:eastAsia="Times New Roman" w:hAnsi="Times New Roman"/>
            <w:sz w:val="18"/>
            <w:szCs w:val="18"/>
            <w:u w:val="single" w:color="auto"/>
            <w:color w:val="0000EE"/>
          </w:rPr>
          <w:t>July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2">
        <w:r>
          <w:rPr>
            <w:rFonts w:ascii="Times New Roman" w:cs="Times New Roman" w:eastAsia="Times New Roman" w:hAnsi="Times New Roman"/>
            <w:sz w:val="18"/>
            <w:szCs w:val="18"/>
            <w:u w:val="single" w:color="auto"/>
            <w:color w:val="0000EE"/>
          </w:rPr>
          <w:t>August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3">
        <w:r>
          <w:rPr>
            <w:rFonts w:ascii="Times New Roman" w:cs="Times New Roman" w:eastAsia="Times New Roman" w:hAnsi="Times New Roman"/>
            <w:sz w:val="18"/>
            <w:szCs w:val="18"/>
            <w:u w:val="single" w:color="auto"/>
            <w:color w:val="0000EE"/>
          </w:rPr>
          <w:t>August 29,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4">
        <w:r>
          <w:rPr>
            <w:rFonts w:ascii="Times New Roman" w:cs="Times New Roman" w:eastAsia="Times New Roman" w:hAnsi="Times New Roman"/>
            <w:sz w:val="18"/>
            <w:szCs w:val="18"/>
            <w:u w:val="single" w:color="auto"/>
            <w:color w:val="0000EE"/>
          </w:rPr>
          <w:t>October 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0">
        <w:r>
          <w:rPr>
            <w:rFonts w:ascii="Times New Roman" w:cs="Times New Roman" w:eastAsia="Times New Roman" w:hAnsi="Times New Roman"/>
            <w:sz w:val="18"/>
            <w:szCs w:val="18"/>
            <w:u w:val="single" w:color="auto"/>
            <w:color w:val="0000EE"/>
          </w:rPr>
          <w:t>October 20,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second Report on Form 6-K filed on such date), </w:t>
      </w:r>
      <w:hyperlink r:id="rId55">
        <w:r>
          <w:rPr>
            <w:rFonts w:ascii="Times New Roman" w:cs="Times New Roman" w:eastAsia="Times New Roman" w:hAnsi="Times New Roman"/>
            <w:sz w:val="18"/>
            <w:szCs w:val="18"/>
            <w:u w:val="single" w:color="auto"/>
            <w:color w:val="0000EE"/>
          </w:rPr>
          <w:t>November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6">
        <w:r>
          <w:rPr>
            <w:rFonts w:ascii="Times New Roman" w:cs="Times New Roman" w:eastAsia="Times New Roman" w:hAnsi="Times New Roman"/>
            <w:sz w:val="18"/>
            <w:szCs w:val="18"/>
            <w:u w:val="single" w:color="auto"/>
            <w:color w:val="0000EE"/>
          </w:rPr>
          <w:t>December 7, 2023</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December 15,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8">
        <w:r>
          <w:rPr>
            <w:rFonts w:ascii="Times New Roman" w:cs="Times New Roman" w:eastAsia="Times New Roman" w:hAnsi="Times New Roman"/>
            <w:sz w:val="18"/>
            <w:szCs w:val="18"/>
            <w:u w:val="single" w:color="auto"/>
            <w:color w:val="0000EE"/>
          </w:rPr>
          <w:t>January 16,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contained in the press release furnished as Exhibit 99.1 thereto), </w:t>
      </w:r>
      <w:hyperlink r:id="rId59">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color w:val="auto"/>
          </w:rPr>
          <w:t xml:space="preserve">(other than the information contained in the press release furnished as Exhibit 99.1 thereto), </w:t>
        </w:r>
        <w:r>
          <w:rPr>
            <w:rFonts w:ascii="Times New Roman" w:cs="Times New Roman" w:eastAsia="Times New Roman" w:hAnsi="Times New Roman"/>
            <w:sz w:val="18"/>
            <w:szCs w:val="18"/>
            <w:u w:val="single" w:color="auto"/>
            <w:color w:val="0000EE"/>
          </w:rPr>
          <w:t>February 15,</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the information contained in the press release furnished as Exhibit 99.1 and presentation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as Exhibit 99.2 thereto) and </w:t>
      </w:r>
      <w:hyperlink r:id="rId61">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000000"/>
        </w:rPr>
        <w:t>; and</w:t>
      </w:r>
    </w:p>
    <w:p>
      <w:pPr>
        <w:spacing w:after="0" w:line="81" w:lineRule="exact"/>
        <w:rPr>
          <w:rFonts w:ascii="Times New Roman" w:cs="Times New Roman" w:eastAsia="Times New Roman" w:hAnsi="Times New Roman"/>
          <w:sz w:val="18"/>
          <w:szCs w:val="18"/>
          <w:color w:val="000000"/>
        </w:rPr>
      </w:pPr>
    </w:p>
    <w:p>
      <w:pPr>
        <w:ind w:left="1000" w:right="399" w:hanging="348"/>
        <w:spacing w:after="0" w:line="266" w:lineRule="auto"/>
        <w:tabs>
          <w:tab w:leader="none" w:pos="1000" w:val="left"/>
        </w:tabs>
        <w:numPr>
          <w:ilvl w:val="0"/>
          <w:numId w:val="51"/>
        </w:numPr>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auto"/>
          </w:rPr>
          <w:t xml:space="preserve">the description of our share capital contained in our registration statement on Form 8-A dated </w:t>
        </w:r>
        <w:r>
          <w:rPr>
            <w:rFonts w:ascii="Times New Roman" w:cs="Times New Roman" w:eastAsia="Times New Roman" w:hAnsi="Times New Roman"/>
            <w:sz w:val="18"/>
            <w:szCs w:val="18"/>
            <w:u w:val="single" w:color="auto"/>
            <w:color w:val="0000EE"/>
          </w:rPr>
          <w:t>November</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16, 2021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(File No. 001-41072) filed under the Exchange Act, including any amendment or report filed </w:t>
        </w:r>
      </w:hyperlink>
      <w:r>
        <w:rPr>
          <w:rFonts w:ascii="Times New Roman" w:cs="Times New Roman" w:eastAsia="Times New Roman" w:hAnsi="Times New Roman"/>
          <w:sz w:val="18"/>
          <w:szCs w:val="18"/>
          <w:color w:val="0000EE"/>
        </w:rPr>
        <w:t xml:space="preserve">for </w:t>
      </w:r>
      <w:r>
        <w:rPr>
          <w:rFonts w:ascii="Times New Roman" w:cs="Times New Roman" w:eastAsia="Times New Roman" w:hAnsi="Times New Roman"/>
          <w:sz w:val="18"/>
          <w:szCs w:val="18"/>
          <w:color w:val="000000"/>
        </w:rPr>
        <w:t>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except as so modified or superseded, to constitute part of this prospectus.</w:t>
      </w:r>
    </w:p>
    <w:p>
      <w:pPr>
        <w:spacing w:after="0" w:line="72" w:lineRule="exact"/>
        <w:rPr>
          <w:rFonts w:ascii="Times New Roman" w:cs="Times New Roman" w:eastAsia="Times New Roman" w:hAnsi="Times New Roman"/>
          <w:sz w:val="18"/>
          <w:szCs w:val="18"/>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spacing w:after="0" w:line="80"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w:t>
      </w:r>
    </w:p>
    <w:p>
      <w:pPr>
        <w:spacing w:after="0" w:line="27" w:lineRule="exact"/>
        <w:rPr>
          <w:rFonts w:ascii="Times New Roman" w:cs="Times New Roman" w:eastAsia="Times New Roman" w:hAnsi="Times New Roman"/>
          <w:sz w:val="18"/>
          <w:szCs w:val="18"/>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SEC through the SEC’s website at https://www.sec.gov. We will provide, without charge, to each person, including any beneficial owner, to whom a copy of this prospectus is delivered, upon written or oral request of such person, a copy of any or all of the reports or documents referred to above which have been or may be incorporated by reference into this prospectus. You should direct all requests for those documents to:</w:t>
      </w:r>
    </w:p>
    <w:p>
      <w:pPr>
        <w:spacing w:after="0" w:line="135" w:lineRule="exact"/>
        <w:rPr>
          <w:rFonts w:ascii="Times New Roman" w:cs="Times New Roman" w:eastAsia="Times New Roman" w:hAnsi="Times New Roman"/>
          <w:sz w:val="18"/>
          <w:szCs w:val="18"/>
          <w:color w:val="auto"/>
        </w:rPr>
      </w:pPr>
    </w:p>
    <w:p>
      <w:pPr>
        <w:ind w:left="3780"/>
        <w:spacing w:after="0"/>
        <w:rPr>
          <w:sz w:val="20"/>
          <w:szCs w:val="20"/>
          <w:color w:val="auto"/>
        </w:rPr>
      </w:pPr>
      <w:r>
        <w:rPr>
          <w:rFonts w:ascii="Times New Roman" w:cs="Times New Roman" w:eastAsia="Times New Roman" w:hAnsi="Times New Roman"/>
          <w:sz w:val="18"/>
          <w:szCs w:val="18"/>
          <w:color w:val="auto"/>
        </w:rPr>
        <w:t>Iris Energy Limited</w:t>
      </w:r>
    </w:p>
    <w:p>
      <w:pPr>
        <w:spacing w:after="0" w:line="27" w:lineRule="exact"/>
        <w:rPr>
          <w:rFonts w:ascii="Times New Roman" w:cs="Times New Roman" w:eastAsia="Times New Roman" w:hAnsi="Times New Roman"/>
          <w:sz w:val="18"/>
          <w:szCs w:val="18"/>
          <w:color w:val="auto"/>
        </w:rPr>
      </w:pPr>
    </w:p>
    <w:p>
      <w:pPr>
        <w:ind w:left="3520"/>
        <w:spacing w:after="0"/>
        <w:rPr>
          <w:sz w:val="20"/>
          <w:szCs w:val="20"/>
          <w:color w:val="auto"/>
        </w:rPr>
      </w:pPr>
      <w:r>
        <w:rPr>
          <w:rFonts w:ascii="Times New Roman" w:cs="Times New Roman" w:eastAsia="Times New Roman" w:hAnsi="Times New Roman"/>
          <w:sz w:val="18"/>
          <w:szCs w:val="18"/>
          <w:color w:val="auto"/>
        </w:rPr>
        <w:t>Level 12, 44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https://iren.com. The information contained on, or that may be accessed through, our website is not part of, and is not incorporated by reference into, this prospectus.</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2176780</wp:posOffset>
            </wp:positionV>
            <wp:extent cx="1242695" cy="7461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1242695" cy="74612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Iris Energy Limited</w:t>
      </w:r>
    </w:p>
    <w:p>
      <w:pPr>
        <w:spacing w:after="0" w:line="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5"/>
          <w:szCs w:val="25"/>
          <w:b w:val="1"/>
          <w:bCs w:val="1"/>
          <w:color w:val="auto"/>
        </w:rPr>
        <w:t>(d/b/a IREN)</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 </w:t>
      </w:r>
    </w:p>
    <w:p>
      <w:pPr>
        <w:ind w:left="3620"/>
        <w:spacing w:after="0" w:line="231" w:lineRule="auto"/>
        <w:rPr>
          <w:sz w:val="20"/>
          <w:szCs w:val="20"/>
          <w:color w:val="auto"/>
        </w:rPr>
      </w:pPr>
      <w:r>
        <w:rPr>
          <w:rFonts w:ascii="Times New Roman" w:cs="Times New Roman" w:eastAsia="Times New Roman" w:hAnsi="Times New Roman"/>
          <w:sz w:val="22"/>
          <w:szCs w:val="22"/>
          <w:b w:val="1"/>
          <w:bCs w:val="1"/>
          <w:color w:val="auto"/>
        </w:rPr>
        <w:t>Up to $500,000,000</w:t>
      </w:r>
    </w:p>
    <w:p>
      <w:pPr>
        <w:ind w:left="436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372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355600</wp:posOffset>
            </wp:positionV>
            <wp:extent cx="10972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15" w:lineRule="exact"/>
        <w:rPr>
          <w:sz w:val="20"/>
          <w:szCs w:val="20"/>
          <w:color w:val="auto"/>
        </w:rPr>
      </w:pPr>
    </w:p>
    <w:p>
      <w:pPr>
        <w:ind w:left="680"/>
        <w:spacing w:after="0"/>
        <w:tabs>
          <w:tab w:leader="none" w:pos="1980" w:val="left"/>
          <w:tab w:leader="none" w:pos="3560" w:val="left"/>
          <w:tab w:leader="none" w:pos="4840" w:val="left"/>
          <w:tab w:leader="none" w:pos="6240" w:val="left"/>
          <w:tab w:leader="none" w:pos="7580" w:val="left"/>
        </w:tabs>
        <w:rPr>
          <w:sz w:val="20"/>
          <w:szCs w:val="20"/>
          <w:color w:val="auto"/>
        </w:rPr>
      </w:pPr>
      <w:r>
        <w:rPr>
          <w:rFonts w:ascii="Times New Roman" w:cs="Times New Roman" w:eastAsia="Times New Roman" w:hAnsi="Times New Roman"/>
          <w:sz w:val="18"/>
          <w:szCs w:val="18"/>
          <w:b w:val="1"/>
          <w:bCs w:val="1"/>
          <w:color w:val="auto"/>
        </w:rPr>
        <w:t>B. Riley</w:t>
      </w:r>
      <w:r>
        <w:rPr>
          <w:sz w:val="20"/>
          <w:szCs w:val="20"/>
          <w:color w:val="auto"/>
        </w:rPr>
        <w:tab/>
      </w:r>
      <w:r>
        <w:rPr>
          <w:rFonts w:ascii="Times New Roman" w:cs="Times New Roman" w:eastAsia="Times New Roman" w:hAnsi="Times New Roman"/>
          <w:sz w:val="18"/>
          <w:szCs w:val="18"/>
          <w:b w:val="1"/>
          <w:bCs w:val="1"/>
          <w:color w:val="auto"/>
        </w:rPr>
        <w:t>Canaccord</w:t>
      </w:r>
      <w:r>
        <w:rPr>
          <w:sz w:val="20"/>
          <w:szCs w:val="20"/>
          <w:color w:val="auto"/>
        </w:rPr>
        <w:tab/>
      </w:r>
      <w:r>
        <w:rPr>
          <w:rFonts w:ascii="Times New Roman" w:cs="Times New Roman" w:eastAsia="Times New Roman" w:hAnsi="Times New Roman"/>
          <w:sz w:val="18"/>
          <w:szCs w:val="18"/>
          <w:b w:val="1"/>
          <w:bCs w:val="1"/>
          <w:color w:val="auto"/>
        </w:rPr>
        <w:t>Cantor</w:t>
      </w:r>
      <w:r>
        <w:rPr>
          <w:sz w:val="20"/>
          <w:szCs w:val="20"/>
          <w:color w:val="auto"/>
        </w:rPr>
        <w:tab/>
      </w:r>
      <w:r>
        <w:rPr>
          <w:rFonts w:ascii="Times New Roman" w:cs="Times New Roman" w:eastAsia="Times New Roman" w:hAnsi="Times New Roman"/>
          <w:sz w:val="18"/>
          <w:szCs w:val="18"/>
          <w:b w:val="1"/>
          <w:bCs w:val="1"/>
          <w:color w:val="auto"/>
        </w:rPr>
        <w:t>Citigroup</w:t>
      </w:r>
      <w:r>
        <w:rPr>
          <w:sz w:val="20"/>
          <w:szCs w:val="20"/>
          <w:color w:val="auto"/>
        </w:rPr>
        <w:tab/>
      </w:r>
      <w:r>
        <w:rPr>
          <w:rFonts w:ascii="Times New Roman" w:cs="Times New Roman" w:eastAsia="Times New Roman" w:hAnsi="Times New Roman"/>
          <w:sz w:val="18"/>
          <w:szCs w:val="18"/>
          <w:b w:val="1"/>
          <w:bCs w:val="1"/>
          <w:color w:val="auto"/>
        </w:rPr>
        <w:t>Compass</w:t>
      </w:r>
      <w:r>
        <w:rPr>
          <w:sz w:val="20"/>
          <w:szCs w:val="20"/>
          <w:color w:val="auto"/>
        </w:rPr>
        <w:tab/>
      </w:r>
      <w:r>
        <w:rPr>
          <w:rFonts w:ascii="Times New Roman" w:cs="Times New Roman" w:eastAsia="Times New Roman" w:hAnsi="Times New Roman"/>
          <w:sz w:val="18"/>
          <w:szCs w:val="18"/>
          <w:b w:val="1"/>
          <w:bCs w:val="1"/>
          <w:color w:val="auto"/>
        </w:rPr>
        <w:t>Macquarie</w:t>
      </w:r>
    </w:p>
    <w:p>
      <w:pPr>
        <w:spacing w:after="0" w:line="31" w:lineRule="exact"/>
        <w:rPr>
          <w:sz w:val="20"/>
          <w:szCs w:val="20"/>
          <w:color w:val="auto"/>
        </w:rPr>
      </w:pPr>
    </w:p>
    <w:p>
      <w:pPr>
        <w:ind w:left="620"/>
        <w:spacing w:after="0"/>
        <w:tabs>
          <w:tab w:leader="none" w:pos="2100" w:val="left"/>
          <w:tab w:leader="none" w:pos="6400" w:val="left"/>
          <w:tab w:leader="none" w:pos="772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b w:val="1"/>
          <w:bCs w:val="1"/>
          <w:color w:val="auto"/>
        </w:rPr>
        <w:t>Genuity</w:t>
      </w:r>
      <w:r>
        <w:rPr>
          <w:sz w:val="20"/>
          <w:szCs w:val="20"/>
          <w:color w:val="auto"/>
        </w:rPr>
        <w:tab/>
      </w:r>
      <w:r>
        <w:rPr>
          <w:rFonts w:ascii="Times New Roman" w:cs="Times New Roman" w:eastAsia="Times New Roman" w:hAnsi="Times New Roman"/>
          <w:sz w:val="18"/>
          <w:szCs w:val="18"/>
          <w:b w:val="1"/>
          <w:bCs w:val="1"/>
          <w:color w:val="auto"/>
        </w:rPr>
        <w:t>Point</w:t>
      </w:r>
      <w:r>
        <w:rPr>
          <w:sz w:val="20"/>
          <w:szCs w:val="20"/>
          <w:color w:val="auto"/>
        </w:rPr>
        <w:tab/>
      </w:r>
      <w:r>
        <w:rPr>
          <w:rFonts w:ascii="Times New Roman" w:cs="Times New Roman" w:eastAsia="Times New Roman" w:hAnsi="Times New Roman"/>
          <w:sz w:val="17"/>
          <w:szCs w:val="17"/>
          <w:b w:val="1"/>
          <w:bCs w:val="1"/>
          <w:color w:val="auto"/>
        </w:rPr>
        <w:t>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amp;"/>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Roman"/>
      <w:start w:val="3"/>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
      <w:numFmt w:val="bullet"/>
      <w:start w:val="1"/>
    </w:lvl>
  </w:abstractNum>
  <w:abstractNum w:abstractNumId="40">
    <w:nsid w:val="4B588F54"/>
    <w:multiLevelType w:val="hybridMultilevel"/>
    <w:lvl w:ilvl="0">
      <w:lvlJc w:val="left"/>
      <w:lvlText w:val=" "/>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jpe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jpe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49" Type="http://schemas.openxmlformats.org/officeDocument/2006/relationships/hyperlink" Target="https://www.sec.gov/ix?doc=/Archives/edgar/data/1878848/000114036123043816/brhc20058647_20f.htm" TargetMode="External"/><Relationship Id="rId50" Type="http://schemas.openxmlformats.org/officeDocument/2006/relationships/hyperlink" Target="https://www.sec.gov/Archives/edgar/data/1878848/000114036123048935/ef20012850_6k.htm" TargetMode="External"/><Relationship Id="rId51" Type="http://schemas.openxmlformats.org/officeDocument/2006/relationships/hyperlink" Target="https://www.sec.gov/Archives/edgar/data/1878848/000114036123034881/brhc20056018_6k.htm" TargetMode="External"/><Relationship Id="rId52" Type="http://schemas.openxmlformats.org/officeDocument/2006/relationships/hyperlink" Target="https://www.sec.gov/Archives/edgar/data/1878848/000114036123039183/brhc20057412_6k.htm" TargetMode="External"/><Relationship Id="rId53" Type="http://schemas.openxmlformats.org/officeDocument/2006/relationships/hyperlink" Target="https://www.sec.gov/Archives/edgar/data/1878848/000114036123041550/brhc20058156_6k.htm" TargetMode="External"/><Relationship Id="rId54" Type="http://schemas.openxmlformats.org/officeDocument/2006/relationships/hyperlink" Target="https://www.sec.gov/Archives/edgar/data/1878848/000114036123047243/ef20012126_6k.htm" TargetMode="External"/><Relationship Id="rId55" Type="http://schemas.openxmlformats.org/officeDocument/2006/relationships/hyperlink" Target="https://www.sec.gov/Archives/edgar/data/1878848/000114036123055324/ef20015516_6k.htm" TargetMode="External"/><Relationship Id="rId56" Type="http://schemas.openxmlformats.org/officeDocument/2006/relationships/hyperlink" Target="https://www.sec.gov/Archives/edgar/data/1878848/000114036123056563/ef20016217_6k.htm" TargetMode="External"/><Relationship Id="rId57" Type="http://schemas.openxmlformats.org/officeDocument/2006/relationships/hyperlink" Target="https://www.sec.gov/Archives/edgar/data/1878848/000114036123057724/ef20016735_6k.htm" TargetMode="External"/><Relationship Id="rId58" Type="http://schemas.openxmlformats.org/officeDocument/2006/relationships/hyperlink" Target="https://www.sec.gov/Archives/edgar/data/1878848/000114036124002189/ef20018887_6k.htm" TargetMode="External"/><Relationship Id="rId59" Type="http://schemas.openxmlformats.org/officeDocument/2006/relationships/hyperlink" Target="https://www.sec.gov/Archives/edgar/data/1878848/000114036124007666/ef20021677_6k.htm" TargetMode="External"/><Relationship Id="rId60" Type="http://schemas.openxmlformats.org/officeDocument/2006/relationships/hyperlink" Target="https://www.sec.gov/Archives/edgar/data/1878848/000114036124008183/ef20015356_6k.htm" TargetMode="External"/><Relationship Id="rId61" Type="http://schemas.openxmlformats.org/officeDocument/2006/relationships/hyperlink" Target="https://www.sec.gov/Archives/edgar/data/1878848/000114036124014505/ny20024712x2_6k.htm" TargetMode="External"/><Relationship Id="rId62" Type="http://schemas.openxmlformats.org/officeDocument/2006/relationships/hyperlink" Target="https://www.sec.gov/Archives/edgar/data/1878848/000114036121038024/ny20000275x1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2024-05-29T06:42:17Z</dcterms:created>
  <dcterms:modified xsi:type="dcterms:W3CDTF">2024-05-29T06:42:17Z</dcterms:modified>
</cp:coreProperties>
</file>