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IREN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$0.00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33,639,454.40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33,639,454.40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33,642,054.40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33,639,454.40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33,639,454.40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33,642,054.40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IREN LIMITED</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Level 5, 55 Market Street, Sydney, C3, 2000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5"/>
        <w:gridCol w:w="4110"/>
      </w:tblGrid>
      <w:tr>
        <w:trPr/>
        <w:tc>
          <w:tcPr>
            <w:tcW w:w="60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Name: AMEEN SOETAN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Attorney-in-fact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0"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5"/>
        <w:gridCol w:w="4110"/>
      </w:tblGrid>
      <w:tr>
        <w:trPr/>
        <w:tc>
          <w:tcPr>
            <w:tcW w:w="60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Name: AMEEN SOETAN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Attorney-in-fact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Ordinary shares, par value $0.00 per share, of IREN LIMITED and further agree to the filing of this agreement as an Exhibit thereto. In addition, each party to this Agreement expressly authorizes each other party to this Agreement to file on its behalf any and all amendments to such Statement on Schedule 13G. Date: 07/17/2026 THE GOLDMAN SACHS GROUP, INC. By:/s/ AMEEN SOETAN ---------------------------------------- Name: AMEEN SOETAN Title: Attorney-in-fact GOLDMAN SACHS &amp; CO. LLC By:/s/ AMEEN SOETAN ---------------------------------------- Name: AMEEN SOETAN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26251482_20260717.txt"/>
      <w:bookmarkStart w:id="21" w:name="ksPOA13G26251482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2253</Words>
  <Characters>11858</Characters>
  <CharactersWithSpaces>14046</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