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Belinda Nucifora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Iris Energy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12; 44 Market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Sydney, NSW 2000 Australia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Iris Energy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June 30,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001-41072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Belinda Nucifora: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June 30,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Operating and Financial Review and Prospects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Indicators of Performance and Financial Condition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electricity costs, page 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net electricity costs exclude the cost of REC purchases. We also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that if your existing REC brokers were to stop selling RECs 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or otherwise limit the sale thereof, you would incur additional expense and</w:t>
      </w:r>
    </w:p>
    <w:p>
      <w:pPr>
        <w:ind w:left="740" w:right="21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resources to obtain sufficient RECs to maintain 100% renewable energy sources. Please explain your basis for excluding RECs from net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electricity costs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net electricity costs as presented fully reflect current electricity costs when you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disclose in your filing and prominently disclose on your website that you are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powered by 100% renewable energy and the cost of RECs appears to be a component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claim.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2024 Page 2</w:t>
      </w:r>
    </w:p>
    <w:p>
      <w:pPr>
        <w:jc w:val="both"/>
        <w:ind w:right="685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Liquidity and Capital Resources Historical Cash Flows, page 102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of net cash provided by/used in operating, investing and financing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appears to repeat information already provided in the statement of cash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flows. Please revise future filings to include a quantitative and qualitative analysis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drivers of the change in cash flows between periods and impact to future trends to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sufficient basis to understand changes in cash between periods. Refer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5B and Instructions 1 and 9 to Item 5 of Form 20-F for guidance. Notes to the consolidated financial statements</w:t>
      </w:r>
    </w:p>
    <w:p>
      <w:pPr>
        <w:ind w:right="6339"/>
        <w:spacing w:after="0" w:line="32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2. Material accounting policies Revenue and other income recogntion Bitcoin mining revenue, page F-15</w:t>
      </w:r>
    </w:p>
    <w:p>
      <w:pPr>
        <w:spacing w:after="0" w:line="4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bitcoin mining revenue policy. Please address the following: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that your performance obligation is to provide computing power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(hashrate), however we observe that hashrate is speed, generally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quoted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computations per second. We believe your disclosure requires a more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precise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your performance obligation. Please tell us whether a more accurate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your performance obligation is a service to perform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hash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calculations for the pool operator, and if so, represent to us that you will revise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 future filings.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mining pool contracts can be terminated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time by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party without substantive compensation to the other party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termination, that upon termination, the mining pool operator (i.e., the customer)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only required to pay amounts due related to previously satisfied performance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and that therefore, the duration of the contract is less than 24 hours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the contract continuously renews throughout the day. Confirm for us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agreements are continually renewed as a result of either party being able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terminate the agreement at any time without penalty and therefore result in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duration that is less than 24 hours. If this is true, represent to us that you will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in future filings to properly state the causal relationship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(i.e., contracts are less than 24 hours in duration as a result of them being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continuously renewed and not vice versa) and link the continuously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to the termination rights in your agreements.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88 and elsewhere that you liquidate all the Bitcoin you mine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daily, that the mining pools you utilize transfer the Bitcoin earned to Kraken on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 basis and that you typically withdraw fiat currency proceeds from Kraken on a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 basis. We note that you also classify receipts from bitcoin mining activities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cash flows from operating activities. Please address the following: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to us that you will disclose your accounting policy for crytpo assets in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filings and separately tell us your basis therefor if you classify bitcoin other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an intangible asset in accordance with IAS 38.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IAS 7.16(b) which gives cash receipts from sales of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intangible assets as an example of cash flows arising from investing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the general time frame you hold cryptocurrencies mined, including the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060" w:right="21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average, maximum and minimum time you held them during the periods presented.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 cloud services revenue, page F-16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recognize AI cloud service revenue, which is measured at fair value,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ratably over the enforceable term of the contract as services are provided. Please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following: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and enhance future filings to more fully describe the AI cloud services you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provide;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and enhance future filings to identify the specific rights and performance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of each of the parties in the arrangements for the AI cloud services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provide, the nature of consideration you receive, i.e. cash or otherwise, and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application of the authoritative accounting guidance; and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whether your AI cloud service contracts meet the definition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 lease</w:t>
      </w:r>
    </w:p>
    <w:p>
      <w:pPr>
        <w:ind w:right="3079" w:firstLine="115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IFRS 16 and provide a discussion of your analysis. Note 4. Operating segments, page F-24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disclose Australia as the geographical region for which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majority of the revenue services were provided whereas you disclose that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underlying assets utilized to generate these revenues are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predominantly located in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North-America. Please tell us your basis for apparently allocating all your mining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to Australia and represent to us that you will disclose the basis for allocating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to individual countries. Refer to IFRS 8: Operating Segments; paragraph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33(a).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Property, plant and equipment, page F-33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$91,608,000 of impairment charges recorded in fiscal 2023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reversal of $108,000 of those charges associated with development assets in fiscal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2024. We also note the $12,961,000 impairment of computer hardware prepayments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fiscal 2023 as disclosed in Note 12 on page F-31. Please address the following as it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the portion of the impairments not associated with the Non-Recourse SPVs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were deconsolidated on February 3, 2023 and reference for us, where appropriate,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specific authoritative literature you relied upon to support your accounting: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your analyses supporting the impairments of both mining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hardware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computer hardware prepayments. Separately for each of these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impairments,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that your response includes, but is not limited to,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Confirm that you recorded the impairments at December 31,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tell us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when during the quarter then ended that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recorded the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impairments;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The impairment indicators identified;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35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How you determined the recoverable amounts; and o The recoverable amounts derived.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general market prices of bitcoin improved dramatically during fiscal 2024</w:t>
      </w: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(especially toward the middle and latter part of the year) since December 31,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2022, tell us your consideration for reversing part of the impairments recorded.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24. Financial Instruments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Supply Agreement, page F-44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entered into a Power Supply Agreement (PSA) for the procurement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electricity at the Childress site in which you have the right to purchase a fixed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quantity of electricity in advance at a fixed price, with no obligation to take physical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 and any unused electricity purchased is sold to the PSA counterparty at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prevailing spot price at the time of curtailment. Please tell us and enhance future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to clarify the following: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 of the PSA and total MWs that you have the right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purchase;</w:t>
      </w:r>
    </w:p>
    <w:p>
      <w:pPr>
        <w:ind w:right="26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characterize the electricity financial asset as "prepaid electricity" on page F-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18 and the right to purchase electricity "in advance" on page F-44.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right="255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 preceding bullet, explain how far in advance payments are made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future electricity purchases and the frequency and timing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under the PSA;</w:t>
      </w:r>
    </w:p>
    <w:p>
      <w:pPr>
        <w:ind w:right="23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detail on how you apply the forward price approach identified on</w:t>
      </w:r>
    </w:p>
    <w:p>
      <w:pPr>
        <w:ind w:right="24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F-18 in Note 2 and F-45 in Note 25. In this regard, you indicate that the fair</w:t>
      </w:r>
    </w:p>
    <w:p>
      <w:pPr>
        <w:ind w:right="285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electricity financial asset is calculated by multiplying the quantity of</w:t>
      </w:r>
    </w:p>
    <w:p>
      <w:pPr>
        <w:ind w:right="19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electricity prepaid by a forward price in the principal market but it is unclear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prepay for electricity for the entire duration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PSA. If you do not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prepay for the entire contract, tell us your consideration for valuing the asset over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entire duration of the contract;</w:t>
      </w: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the unrealized loss represents if unused electricity is sold and the fair value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determined using the forward price approach;</w:t>
      </w: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true, that power usage is not a variable input in fair value determination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PSA fair value as under the terms of the PSA, the price and quantity of power are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fixed. If not true, tell us why not;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your rollforward of the change in fair value to disaggregate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realized between gains and losses and/or change in forward prices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presented. In this regard, as you either use power or elect to sell it back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for credits against future power costs, it would appear that settlements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 each period. In your response, tell us how settlements are calculated for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 of the requested disclosure and how such amounts reconcile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realized gain on financial assets recognized of $ 4.1 million.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Michelle Miller at 202-551-3368 or Mark Brunhofer at 202-551-3638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 Assets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Marcel Fousten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2025-04-22T23:11:10Z</dcterms:created>
  <dcterms:modified xsi:type="dcterms:W3CDTF">2025-04-22T23:11:10Z</dcterms:modified>
</cp:coreProperties>
</file>