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001-41072</w:t>
      </w:r>
    </w:p>
    <w:p>
      <w:pPr>
        <w:spacing w:after="0" w:line="19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43"/>
          <w:szCs w:val="43"/>
          <w:b w:val="1"/>
          <w:bCs w:val="1"/>
          <w:color w:val="auto"/>
        </w:rPr>
        <w:t>Iris Energy Limited</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Level 12, 44 Market Street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Sydney, NSW 2000 Australia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+61 2 7906 8301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6" w:right="1440" w:bottom="1440" w:gutter="0" w:footer="0" w:header="0"/>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1, 2024, Iris Energy Limited (dba IREN) (the “Company”) released a press release providing a business update. A copy of the Company’s press release is furnished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10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8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10100" w:type="dxa"/>
            <w:vAlign w:val="bottom"/>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Borders>
              <w:top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220" w:type="dxa"/>
            <w:vAlign w:val="bottom"/>
          </w:tcPr>
          <w:p>
            <w:pPr>
              <w:spacing w:after="0"/>
              <w:rPr>
                <w:sz w:val="24"/>
                <w:szCs w:val="24"/>
                <w:color w:val="auto"/>
              </w:rPr>
            </w:pPr>
          </w:p>
        </w:tc>
        <w:tc>
          <w:tcPr>
            <w:tcW w:w="10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of Iris Energy Limited (dba IREN), dated July 1, 2024</w:t>
            </w:r>
          </w:p>
        </w:tc>
      </w:tr>
      <w:tr>
        <w:trPr>
          <w:trHeight w:val="419"/>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Iris Energy Limited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July 1, 2024</w:t>
      </w:r>
      <w:r>
        <w:rPr>
          <w:sz w:val="20"/>
          <w:szCs w:val="20"/>
          <w:color w:val="auto"/>
        </w:rPr>
        <w:tab/>
      </w:r>
      <w:r>
        <w:rPr>
          <w:rFonts w:ascii="Times New Roman" w:cs="Times New Roman" w:eastAsia="Times New Roman" w:hAnsi="Times New Roman"/>
          <w:sz w:val="18"/>
          <w:szCs w:val="18"/>
          <w:color w:val="auto"/>
        </w:rPr>
        <w:t>By: /s/ Daniel Roberts</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156845</wp:posOffset>
            </wp:positionV>
            <wp:extent cx="549465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9465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003551"/>
        </w:rPr>
        <w:t>Business Update</w:t>
      </w:r>
    </w:p>
    <w:p>
      <w:pPr>
        <w:spacing w:after="0" w:line="200" w:lineRule="exact"/>
        <w:rPr>
          <w:sz w:val="20"/>
          <w:szCs w:val="20"/>
          <w:color w:val="auto"/>
        </w:rPr>
      </w:pPr>
    </w:p>
    <w:p>
      <w:pPr>
        <w:spacing w:after="0" w:line="249" w:lineRule="exact"/>
        <w:rPr>
          <w:sz w:val="20"/>
          <w:szCs w:val="20"/>
          <w:color w:val="auto"/>
        </w:rPr>
      </w:pPr>
    </w:p>
    <w:p>
      <w:pPr>
        <w:ind w:right="320"/>
        <w:spacing w:after="0" w:line="251" w:lineRule="auto"/>
        <w:rPr>
          <w:sz w:val="20"/>
          <w:szCs w:val="20"/>
          <w:color w:val="auto"/>
        </w:rPr>
      </w:pPr>
      <w:r>
        <w:rPr>
          <w:rFonts w:ascii="Times New Roman" w:cs="Times New Roman" w:eastAsia="Times New Roman" w:hAnsi="Times New Roman"/>
          <w:sz w:val="19"/>
          <w:szCs w:val="19"/>
          <w:color w:val="003551"/>
        </w:rPr>
        <w:t>SYDNEY, AUSTRALIA, July 1, 2024 (GLOBE NEWSWIRE) – IREN (Iris Energy Limited) (NASDAQ: IREN) (together with its subsidiaries, "IREN" or “the Company”), a leading next-generation data center business powering the future of Bitcoin, AI and beyond, today provided a business update.</w:t>
      </w:r>
    </w:p>
    <w:p>
      <w:pPr>
        <w:spacing w:after="0" w:line="17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9"/>
          <w:szCs w:val="19"/>
          <w:color w:val="003551"/>
        </w:rPr>
      </w:pPr>
      <w:r>
        <w:rPr>
          <w:rFonts w:ascii="Times New Roman" w:cs="Times New Roman" w:eastAsia="Times New Roman" w:hAnsi="Times New Roman"/>
          <w:sz w:val="19"/>
          <w:szCs w:val="19"/>
          <w:b w:val="1"/>
          <w:bCs w:val="1"/>
          <w:color w:val="003551"/>
        </w:rPr>
        <w:t>2024 expansion fully funded</w:t>
      </w:r>
    </w:p>
    <w:p>
      <w:pPr>
        <w:spacing w:after="0" w:line="97" w:lineRule="exact"/>
        <w:rPr>
          <w:sz w:val="20"/>
          <w:szCs w:val="20"/>
          <w:color w:val="auto"/>
        </w:rPr>
      </w:pPr>
    </w:p>
    <w:p>
      <w:pPr>
        <w:ind w:left="1300" w:hanging="320"/>
        <w:spacing w:after="0"/>
        <w:tabs>
          <w:tab w:leader="none" w:pos="1300" w:val="left"/>
        </w:tabs>
        <w:numPr>
          <w:ilvl w:val="1"/>
          <w:numId w:val="2"/>
        </w:numPr>
        <w:rPr>
          <w:rFonts w:ascii="Times New Roman" w:cs="Times New Roman" w:eastAsia="Times New Roman" w:hAnsi="Times New Roman"/>
          <w:sz w:val="19"/>
          <w:szCs w:val="19"/>
          <w:color w:val="003551"/>
        </w:rPr>
      </w:pPr>
      <w:r>
        <w:rPr>
          <w:rFonts w:ascii="Times New Roman" w:cs="Times New Roman" w:eastAsia="Times New Roman" w:hAnsi="Times New Roman"/>
          <w:sz w:val="19"/>
          <w:szCs w:val="19"/>
          <w:color w:val="003551"/>
        </w:rPr>
        <w:t>$425.3m cash</w:t>
      </w:r>
      <w:r>
        <w:rPr>
          <w:rFonts w:ascii="Times New Roman" w:cs="Times New Roman" w:eastAsia="Times New Roman" w:hAnsi="Times New Roman"/>
          <w:sz w:val="31"/>
          <w:szCs w:val="31"/>
          <w:color w:val="003551"/>
          <w:vertAlign w:val="superscript"/>
        </w:rPr>
        <w:t>1</w:t>
      </w:r>
      <w:r>
        <w:rPr>
          <w:rFonts w:ascii="Times New Roman" w:cs="Times New Roman" w:eastAsia="Times New Roman" w:hAnsi="Times New Roman"/>
          <w:sz w:val="19"/>
          <w:szCs w:val="19"/>
          <w:color w:val="003551"/>
        </w:rPr>
        <w:t>, no debt</w:t>
      </w:r>
    </w:p>
    <w:p>
      <w:pPr>
        <w:ind w:left="1300" w:hanging="320"/>
        <w:spacing w:after="0" w:line="237" w:lineRule="auto"/>
        <w:tabs>
          <w:tab w:leader="none" w:pos="1300" w:val="left"/>
        </w:tabs>
        <w:numPr>
          <w:ilvl w:val="1"/>
          <w:numId w:val="2"/>
        </w:numPr>
        <w:rPr>
          <w:rFonts w:ascii="Times New Roman" w:cs="Times New Roman" w:eastAsia="Times New Roman" w:hAnsi="Times New Roman"/>
          <w:sz w:val="19"/>
          <w:szCs w:val="19"/>
          <w:color w:val="003551"/>
        </w:rPr>
      </w:pPr>
      <w:r>
        <w:rPr>
          <w:rFonts w:ascii="Times New Roman" w:cs="Times New Roman" w:eastAsia="Times New Roman" w:hAnsi="Times New Roman"/>
          <w:sz w:val="19"/>
          <w:szCs w:val="19"/>
          <w:color w:val="003551"/>
        </w:rPr>
        <w:t>30 EH/s and 510MW of data centers in 2024 fully funded</w:t>
      </w:r>
    </w:p>
    <w:p>
      <w:pPr>
        <w:ind w:left="1960" w:right="5600" w:hanging="980"/>
        <w:spacing w:after="0" w:line="415" w:lineRule="auto"/>
        <w:tabs>
          <w:tab w:leader="none" w:pos="1298" w:val="left"/>
        </w:tabs>
        <w:numPr>
          <w:ilvl w:val="1"/>
          <w:numId w:val="2"/>
        </w:numPr>
        <w:rPr>
          <w:rFonts w:ascii="Times New Roman" w:cs="Times New Roman" w:eastAsia="Times New Roman" w:hAnsi="Times New Roman"/>
          <w:sz w:val="19"/>
          <w:szCs w:val="19"/>
          <w:color w:val="003551"/>
        </w:rPr>
      </w:pPr>
      <w:r>
        <w:rPr>
          <w:rFonts w:ascii="Times New Roman" w:cs="Times New Roman" w:eastAsia="Times New Roman" w:hAnsi="Times New Roman"/>
          <w:sz w:val="19"/>
          <w:szCs w:val="19"/>
          <w:color w:val="003551"/>
        </w:rPr>
        <w:t>Additional cash buffer, providing flexibility in respect of: procurement items for 2025+ expansion;</w:t>
      </w:r>
    </w:p>
    <w:p>
      <w:pPr>
        <w:ind w:left="1620"/>
        <w:spacing w:after="0"/>
        <w:rPr>
          <w:rFonts w:ascii="Times New Roman" w:cs="Times New Roman" w:eastAsia="Times New Roman" w:hAnsi="Times New Roman"/>
          <w:sz w:val="19"/>
          <w:szCs w:val="19"/>
          <w:color w:val="003551"/>
        </w:rPr>
      </w:pPr>
      <w:r>
        <w:rPr>
          <w:rFonts w:ascii="Times New Roman" w:cs="Times New Roman" w:eastAsia="Times New Roman" w:hAnsi="Times New Roman"/>
          <w:sz w:val="19"/>
          <w:szCs w:val="19"/>
          <w:color w:val="003551"/>
        </w:rPr>
        <w:t>prospective connection agreements for additional power capacity; and</w:t>
      </w:r>
    </w:p>
    <w:p>
      <w:pPr>
        <w:spacing w:after="0" w:line="105" w:lineRule="exact"/>
        <w:rPr>
          <w:rFonts w:ascii="Times New Roman" w:cs="Times New Roman" w:eastAsia="Times New Roman" w:hAnsi="Times New Roman"/>
          <w:sz w:val="19"/>
          <w:szCs w:val="19"/>
          <w:color w:val="003551"/>
        </w:rPr>
      </w:pPr>
    </w:p>
    <w:p>
      <w:pPr>
        <w:ind w:left="1620"/>
        <w:spacing w:after="0"/>
        <w:rPr>
          <w:rFonts w:ascii="Times New Roman" w:cs="Times New Roman" w:eastAsia="Times New Roman" w:hAnsi="Times New Roman"/>
          <w:sz w:val="19"/>
          <w:szCs w:val="19"/>
          <w:color w:val="003551"/>
        </w:rPr>
      </w:pPr>
      <w:r>
        <w:rPr>
          <w:rFonts w:ascii="Times New Roman" w:cs="Times New Roman" w:eastAsia="Times New Roman" w:hAnsi="Times New Roman"/>
          <w:sz w:val="19"/>
          <w:szCs w:val="19"/>
          <w:color w:val="003551"/>
        </w:rPr>
        <w:t>other general purposes, e.g. in relation to potential power monetization activities (see below)</w:t>
      </w:r>
    </w:p>
    <w:p>
      <w:pPr>
        <w:spacing w:after="0" w:line="297" w:lineRule="exact"/>
        <w:rPr>
          <w:rFonts w:ascii="Times New Roman" w:cs="Times New Roman" w:eastAsia="Times New Roman" w:hAnsi="Times New Roman"/>
          <w:sz w:val="19"/>
          <w:szCs w:val="19"/>
          <w:color w:val="003551"/>
        </w:rPr>
      </w:pPr>
    </w:p>
    <w:p>
      <w:pPr>
        <w:ind w:left="660" w:hanging="328"/>
        <w:spacing w:after="0"/>
        <w:tabs>
          <w:tab w:leader="none" w:pos="660" w:val="left"/>
        </w:tabs>
        <w:numPr>
          <w:ilvl w:val="0"/>
          <w:numId w:val="2"/>
        </w:numPr>
        <w:rPr>
          <w:rFonts w:ascii="Times New Roman" w:cs="Times New Roman" w:eastAsia="Times New Roman" w:hAnsi="Times New Roman"/>
          <w:sz w:val="19"/>
          <w:szCs w:val="19"/>
          <w:color w:val="003551"/>
        </w:rPr>
      </w:pPr>
      <w:r>
        <w:rPr>
          <w:rFonts w:ascii="Times New Roman" w:cs="Times New Roman" w:eastAsia="Times New Roman" w:hAnsi="Times New Roman"/>
          <w:sz w:val="19"/>
          <w:szCs w:val="19"/>
          <w:b w:val="1"/>
          <w:bCs w:val="1"/>
          <w:color w:val="003551"/>
        </w:rPr>
        <w:t>Monetization program for power and land portfolio</w:t>
      </w:r>
    </w:p>
    <w:p>
      <w:pPr>
        <w:spacing w:after="0" w:line="217" w:lineRule="exact"/>
        <w:rPr>
          <w:rFonts w:ascii="Times New Roman" w:cs="Times New Roman" w:eastAsia="Times New Roman" w:hAnsi="Times New Roman"/>
          <w:sz w:val="19"/>
          <w:szCs w:val="19"/>
          <w:color w:val="003551"/>
        </w:rPr>
      </w:pPr>
    </w:p>
    <w:p>
      <w:pPr>
        <w:ind w:left="1300" w:right="160" w:hanging="320"/>
        <w:spacing w:after="0" w:line="248" w:lineRule="auto"/>
        <w:tabs>
          <w:tab w:leader="none" w:pos="1300" w:val="left"/>
        </w:tabs>
        <w:numPr>
          <w:ilvl w:val="1"/>
          <w:numId w:val="2"/>
        </w:numPr>
        <w:rPr>
          <w:rFonts w:ascii="Times New Roman" w:cs="Times New Roman" w:eastAsia="Times New Roman" w:hAnsi="Times New Roman"/>
          <w:sz w:val="19"/>
          <w:szCs w:val="19"/>
          <w:color w:val="003551"/>
        </w:rPr>
      </w:pPr>
      <w:r>
        <w:rPr>
          <w:rFonts w:ascii="Times New Roman" w:cs="Times New Roman" w:eastAsia="Times New Roman" w:hAnsi="Times New Roman"/>
          <w:sz w:val="19"/>
          <w:szCs w:val="19"/>
          <w:color w:val="003551"/>
        </w:rPr>
        <w:t>Near-term focus on accelerating monetization opportunities for broader power and land portfolio, including the 1,400MW project in West Texas</w:t>
      </w:r>
    </w:p>
    <w:p>
      <w:pPr>
        <w:ind w:left="1300" w:right="680" w:hanging="320"/>
        <w:spacing w:after="0" w:line="243" w:lineRule="auto"/>
        <w:tabs>
          <w:tab w:leader="none" w:pos="1300" w:val="left"/>
        </w:tabs>
        <w:numPr>
          <w:ilvl w:val="1"/>
          <w:numId w:val="2"/>
        </w:numPr>
        <w:rPr>
          <w:rFonts w:ascii="Times New Roman" w:cs="Times New Roman" w:eastAsia="Times New Roman" w:hAnsi="Times New Roman"/>
          <w:sz w:val="19"/>
          <w:szCs w:val="19"/>
          <w:color w:val="003551"/>
        </w:rPr>
      </w:pPr>
      <w:r>
        <w:rPr>
          <w:rFonts w:ascii="Times New Roman" w:cs="Times New Roman" w:eastAsia="Times New Roman" w:hAnsi="Times New Roman"/>
          <w:sz w:val="19"/>
          <w:szCs w:val="19"/>
          <w:color w:val="003551"/>
        </w:rPr>
        <w:t>All options under consideration, including asset sales, colocation deals, joint ventures, build-to-suit data centers, as well as expansion of existing GPU fleet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9" w:lineRule="exact"/>
        <w:rPr>
          <w:sz w:val="20"/>
          <w:szCs w:val="20"/>
          <w:color w:val="auto"/>
        </w:rPr>
      </w:pPr>
    </w:p>
    <w:p>
      <w:pPr>
        <w:ind w:right="180" w:firstLine="8"/>
        <w:spacing w:after="0" w:line="205" w:lineRule="auto"/>
        <w:tabs>
          <w:tab w:leader="none" w:pos="105" w:val="left"/>
        </w:tabs>
        <w:numPr>
          <w:ilvl w:val="0"/>
          <w:numId w:val="3"/>
        </w:numPr>
        <w:rPr>
          <w:rFonts w:ascii="Times New Roman" w:cs="Times New Roman" w:eastAsia="Times New Roman" w:hAnsi="Times New Roman"/>
          <w:sz w:val="24"/>
          <w:szCs w:val="24"/>
          <w:color w:val="003551"/>
          <w:vertAlign w:val="superscript"/>
        </w:rPr>
      </w:pPr>
      <w:r>
        <w:rPr>
          <w:rFonts w:ascii="Times New Roman" w:cs="Times New Roman" w:eastAsia="Times New Roman" w:hAnsi="Times New Roman"/>
          <w:sz w:val="14"/>
          <w:szCs w:val="14"/>
          <w:color w:val="003551"/>
        </w:rPr>
        <w:t>Cash of $425.3m reflects USD equivalent, unaudited preliminary cash, cash equivalents and term deposits as of June 28, 2024 plus ATM proceeds to be received first week of July 2024 from shares sold on or prior to June 28, 2024. Between May 15, 2024 and June 28, 2024 the Company raised $413.4m in gross proceeds from the sale of 39.8m shares. Remaining ATM capacity of $223.2m. Total number of ordinary shares outstanding as of June 28, 2024 is 186,830,776, including shares sold through the ATM on or prior to June 28, 2024.</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003551"/>
              </w:rPr>
              <w:t>PROCEED WITH PURPOSE.</w:t>
            </w:r>
          </w:p>
        </w:tc>
        <w:tc>
          <w:tcPr>
            <w:tcW w:w="4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44"/>
        </w:trPr>
        <w:tc>
          <w:tcPr>
            <w:tcW w:w="6480" w:type="dxa"/>
            <w:vAlign w:val="bottom"/>
            <w:tcBorders>
              <w:bottom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26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5"/>
          <w:szCs w:val="25"/>
          <w:color w:val="003551"/>
        </w:rPr>
        <w:drawing>
          <wp:anchor simplePos="0" relativeHeight="251657728" behindDoc="1" locked="0" layoutInCell="0" allowOverlap="1">
            <wp:simplePos x="0" y="0"/>
            <wp:positionH relativeFrom="page">
              <wp:posOffset>1031240</wp:posOffset>
            </wp:positionH>
            <wp:positionV relativeFrom="page">
              <wp:posOffset>88900</wp:posOffset>
            </wp:positionV>
            <wp:extent cx="5494655"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494655" cy="480060"/>
                    </a:xfrm>
                    <a:prstGeom prst="rect">
                      <a:avLst/>
                    </a:prstGeom>
                    <a:noFill/>
                  </pic:spPr>
                </pic:pic>
              </a:graphicData>
            </a:graphic>
          </wp:anchor>
        </w:drawing>
        <w:t>About IREN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3551"/>
        </w:rPr>
        <w:t>IREN is a leading next-generation data center business powering the future of Bitcoin, AI and beyond utilizing 100% renewable energy.</w:t>
      </w:r>
    </w:p>
    <w:p>
      <w:pPr>
        <w:spacing w:after="0" w:line="225" w:lineRule="exact"/>
        <w:rPr>
          <w:sz w:val="20"/>
          <w:szCs w:val="20"/>
          <w:color w:val="auto"/>
        </w:rPr>
      </w:pPr>
    </w:p>
    <w:p>
      <w:pPr>
        <w:ind w:left="620" w:hanging="302"/>
        <w:spacing w:after="0"/>
        <w:tabs>
          <w:tab w:leader="none" w:pos="620" w:val="left"/>
        </w:tabs>
        <w:numPr>
          <w:ilvl w:val="0"/>
          <w:numId w:val="4"/>
        </w:numPr>
        <w:rPr>
          <w:rFonts w:ascii="Times New Roman" w:cs="Times New Roman" w:eastAsia="Times New Roman" w:hAnsi="Times New Roman"/>
          <w:sz w:val="19"/>
          <w:szCs w:val="19"/>
          <w:color w:val="003551"/>
        </w:rPr>
      </w:pPr>
      <w:r>
        <w:rPr>
          <w:rFonts w:ascii="Times New Roman" w:cs="Times New Roman" w:eastAsia="Times New Roman" w:hAnsi="Times New Roman"/>
          <w:sz w:val="19"/>
          <w:szCs w:val="19"/>
          <w:u w:val="single" w:color="auto"/>
          <w:color w:val="003551"/>
        </w:rPr>
        <w:t>Bitcoin Mining:</w:t>
      </w:r>
      <w:r>
        <w:rPr>
          <w:rFonts w:ascii="Times New Roman" w:cs="Times New Roman" w:eastAsia="Times New Roman" w:hAnsi="Times New Roman"/>
          <w:sz w:val="19"/>
          <w:szCs w:val="19"/>
          <w:color w:val="003551"/>
        </w:rPr>
        <w:t xml:space="preserve"> providing security to the Bitcoin network, expanding to 30 EH/s in 2024. Operations since 2019.</w:t>
      </w:r>
    </w:p>
    <w:p>
      <w:pPr>
        <w:spacing w:after="0" w:line="17" w:lineRule="exact"/>
        <w:rPr>
          <w:rFonts w:ascii="Times New Roman" w:cs="Times New Roman" w:eastAsia="Times New Roman" w:hAnsi="Times New Roman"/>
          <w:sz w:val="19"/>
          <w:szCs w:val="19"/>
          <w:color w:val="003551"/>
        </w:rPr>
      </w:pPr>
    </w:p>
    <w:p>
      <w:pPr>
        <w:ind w:left="620" w:hanging="302"/>
        <w:spacing w:after="0" w:line="237" w:lineRule="auto"/>
        <w:tabs>
          <w:tab w:leader="none" w:pos="620" w:val="left"/>
        </w:tabs>
        <w:numPr>
          <w:ilvl w:val="0"/>
          <w:numId w:val="4"/>
        </w:numPr>
        <w:rPr>
          <w:rFonts w:ascii="Times New Roman" w:cs="Times New Roman" w:eastAsia="Times New Roman" w:hAnsi="Times New Roman"/>
          <w:sz w:val="19"/>
          <w:szCs w:val="19"/>
          <w:color w:val="003551"/>
        </w:rPr>
      </w:pPr>
      <w:r>
        <w:rPr>
          <w:rFonts w:ascii="Times New Roman" w:cs="Times New Roman" w:eastAsia="Times New Roman" w:hAnsi="Times New Roman"/>
          <w:sz w:val="19"/>
          <w:szCs w:val="19"/>
          <w:u w:val="single" w:color="auto"/>
          <w:color w:val="003551"/>
        </w:rPr>
        <w:t>AI Cloud Services:</w:t>
      </w:r>
      <w:r>
        <w:rPr>
          <w:rFonts w:ascii="Times New Roman" w:cs="Times New Roman" w:eastAsia="Times New Roman" w:hAnsi="Times New Roman"/>
          <w:sz w:val="19"/>
          <w:szCs w:val="19"/>
          <w:color w:val="003551"/>
        </w:rPr>
        <w:t xml:space="preserve"> providing cloud compute to AI customers, 816 NVIDIA H100 GPUs. Operations since 2024.</w:t>
      </w:r>
    </w:p>
    <w:p>
      <w:pPr>
        <w:ind w:left="620" w:right="200" w:hanging="302"/>
        <w:spacing w:after="0" w:line="237" w:lineRule="auto"/>
        <w:tabs>
          <w:tab w:leader="none" w:pos="620" w:val="left"/>
        </w:tabs>
        <w:numPr>
          <w:ilvl w:val="0"/>
          <w:numId w:val="4"/>
        </w:numPr>
        <w:rPr>
          <w:rFonts w:ascii="Times New Roman" w:cs="Times New Roman" w:eastAsia="Times New Roman" w:hAnsi="Times New Roman"/>
          <w:sz w:val="19"/>
          <w:szCs w:val="19"/>
          <w:color w:val="003551"/>
        </w:rPr>
      </w:pPr>
      <w:r>
        <w:rPr>
          <w:rFonts w:ascii="Times New Roman" w:cs="Times New Roman" w:eastAsia="Times New Roman" w:hAnsi="Times New Roman"/>
          <w:sz w:val="19"/>
          <w:szCs w:val="19"/>
          <w:u w:val="single" w:color="auto"/>
          <w:color w:val="003551"/>
        </w:rPr>
        <w:t>Next-Generation Data Centers</w:t>
      </w:r>
      <w:r>
        <w:rPr>
          <w:rFonts w:ascii="Times New Roman" w:cs="Times New Roman" w:eastAsia="Times New Roman" w:hAnsi="Times New Roman"/>
          <w:sz w:val="19"/>
          <w:szCs w:val="19"/>
          <w:color w:val="003551"/>
        </w:rPr>
        <w:t>: 260MW of operating data centers, expanding to 510MW in 2024. Specifically designed and purpose-built infrastructure for high-performance and power-dense computing applications.</w:t>
      </w:r>
    </w:p>
    <w:p>
      <w:pPr>
        <w:ind w:left="620" w:hanging="302"/>
        <w:spacing w:after="0" w:line="237" w:lineRule="auto"/>
        <w:tabs>
          <w:tab w:leader="none" w:pos="620" w:val="left"/>
        </w:tabs>
        <w:numPr>
          <w:ilvl w:val="0"/>
          <w:numId w:val="4"/>
        </w:numPr>
        <w:rPr>
          <w:rFonts w:ascii="Times New Roman" w:cs="Times New Roman" w:eastAsia="Times New Roman" w:hAnsi="Times New Roman"/>
          <w:sz w:val="19"/>
          <w:szCs w:val="19"/>
          <w:color w:val="003551"/>
        </w:rPr>
      </w:pPr>
      <w:r>
        <w:rPr>
          <w:rFonts w:ascii="Times New Roman" w:cs="Times New Roman" w:eastAsia="Times New Roman" w:hAnsi="Times New Roman"/>
          <w:sz w:val="19"/>
          <w:szCs w:val="19"/>
          <w:u w:val="single" w:color="auto"/>
          <w:color w:val="003551"/>
        </w:rPr>
        <w:t>Technology</w:t>
      </w:r>
      <w:r>
        <w:rPr>
          <w:rFonts w:ascii="Times New Roman" w:cs="Times New Roman" w:eastAsia="Times New Roman" w:hAnsi="Times New Roman"/>
          <w:sz w:val="19"/>
          <w:szCs w:val="19"/>
          <w:color w:val="003551"/>
        </w:rPr>
        <w:t>: technology stack for performance optimization of AI Cloud Services, Bitcoin Mining and energy trading operations.</w:t>
      </w:r>
    </w:p>
    <w:p>
      <w:pPr>
        <w:ind w:left="620" w:right="760" w:hanging="302"/>
        <w:spacing w:after="0" w:line="237" w:lineRule="auto"/>
        <w:tabs>
          <w:tab w:leader="none" w:pos="620" w:val="left"/>
        </w:tabs>
        <w:numPr>
          <w:ilvl w:val="0"/>
          <w:numId w:val="4"/>
        </w:numPr>
        <w:rPr>
          <w:rFonts w:ascii="Times New Roman" w:cs="Times New Roman" w:eastAsia="Times New Roman" w:hAnsi="Times New Roman"/>
          <w:sz w:val="19"/>
          <w:szCs w:val="19"/>
          <w:color w:val="003551"/>
        </w:rPr>
      </w:pPr>
      <w:r>
        <w:rPr>
          <w:rFonts w:ascii="Times New Roman" w:cs="Times New Roman" w:eastAsia="Times New Roman" w:hAnsi="Times New Roman"/>
          <w:sz w:val="19"/>
          <w:szCs w:val="19"/>
          <w:u w:val="single" w:color="auto"/>
          <w:color w:val="003551"/>
        </w:rPr>
        <w:t>Development Portfolio:</w:t>
      </w:r>
      <w:r>
        <w:rPr>
          <w:rFonts w:ascii="Times New Roman" w:cs="Times New Roman" w:eastAsia="Times New Roman" w:hAnsi="Times New Roman"/>
          <w:sz w:val="19"/>
          <w:szCs w:val="19"/>
          <w:color w:val="003551"/>
        </w:rPr>
        <w:t xml:space="preserve"> 2,160MW of secured power capacity across North America, &gt;1,000 acre property portfolio and additional development pipeline.</w:t>
      </w:r>
    </w:p>
    <w:p>
      <w:pPr>
        <w:ind w:left="620" w:right="40" w:hanging="302"/>
        <w:spacing w:after="0" w:line="257" w:lineRule="auto"/>
        <w:tabs>
          <w:tab w:leader="none" w:pos="620" w:val="left"/>
        </w:tabs>
        <w:numPr>
          <w:ilvl w:val="0"/>
          <w:numId w:val="4"/>
        </w:numPr>
        <w:rPr>
          <w:rFonts w:ascii="Times New Roman" w:cs="Times New Roman" w:eastAsia="Times New Roman" w:hAnsi="Times New Roman"/>
          <w:sz w:val="19"/>
          <w:szCs w:val="19"/>
          <w:color w:val="003551"/>
        </w:rPr>
      </w:pPr>
      <w:r>
        <w:rPr>
          <w:rFonts w:ascii="Times New Roman" w:cs="Times New Roman" w:eastAsia="Times New Roman" w:hAnsi="Times New Roman"/>
          <w:sz w:val="18"/>
          <w:szCs w:val="18"/>
          <w:u w:val="single" w:color="auto"/>
          <w:color w:val="003551"/>
        </w:rPr>
        <w:t>100% Renewable Energy (from clean or renewable energy sources or through the purchase of RECs)</w:t>
      </w:r>
      <w:r>
        <w:rPr>
          <w:rFonts w:ascii="Times New Roman" w:cs="Times New Roman" w:eastAsia="Times New Roman" w:hAnsi="Times New Roman"/>
          <w:sz w:val="18"/>
          <w:szCs w:val="18"/>
          <w:color w:val="003551"/>
        </w:rPr>
        <w:t>: targets sites with low-cost &amp; underutilized renewable energy, and supports electrical grids and local communities.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3551"/>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20" w:type="dxa"/>
            <w:vAlign w:val="bottom"/>
            <w:shd w:val="clear" w:color="auto" w:fill="F9F3F0"/>
          </w:tcPr>
          <w:p>
            <w:pPr>
              <w:spacing w:after="0"/>
              <w:rPr>
                <w:sz w:val="20"/>
                <w:szCs w:val="20"/>
                <w:color w:val="auto"/>
              </w:rPr>
            </w:pPr>
            <w:r>
              <w:rPr>
                <w:rFonts w:ascii="Times New Roman" w:cs="Times New Roman" w:eastAsia="Times New Roman" w:hAnsi="Times New Roman"/>
                <w:sz w:val="19"/>
                <w:szCs w:val="19"/>
                <w:b w:val="1"/>
                <w:bCs w:val="1"/>
                <w:color w:val="003551"/>
              </w:rPr>
              <w:t>Media</w:t>
            </w:r>
          </w:p>
        </w:tc>
        <w:tc>
          <w:tcPr>
            <w:tcW w:w="3520" w:type="dxa"/>
            <w:vAlign w:val="bottom"/>
            <w:shd w:val="clear" w:color="auto" w:fill="F9F3F0"/>
          </w:tcPr>
          <w:p>
            <w:pPr>
              <w:ind w:left="700"/>
              <w:spacing w:after="0"/>
              <w:rPr>
                <w:sz w:val="20"/>
                <w:szCs w:val="20"/>
                <w:color w:val="auto"/>
              </w:rPr>
            </w:pPr>
            <w:r>
              <w:rPr>
                <w:rFonts w:ascii="Times New Roman" w:cs="Times New Roman" w:eastAsia="Times New Roman" w:hAnsi="Times New Roman"/>
                <w:sz w:val="19"/>
                <w:szCs w:val="19"/>
                <w:b w:val="1"/>
                <w:bCs w:val="1"/>
                <w:color w:val="003551"/>
              </w:rPr>
              <w:t>Investors</w:t>
            </w:r>
          </w:p>
        </w:tc>
        <w:tc>
          <w:tcPr>
            <w:tcW w:w="0" w:type="dxa"/>
            <w:vAlign w:val="bottom"/>
          </w:tcPr>
          <w:p>
            <w:pPr>
              <w:spacing w:after="0"/>
              <w:rPr>
                <w:sz w:val="1"/>
                <w:szCs w:val="1"/>
                <w:color w:val="auto"/>
              </w:rPr>
            </w:pPr>
          </w:p>
        </w:tc>
      </w:tr>
      <w:tr>
        <w:trPr>
          <w:trHeight w:val="406"/>
        </w:trPr>
        <w:tc>
          <w:tcPr>
            <w:tcW w:w="2720" w:type="dxa"/>
            <w:vAlign w:val="bottom"/>
            <w:shd w:val="clear" w:color="auto" w:fill="F9F3F0"/>
          </w:tcPr>
          <w:p>
            <w:pPr>
              <w:spacing w:after="0"/>
              <w:rPr>
                <w:sz w:val="20"/>
                <w:szCs w:val="20"/>
                <w:color w:val="auto"/>
              </w:rPr>
            </w:pPr>
            <w:r>
              <w:rPr>
                <w:rFonts w:ascii="Times New Roman" w:cs="Times New Roman" w:eastAsia="Times New Roman" w:hAnsi="Times New Roman"/>
                <w:sz w:val="19"/>
                <w:szCs w:val="19"/>
                <w:color w:val="003551"/>
              </w:rPr>
              <w:t>Jon Snowball</w:t>
            </w:r>
          </w:p>
        </w:tc>
        <w:tc>
          <w:tcPr>
            <w:tcW w:w="3520" w:type="dxa"/>
            <w:vAlign w:val="bottom"/>
            <w:shd w:val="clear" w:color="auto" w:fill="F9F3F0"/>
          </w:tcPr>
          <w:p>
            <w:pPr>
              <w:ind w:left="700"/>
              <w:spacing w:after="0"/>
              <w:rPr>
                <w:sz w:val="20"/>
                <w:szCs w:val="20"/>
                <w:color w:val="auto"/>
              </w:rPr>
            </w:pPr>
            <w:r>
              <w:rPr>
                <w:rFonts w:ascii="Times New Roman" w:cs="Times New Roman" w:eastAsia="Times New Roman" w:hAnsi="Times New Roman"/>
                <w:sz w:val="19"/>
                <w:szCs w:val="19"/>
                <w:color w:val="003551"/>
              </w:rPr>
              <w:t>Lincoln Tan</w:t>
            </w:r>
          </w:p>
        </w:tc>
        <w:tc>
          <w:tcPr>
            <w:tcW w:w="0" w:type="dxa"/>
            <w:vAlign w:val="bottom"/>
          </w:tcPr>
          <w:p>
            <w:pPr>
              <w:spacing w:after="0"/>
              <w:rPr>
                <w:sz w:val="1"/>
                <w:szCs w:val="1"/>
                <w:color w:val="auto"/>
              </w:rPr>
            </w:pPr>
          </w:p>
        </w:tc>
      </w:tr>
      <w:tr>
        <w:trPr>
          <w:trHeight w:val="216"/>
        </w:trPr>
        <w:tc>
          <w:tcPr>
            <w:tcW w:w="2720" w:type="dxa"/>
            <w:vAlign w:val="bottom"/>
            <w:shd w:val="clear" w:color="auto" w:fill="F9F3F0"/>
          </w:tcPr>
          <w:p>
            <w:pPr>
              <w:spacing w:after="0" w:line="216" w:lineRule="exact"/>
              <w:rPr>
                <w:sz w:val="20"/>
                <w:szCs w:val="20"/>
                <w:color w:val="auto"/>
              </w:rPr>
            </w:pPr>
            <w:r>
              <w:rPr>
                <w:rFonts w:ascii="Times New Roman" w:cs="Times New Roman" w:eastAsia="Times New Roman" w:hAnsi="Times New Roman"/>
                <w:sz w:val="19"/>
                <w:szCs w:val="19"/>
                <w:color w:val="003551"/>
              </w:rPr>
              <w:t>Domestique</w:t>
            </w:r>
          </w:p>
        </w:tc>
        <w:tc>
          <w:tcPr>
            <w:tcW w:w="3520" w:type="dxa"/>
            <w:vAlign w:val="bottom"/>
            <w:shd w:val="clear" w:color="auto" w:fill="F9F3F0"/>
          </w:tcPr>
          <w:p>
            <w:pPr>
              <w:ind w:left="700"/>
              <w:spacing w:after="0" w:line="216" w:lineRule="exact"/>
              <w:rPr>
                <w:sz w:val="20"/>
                <w:szCs w:val="20"/>
                <w:color w:val="auto"/>
              </w:rPr>
            </w:pPr>
            <w:r>
              <w:rPr>
                <w:rFonts w:ascii="Times New Roman" w:cs="Times New Roman" w:eastAsia="Times New Roman" w:hAnsi="Times New Roman"/>
                <w:sz w:val="19"/>
                <w:szCs w:val="19"/>
                <w:color w:val="003551"/>
              </w:rPr>
              <w:t>IREN</w:t>
            </w:r>
          </w:p>
        </w:tc>
        <w:tc>
          <w:tcPr>
            <w:tcW w:w="0" w:type="dxa"/>
            <w:vAlign w:val="bottom"/>
          </w:tcPr>
          <w:p>
            <w:pPr>
              <w:spacing w:after="0"/>
              <w:rPr>
                <w:sz w:val="1"/>
                <w:szCs w:val="1"/>
                <w:color w:val="auto"/>
              </w:rPr>
            </w:pPr>
          </w:p>
        </w:tc>
      </w:tr>
      <w:tr>
        <w:trPr>
          <w:trHeight w:val="216"/>
        </w:trPr>
        <w:tc>
          <w:tcPr>
            <w:tcW w:w="2720" w:type="dxa"/>
            <w:vAlign w:val="bottom"/>
            <w:shd w:val="clear" w:color="auto" w:fill="F9F3F0"/>
          </w:tcPr>
          <w:p>
            <w:pPr>
              <w:spacing w:after="0" w:line="216" w:lineRule="exact"/>
              <w:rPr>
                <w:sz w:val="20"/>
                <w:szCs w:val="20"/>
                <w:color w:val="auto"/>
              </w:rPr>
            </w:pPr>
            <w:r>
              <w:rPr>
                <w:rFonts w:ascii="Times New Roman" w:cs="Times New Roman" w:eastAsia="Times New Roman" w:hAnsi="Times New Roman"/>
                <w:sz w:val="19"/>
                <w:szCs w:val="19"/>
                <w:color w:val="003551"/>
              </w:rPr>
              <w:t>+61 477 946 068</w:t>
            </w:r>
          </w:p>
        </w:tc>
        <w:tc>
          <w:tcPr>
            <w:tcW w:w="3520" w:type="dxa"/>
            <w:vAlign w:val="bottom"/>
            <w:shd w:val="clear" w:color="auto" w:fill="F9F3F0"/>
          </w:tcPr>
          <w:p>
            <w:pPr>
              <w:ind w:left="700"/>
              <w:spacing w:after="0" w:line="216" w:lineRule="exact"/>
              <w:rPr>
                <w:sz w:val="20"/>
                <w:szCs w:val="20"/>
                <w:color w:val="auto"/>
              </w:rPr>
            </w:pPr>
            <w:r>
              <w:rPr>
                <w:rFonts w:ascii="Times New Roman" w:cs="Times New Roman" w:eastAsia="Times New Roman" w:hAnsi="Times New Roman"/>
                <w:sz w:val="19"/>
                <w:szCs w:val="19"/>
                <w:color w:val="003551"/>
              </w:rPr>
              <w:t>+61 407 423 395</w:t>
            </w:r>
          </w:p>
        </w:tc>
        <w:tc>
          <w:tcPr>
            <w:tcW w:w="0" w:type="dxa"/>
            <w:vAlign w:val="bottom"/>
          </w:tcPr>
          <w:p>
            <w:pPr>
              <w:spacing w:after="0"/>
              <w:rPr>
                <w:sz w:val="1"/>
                <w:szCs w:val="1"/>
                <w:color w:val="auto"/>
              </w:rPr>
            </w:pPr>
          </w:p>
        </w:tc>
      </w:tr>
      <w:tr>
        <w:trPr>
          <w:trHeight w:val="244"/>
        </w:trPr>
        <w:tc>
          <w:tcPr>
            <w:tcW w:w="2720" w:type="dxa"/>
            <w:vAlign w:val="bottom"/>
            <w:vMerge w:val="restart"/>
            <w:shd w:val="clear" w:color="auto" w:fill="F9F3F0"/>
          </w:tcPr>
          <w:p>
            <w:pPr>
              <w:spacing w:after="0"/>
              <w:rPr>
                <w:sz w:val="20"/>
                <w:szCs w:val="20"/>
                <w:color w:val="auto"/>
              </w:rPr>
            </w:pPr>
            <w:r>
              <w:rPr>
                <w:rFonts w:ascii="Times New Roman" w:cs="Times New Roman" w:eastAsia="Times New Roman" w:hAnsi="Times New Roman"/>
                <w:sz w:val="19"/>
                <w:szCs w:val="19"/>
                <w:color w:val="003551"/>
              </w:rPr>
              <w:t>Danielle Ghigliera</w:t>
            </w:r>
          </w:p>
        </w:tc>
        <w:tc>
          <w:tcPr>
            <w:tcW w:w="3520" w:type="dxa"/>
            <w:vAlign w:val="bottom"/>
            <w:shd w:val="clear" w:color="auto" w:fill="F9F3F0"/>
          </w:tcPr>
          <w:p>
            <w:pPr>
              <w:ind w:left="700"/>
              <w:spacing w:after="0"/>
              <w:rPr>
                <w:sz w:val="20"/>
                <w:szCs w:val="20"/>
                <w:color w:val="auto"/>
              </w:rPr>
            </w:pPr>
            <w:r>
              <w:rPr>
                <w:rFonts w:ascii="Times New Roman" w:cs="Times New Roman" w:eastAsia="Times New Roman" w:hAnsi="Times New Roman"/>
                <w:sz w:val="19"/>
                <w:szCs w:val="19"/>
                <w:color w:val="003551"/>
              </w:rPr>
              <w:t>lincoln.tan@iren.com</w:t>
            </w:r>
          </w:p>
        </w:tc>
        <w:tc>
          <w:tcPr>
            <w:tcW w:w="0" w:type="dxa"/>
            <w:vAlign w:val="bottom"/>
          </w:tcPr>
          <w:p>
            <w:pPr>
              <w:spacing w:after="0"/>
              <w:rPr>
                <w:sz w:val="1"/>
                <w:szCs w:val="1"/>
                <w:color w:val="auto"/>
              </w:rPr>
            </w:pPr>
          </w:p>
        </w:tc>
      </w:tr>
      <w:tr>
        <w:trPr>
          <w:trHeight w:val="188"/>
        </w:trPr>
        <w:tc>
          <w:tcPr>
            <w:tcW w:w="2720" w:type="dxa"/>
            <w:vAlign w:val="bottom"/>
            <w:vMerge w:val="continue"/>
            <w:shd w:val="clear" w:color="auto" w:fill="F9F3F0"/>
          </w:tcPr>
          <w:p>
            <w:pPr>
              <w:spacing w:after="0"/>
              <w:rPr>
                <w:sz w:val="16"/>
                <w:szCs w:val="16"/>
                <w:color w:val="auto"/>
              </w:rPr>
            </w:pPr>
          </w:p>
        </w:tc>
        <w:tc>
          <w:tcPr>
            <w:tcW w:w="3520" w:type="dxa"/>
            <w:vAlign w:val="bottom"/>
            <w:shd w:val="clear" w:color="auto" w:fill="F9F3F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F9F3F0"/>
          </w:tcPr>
          <w:p>
            <w:pPr>
              <w:spacing w:after="0" w:line="216" w:lineRule="exact"/>
              <w:rPr>
                <w:sz w:val="20"/>
                <w:szCs w:val="20"/>
                <w:color w:val="auto"/>
              </w:rPr>
            </w:pPr>
            <w:r>
              <w:rPr>
                <w:rFonts w:ascii="Times New Roman" w:cs="Times New Roman" w:eastAsia="Times New Roman" w:hAnsi="Times New Roman"/>
                <w:sz w:val="19"/>
                <w:szCs w:val="19"/>
                <w:color w:val="003551"/>
              </w:rPr>
              <w:t>Aircover Communications</w:t>
            </w:r>
          </w:p>
        </w:tc>
        <w:tc>
          <w:tcPr>
            <w:tcW w:w="3520" w:type="dxa"/>
            <w:vAlign w:val="bottom"/>
            <w:shd w:val="clear" w:color="auto" w:fill="F9F3F0"/>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720" w:type="dxa"/>
            <w:vAlign w:val="bottom"/>
            <w:shd w:val="clear" w:color="auto" w:fill="F9F3F0"/>
          </w:tcPr>
          <w:p>
            <w:pPr>
              <w:spacing w:after="0"/>
              <w:rPr>
                <w:sz w:val="20"/>
                <w:szCs w:val="20"/>
                <w:color w:val="auto"/>
              </w:rPr>
            </w:pPr>
            <w:r>
              <w:rPr>
                <w:rFonts w:ascii="Times New Roman" w:cs="Times New Roman" w:eastAsia="Times New Roman" w:hAnsi="Times New Roman"/>
                <w:sz w:val="19"/>
                <w:szCs w:val="19"/>
                <w:color w:val="003551"/>
              </w:rPr>
              <w:t>+1 510 333 2707</w:t>
            </w:r>
          </w:p>
        </w:tc>
        <w:tc>
          <w:tcPr>
            <w:tcW w:w="3520" w:type="dxa"/>
            <w:vAlign w:val="bottom"/>
            <w:shd w:val="clear" w:color="auto" w:fill="F9F3F0"/>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-1233805</wp:posOffset>
            </wp:positionV>
            <wp:extent cx="3180080" cy="1234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80080" cy="123444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03551"/>
        </w:rPr>
        <w:t xml:space="preserve">To keep updated on IREN’s news releases and SEC filings, please subscribe to email alerts at </w:t>
      </w:r>
      <w:r>
        <w:rPr>
          <w:rFonts w:ascii="Times New Roman" w:cs="Times New Roman" w:eastAsia="Times New Roman" w:hAnsi="Times New Roman"/>
          <w:sz w:val="19"/>
          <w:szCs w:val="19"/>
          <w:i w:val="1"/>
          <w:iCs w:val="1"/>
          <w:u w:val="single" w:color="auto"/>
          <w:color w:val="003551"/>
        </w:rPr>
        <w:t>https://iren.com/investor/ir-resources/email-alerts</w:t>
      </w:r>
      <w:r>
        <w:rPr>
          <w:rFonts w:ascii="Times New Roman" w:cs="Times New Roman" w:eastAsia="Times New Roman" w:hAnsi="Times New Roman"/>
          <w:sz w:val="19"/>
          <w:szCs w:val="19"/>
          <w:color w:val="003551"/>
        </w:rPr>
        <w: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003551"/>
              </w:rPr>
              <w:t>PROCEED WITH PURPOSE.</w:t>
            </w:r>
          </w:p>
        </w:tc>
        <w:tc>
          <w:tcPr>
            <w:tcW w:w="4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44"/>
        </w:trPr>
        <w:tc>
          <w:tcPr>
            <w:tcW w:w="6480" w:type="dxa"/>
            <w:vAlign w:val="bottom"/>
            <w:tcBorders>
              <w:bottom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04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color w:val="003551"/>
        </w:rPr>
        <w:drawing>
          <wp:anchor simplePos="0" relativeHeight="251657728" behindDoc="1" locked="0" layoutInCell="0" allowOverlap="1">
            <wp:simplePos x="0" y="0"/>
            <wp:positionH relativeFrom="page">
              <wp:posOffset>1031240</wp:posOffset>
            </wp:positionH>
            <wp:positionV relativeFrom="page">
              <wp:posOffset>88900</wp:posOffset>
            </wp:positionV>
            <wp:extent cx="5494655" cy="48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494655" cy="480060"/>
                    </a:xfrm>
                    <a:prstGeom prst="rect">
                      <a:avLst/>
                    </a:prstGeom>
                    <a:noFill/>
                  </pic:spPr>
                </pic:pic>
              </a:graphicData>
            </a:graphic>
          </wp:anchor>
        </w:drawing>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p>
      <w:pPr>
        <w:spacing w:after="0" w:line="24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003551"/>
        </w:rPr>
        <w:t>This investor update includes “forward-looking statements” within the meaning of the Private Securities Litigation Reform Act of 1995. Forward-looking statements generally relate to future events or IREN’s future financial or operating performance. For example, forward-looking statements include but are not limited to the Company’s business strategy, expected operational and financial results, and expected increase in power capacity and hashrate. In some cases, you can identify forward-looking statements by terminology such as “anticipate,” “believe,” “may,” “can,” “should,” “could,” “might,” “plan,” “possible,” “project,” “strive,” “budget,” “forecast,” “expect,” “intend,” “target”, “will,” “estimate,” “predict,” “potential,” “continue,” “scheduled” or the negatives of these terms or variations of them or similar terminology, but the absence of these words does not mean that statement is not forward-looking. Such forward-looking statements are subject to risks, uncertainties, and other factors which could cause actual results to differ materially from those expressed or implied by such forward-looking statements. In addition, any statements or information that refer to expectations, beliefs, plans, projections, objectives, performance or other characterizations of future events or circumstances, including any underlying assumptions, are forward-looking.</w:t>
      </w:r>
    </w:p>
    <w:p>
      <w:pPr>
        <w:spacing w:after="0" w:line="17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003551"/>
        </w:rPr>
        <w:t>These forward-looking statements are based on management’s current expectations and beliefs. These statements are neither promises nor guarantees, but involve known and unknown risks, uncertainties and other important factors that may cause IREN’s actual results, performance or achievements to be materially different from any future results performance or achievements expressed or implied by the forward looking statements, including, but not limited to: Bitcoin price and foreign currency exchange rate fluctuations; IREN’s ability to obtain additional capital on commercially reasonable terms and in a timely manner to meet its capital needs and facilitate its expansion plans; the terms of any future financing or any refinancing, restructuring or modification to the terms of any future financing, which could require IREN to comply with onerous covenants or restrictions, and its ability to service its debt obligations, any of which could restrict our business operations and adversely impact our financial condition, cash flows and results of operations; IREN’s ability to successfully execute on its growth strategies and operating plans, including its ability to continue to develop its existing data center sites and to diversify into the market for high performance computing (“HPC”) solutions, and in particular any current or future AI Cloud (“AI Cloud”) Services we offer; IREN’s limited experience with respect to new markets it has entered or may seek to enter, including the market for AI Cloud Services; expectations with respect to the ongoing profitability, viability, operability, security, popularity and public perceptions of the Bitcoin network; expectations with respect to the profitability, viability, operability, security, popularity and public perceptions of any current or future AI Cloud Services that IREN offers; IREN’s ability to secure and retain customers on commercially reasonable terms or at all, particularly as it relates to its strategy to expand into AI Cloud Services; IREN’s ability to manage counterparty risk (including credit risk) associated with any current or future customers, including customers of our AI Cloud Services and other counterparties; IREN’s ability to secure renewable energy, renewable energy certificates, power capacity, facilities and sites on commercially reasonable terms or at all; the risk that any current or future customers, including customers of our AI Cloud Services, or other counterparties may terminate, default on or underperform their contractual obligations; Bitcoin global hashrate fluctuations; delays associated with, or failure to obtain or complete, permitting approvals, grid connections and other development activities customary for greenfield or brownfield infrastructure projects; our reliance on power and utilities providers, third party mining pools, exchanges, banks, insurance providers and our ability to maintain relationships with such parties; expectations regarding availability and pricing of electricity; IREN’s participation and ability to successfully participate in demand response products and services and other load management programs run, operated or offered by electricity network operators, regulators or electricity market operators; the availability, reliability and/or cost of electricity supply, hardware and electrical and data center infrastructure, including with respect to any electricity outages and any laws and regulations that may restrict the electricity supply available to IREN; any variance between the actual operating performance of IREN’s miner hardware achieved compared to the nameplate performance including hashrate; IREN’s ability to curtail its electricity consumption and/or monetize electricity depending on market conditions, including changes in Bitcoin mining economics and prevailing electricity prices; actions undertaken by electricity network and market operators, regulators, governments or communities in the regions in which IREN operates; the availability, suitability, reliability and cost of internet connections at IREN’s facilities; IREN’s ability to secure additional hardware, including hardware for Bitcoin mining and any current or future AI Cloud Services it offers, on commercially reasonable terms or at all, and any delays or reductions in the supply of such hardware or increases in the cost of procuring such hardware; expectations with respect to the useful life and obsolescence of hardware (including hardware for Bitcoin mining as well as hardware for other applications, including any current or future AI Cloud Services IREN offers); delays, increases in costs or reductions in the supply of equipment used in IREN’s operations; IREN’s ability to operate in an evolving regulatory environment; IREN’s ability to successfully operate and maintain its property and infrastructure; reliability and performance of IREN’s infrastructure compared to expectations; malicious attacks on IREN’s property, infrastructure or IT systems; IREN’s ability to maintain in good standing the operating and other permits and licenses required for its operations and business; IREN ability to obtain, maintain, protect and enforce its intellectual property rights and confidential information; any intellectual property infringement and product liability claims; whether the secular trends IREN expects to drive growth in its business materialize to the degree it expects them to, or at all; the occurrence of any environmental, health and safety incidents at IREN’s sites, and any material costs relating to environmental, health and safety requirements or liabilities; damage to our property and infrastructure and the risk that any insurance IREN maintains may not fully cover all potential exposures; ongoing proceedings relating to the default by two of IREN’s wholly-owned special purpose vehicles under limited recourse equipment financing facilities; ongoing securities litigation relating in part to the default; and any future litigation, claims and/or regulatory investigations, and the costs, expenses, use of resources, diversion of management time and efforts, liability and damages that may result therefrom; IREN's failure to comply with any laws including the anti-corruption laws of the United States and various international jurisdictions; any failure of IREN's compliance and risk management methods; any laws, regulations and ethical standards that may relate to IREN’s business, including those that relate to Bitcoin and the Bitcoin mining industry and those that relate to any other services we offer (such as AI Cloud Services), including regulations related to data privacy, cybersecurity and the storage, use or processing of information; our ability to attract, motivate and retain senior management and qualified employees; increased risks to our global operations including, but not limited to, political instability, acts of terrorism, theft and vandalism, cyberattacks and other cybersecurity incidents and unexpected regulatory and economic sanctions changes, among other things; climate change, severe weather conditions and natural and man-made disasters that may materially adversely affect our business, financial condition and results of operations; public health crises, including an outbreak of an infectious disease (such as COVID-19) and any governmental or industry measures taken in response; our ability to remain competitive in dynamic and rapidly evolving industries; damage to our brand and reputation; expectations relating to Environmental, Social and Governance issues or reporting; the costs of being a public company; and other important factors discussed under the caption “Risk Factors” in IREN’s annual report on Form 20-F filed with the SEC on September 13, 2023 as such factors may be updated from time to time in its other filings with the SEC, accessible on the SEC’s website at www.sec.gov and the Investor Relations section of IREN’s website at https://investors.iren.com.</w:t>
      </w:r>
    </w:p>
    <w:p>
      <w:pPr>
        <w:sectPr>
          <w:pgSz w:w="11900" w:h="16838" w:orient="portrait"/>
          <w:cols w:equalWidth="0" w:num="1">
            <w:col w:w="11240"/>
          </w:cols>
          <w:pgMar w:left="320" w:top="1048" w:right="3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spacing w:after="0"/>
        <w:tabs>
          <w:tab w:leader="none" w:pos="11140" w:val="left"/>
        </w:tabs>
        <w:rPr>
          <w:sz w:val="20"/>
          <w:szCs w:val="20"/>
          <w:color w:val="auto"/>
        </w:rPr>
      </w:pPr>
      <w:r>
        <w:rPr>
          <w:rFonts w:ascii="Times New Roman" w:cs="Times New Roman" w:eastAsia="Times New Roman" w:hAnsi="Times New Roman"/>
          <w:sz w:val="14"/>
          <w:szCs w:val="14"/>
          <w:color w:val="003551"/>
        </w:rPr>
        <w:t>PROCEED WITH PURPOSE.</w:t>
      </w:r>
      <w:r>
        <w:rPr>
          <w:sz w:val="20"/>
          <w:szCs w:val="20"/>
          <w:color w:val="auto"/>
        </w:rPr>
        <w:tab/>
      </w: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bookmarkStart w:id="7" w:name="page8"/>
    <w:bookmarkEnd w:id="7"/>
    <w:p>
      <w:pPr>
        <w:spacing w:after="0" w:line="280" w:lineRule="auto"/>
        <w:rPr>
          <w:sz w:val="20"/>
          <w:szCs w:val="20"/>
          <w:color w:val="auto"/>
        </w:rPr>
      </w:pPr>
      <w:r>
        <w:rPr>
          <w:rFonts w:ascii="Times New Roman" w:cs="Times New Roman" w:eastAsia="Times New Roman" w:hAnsi="Times New Roman"/>
          <w:sz w:val="16"/>
          <w:szCs w:val="16"/>
          <w:color w:val="003551"/>
        </w:rPr>
        <w:drawing>
          <wp:anchor simplePos="0" relativeHeight="251657728" behindDoc="1" locked="0" layoutInCell="0" allowOverlap="1">
            <wp:simplePos x="0" y="0"/>
            <wp:positionH relativeFrom="page">
              <wp:posOffset>1031240</wp:posOffset>
            </wp:positionH>
            <wp:positionV relativeFrom="page">
              <wp:posOffset>88900</wp:posOffset>
            </wp:positionV>
            <wp:extent cx="5494655" cy="4800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494655" cy="480060"/>
                    </a:xfrm>
                    <a:prstGeom prst="rect">
                      <a:avLst/>
                    </a:prstGeom>
                    <a:noFill/>
                  </pic:spPr>
                </pic:pic>
              </a:graphicData>
            </a:graphic>
          </wp:anchor>
        </w:drawing>
        <w:t>These and other important factors could cause actual results to differ materially from those indicated by the forward-looking statements made in this investor update. Any forward-looking statement that IREN makes in this investor update speaks only as of the date of such statement. Except as required by law, IREN disclaims any obligation to update or revise, or to publicly announce any update or revision to, any of the forward-looking statements, whether as a result of new information, future events or otherwise.</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003551"/>
              </w:rPr>
              <w:t>PROCEED WITH PURPOSE.</w:t>
            </w:r>
          </w:p>
        </w:tc>
        <w:tc>
          <w:tcPr>
            <w:tcW w:w="4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84"/>
        </w:trPr>
        <w:tc>
          <w:tcPr>
            <w:tcW w:w="6480" w:type="dxa"/>
            <w:vAlign w:val="bottom"/>
            <w:tcBorders>
              <w:bottom w:val="single" w:sz="8" w:color="auto"/>
            </w:tcBorders>
          </w:tcPr>
          <w:p>
            <w:pPr>
              <w:spacing w:after="0"/>
              <w:rPr>
                <w:sz w:val="7"/>
                <w:szCs w:val="7"/>
                <w:color w:val="auto"/>
              </w:rPr>
            </w:pPr>
          </w:p>
        </w:tc>
        <w:tc>
          <w:tcPr>
            <w:tcW w:w="476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11240"/>
      </w:cols>
      <w:pgMar w:left="320" w:top="10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o"/>
      <w:numFmt w:val="bullet"/>
      <w:start w:val="1"/>
    </w:lvl>
    <w:lvl w:ilvl="2">
      <w:lvlJc w:val="left"/>
      <w:lvlText w:val=" "/>
      <w:numFmt w:val="bullet"/>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2024-07-01T07:08:19Z</dcterms:created>
  <dcterms:modified xsi:type="dcterms:W3CDTF">2024-07-01T07:08:19Z</dcterms:modified>
</cp:coreProperties>
</file>