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198755</wp:posOffset>
            </wp:positionH>
            <wp:positionV relativeFrom="page">
              <wp:posOffset>617855</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640080</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20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PURSUANT TO SECTION 13A-16 OR 15D-16</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For the month of July 2024</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Commission File Number: 001-41072</w:t>
      </w:r>
    </w:p>
    <w:p>
      <w:pPr>
        <w:spacing w:after="0" w:line="18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37"/>
          <w:szCs w:val="37"/>
          <w:b w:val="1"/>
          <w:bCs w:val="1"/>
          <w:color w:val="auto"/>
        </w:rPr>
        <w:t>Iris Energy Limited</w:t>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(Translation of registrant’s name into English)</w:t>
      </w:r>
    </w:p>
    <w:p>
      <w:pPr>
        <w:spacing w:after="0" w:line="1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Level 12, 44 Market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Sydney, NSW 2000 Australia</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+61 2 7906 8301</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9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5"/>
          <w:szCs w:val="15"/>
          <w:color w:val="auto"/>
        </w:rPr>
        <w:t xml:space="preserve">Form 20-F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Form 40-F </w:t>
      </w:r>
      <w:r>
        <w:rPr>
          <w:rFonts w:ascii="Wingdings" w:cs="Wingdings" w:eastAsia="Wingdings" w:hAnsi="Wingdings"/>
          <w:sz w:val="15"/>
          <w:szCs w:val="15"/>
          <w:b w:val="1"/>
          <w:bCs w:val="1"/>
          <w:color w:val="auto"/>
        </w:rPr>
        <w:t>o</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101(b)(1): </w:t>
      </w:r>
      <w:r>
        <w:rPr>
          <w:rFonts w:ascii="Wingdings" w:cs="Wingdings" w:eastAsia="Wingdings" w:hAnsi="Wingdings"/>
          <w:sz w:val="15"/>
          <w:szCs w:val="15"/>
          <w:b w:val="1"/>
          <w:bCs w:val="1"/>
          <w:color w:val="auto"/>
        </w:rPr>
        <w:t>o</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101(b)(7):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186690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0139"/>
          </w:cols>
          <w:pgMar w:left="320" w:top="1088" w:right="1440"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20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5"/>
          <w:szCs w:val="15"/>
          <w:color w:val="auto"/>
        </w:rPr>
        <w:t>On July 16, 2024, Iris Energy Limited (dba IREN) (the “Company”) released a press release providing a business update. A copy of the Company’s press release is furnished hereto as Exhibit 99.1.</w:t>
      </w:r>
    </w:p>
    <w:p>
      <w:pPr>
        <w:sectPr>
          <w:pgSz w:w="11900" w:h="16838" w:orient="portrait"/>
          <w:cols w:equalWidth="0" w:num="1">
            <w:col w:w="11120"/>
          </w:cols>
          <w:pgMar w:left="320" w:top="100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60" w:type="dxa"/>
            <w:vAlign w:val="bottom"/>
          </w:tcPr>
          <w:p>
            <w:pPr>
              <w:jc w:val="right"/>
              <w:ind w:right="4963"/>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398"/>
        </w:trPr>
        <w:tc>
          <w:tcPr>
            <w:tcW w:w="28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936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No.</w:t>
            </w:r>
          </w:p>
        </w:tc>
        <w:tc>
          <w:tcPr>
            <w:tcW w:w="9360" w:type="dxa"/>
            <w:vAlign w:val="bottom"/>
          </w:tcPr>
          <w:p>
            <w:pPr>
              <w:jc w:val="right"/>
              <w:ind w:right="4223"/>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3"/>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360" w:type="dxa"/>
            <w:vAlign w:val="bottom"/>
            <w:tcBorders>
              <w:bottom w:val="single" w:sz="8" w:color="auto"/>
            </w:tcBorders>
          </w:tcPr>
          <w:p>
            <w:pPr>
              <w:spacing w:after="0"/>
              <w:rPr>
                <w:sz w:val="2"/>
                <w:szCs w:val="2"/>
                <w:color w:val="auto"/>
              </w:rPr>
            </w:pPr>
          </w:p>
        </w:tc>
      </w:tr>
      <w:tr>
        <w:trPr>
          <w:trHeight w:val="350"/>
        </w:trPr>
        <w:tc>
          <w:tcPr>
            <w:tcW w:w="2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5"/>
                <w:szCs w:val="15"/>
                <w:color w:val="0000FF"/>
                <w:w w:val="98"/>
              </w:rPr>
              <w:t>99.</w:t>
            </w:r>
            <w:r>
              <w:rPr>
                <w:rFonts w:ascii="Times New Roman" w:cs="Times New Roman" w:eastAsia="Times New Roman" w:hAnsi="Times New Roman"/>
                <w:sz w:val="15"/>
                <w:szCs w:val="15"/>
                <w:u w:val="single" w:color="auto"/>
                <w:color w:val="0000FF"/>
                <w:w w:val="98"/>
              </w:rPr>
              <w:t>1</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60" w:type="dxa"/>
            <w:vAlign w:val="bottom"/>
          </w:tcPr>
          <w:p>
            <w:pPr>
              <w:jc w:val="right"/>
              <w:ind w:right="4963"/>
              <w:spacing w:after="0"/>
              <w:rPr>
                <w:sz w:val="20"/>
                <w:szCs w:val="20"/>
                <w:color w:val="auto"/>
              </w:rPr>
            </w:pPr>
            <w:r>
              <w:rPr>
                <w:rFonts w:ascii="Times New Roman" w:cs="Times New Roman" w:eastAsia="Times New Roman" w:hAnsi="Times New Roman"/>
                <w:sz w:val="15"/>
                <w:szCs w:val="15"/>
                <w:color w:val="auto"/>
              </w:rPr>
              <w:t>Press Release of Iris Energy Limited (dba IREN), dated July 16, 2024</w:t>
            </w:r>
          </w:p>
        </w:tc>
      </w:tr>
    </w:tbl>
    <w:p>
      <w:pPr>
        <w:sectPr>
          <w:pgSz w:w="11900" w:h="16838" w:orient="portrait"/>
          <w:cols w:equalWidth="0" w:num="1">
            <w:col w:w="11260"/>
          </w:cols>
          <w:pgMar w:left="320" w:top="100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7940" w:type="dxa"/>
            <w:vAlign w:val="bottom"/>
            <w:gridSpan w:val="2"/>
          </w:tcPr>
          <w:p>
            <w:pPr>
              <w:ind w:left="2100"/>
              <w:spacing w:after="0"/>
              <w:rPr>
                <w:sz w:val="20"/>
                <w:szCs w:val="20"/>
                <w:color w:val="auto"/>
              </w:rPr>
            </w:pPr>
            <w:r>
              <w:rPr>
                <w:rFonts w:ascii="Times New Roman" w:cs="Times New Roman" w:eastAsia="Times New Roman" w:hAnsi="Times New Roman"/>
                <w:sz w:val="15"/>
                <w:szCs w:val="15"/>
                <w:b w:val="1"/>
                <w:bCs w:val="1"/>
                <w:color w:val="auto"/>
              </w:rPr>
              <w:t>Iris Energy Limited</w:t>
            </w:r>
          </w:p>
        </w:tc>
      </w:tr>
      <w:tr>
        <w:trPr>
          <w:trHeight w:val="428"/>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Date: July 16, 2024</w:t>
            </w:r>
          </w:p>
        </w:tc>
        <w:tc>
          <w:tcPr>
            <w:tcW w:w="2540" w:type="dxa"/>
            <w:vAlign w:val="bottom"/>
          </w:tcPr>
          <w:p>
            <w:pPr>
              <w:ind w:left="2100"/>
              <w:spacing w:after="0"/>
              <w:rPr>
                <w:sz w:val="20"/>
                <w:szCs w:val="20"/>
                <w:color w:val="auto"/>
              </w:rPr>
            </w:pPr>
            <w:r>
              <w:rPr>
                <w:rFonts w:ascii="Times New Roman" w:cs="Times New Roman" w:eastAsia="Times New Roman" w:hAnsi="Times New Roman"/>
                <w:sz w:val="15"/>
                <w:szCs w:val="15"/>
                <w:color w:val="auto"/>
              </w:rPr>
              <w:t>By:</w:t>
            </w:r>
          </w:p>
        </w:tc>
        <w:tc>
          <w:tcPr>
            <w:tcW w:w="5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 Daniel Roberts</w:t>
            </w:r>
          </w:p>
        </w:tc>
      </w:tr>
      <w:tr>
        <w:trPr>
          <w:trHeight w:val="186"/>
        </w:trPr>
        <w:tc>
          <w:tcPr>
            <w:tcW w:w="33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Daniel Roberts</w:t>
            </w:r>
          </w:p>
        </w:tc>
      </w:tr>
      <w:tr>
        <w:trPr>
          <w:trHeight w:val="199"/>
        </w:trPr>
        <w:tc>
          <w:tcPr>
            <w:tcW w:w="33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Co-Chief Executive Officer and Director</w:t>
            </w:r>
          </w:p>
        </w:tc>
      </w:tr>
    </w:tbl>
    <w:p>
      <w:pPr>
        <w:sectPr>
          <w:pgSz w:w="11900" w:h="16838" w:orient="portrait"/>
          <w:cols w:equalWidth="0" w:num="1">
            <w:col w:w="11240"/>
          </w:cols>
          <w:pgMar w:left="320" w:top="1001"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7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0410" cy="1017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2024-07-16T07:22:16Z</dcterms:created>
  <dcterms:modified xsi:type="dcterms:W3CDTF">2024-07-16T07:22:16Z</dcterms:modified>
</cp:coreProperties>
</file>