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Iris Energy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Q4982L109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Q4982L109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HANSAINVEST Hanseatische Investment-Limited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GERMANY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4,303,070.00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4,303,070.00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4,303,070.00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 OO</w:t>
      </w:r>
    </w:p>
    <w:p>
      <w:pPr>
        <w:spacing w:after="0" w:line="200" w:lineRule="exact"/>
        <w:rPr>
          <w:sz w:val="20"/>
          <w:szCs w:val="20"/>
          <w:color w:val="auto"/>
        </w:rPr>
      </w:pPr>
    </w:p>
    <w:p>
      <w:pPr>
        <w:sectPr>
          <w:pgSz w:w="11900" w:h="16901" w:orient="portrait"/>
          <w:cols w:equalWidth="0" w:num="2">
            <w:col w:w="1100" w:space="60"/>
            <w:col w:w="9800"/>
          </w:cols>
          <w:pgMar w:left="320" w:top="166" w:right="619" w:bottom="0" w:gutter="0" w:footer="0" w:header="0"/>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are held for the account of investment funds managed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HANSAINVEST. Under German law HANSAINVEST is not the legal owner of these shares which are co-owned by the investors. However by operation of German law (Sec. 93 (1) KAGB) HANSAINVEST is authorized to exercise the ownership rights to vote the shares and has full dipositive power over the shares. The ownership information above is as of 29th of December 2023.</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Iris Energy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LEVEL 12, 44 MARKET STREET, SYDNEY, AUSTRALIA, NSW 2000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Pascal Reyer</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Kapstadtring 8 22297 Hamburg Germany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German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Q4982L109</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ectPr>
          <w:pgSz w:w="11900" w:h="16901" w:orient="portrait"/>
          <w:cols w:equalWidth="0" w:num="1">
            <w:col w:w="10960"/>
          </w:cols>
          <w:pgMar w:left="320" w:top="166" w:right="619" w:bottom="0" w:gutter="0" w:footer="0" w:header="0"/>
          <w:type w:val="continuous"/>
        </w:sectPr>
      </w:pPr>
    </w:p>
    <w:bookmarkStart w:id="2" w:name="page3"/>
    <w:bookmarkEnd w:id="2"/>
    <w:p>
      <w:pPr>
        <w:ind w:left="130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right="5000" w:hanging="912"/>
        <w:spacing w:after="0" w:line="291"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 German KVG (Investment Management Company)</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4,303,070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00"/>
          </w:cols>
          <w:pgMar w:left="360" w:top="126"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48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4,303,070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28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4,303,070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47"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Investment Management Company (KVG)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00"/>
          </w:cols>
          <w:pgMar w:left="360" w:top="126" w:right="43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HANSAINVEST Hanseatische Investment-Limited Co</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Pascal Reyer</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Reporting Director Financial Assets</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02/12/2024</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2024-03-19T15:29:26Z</dcterms:created>
  <dcterms:modified xsi:type="dcterms:W3CDTF">2024-03-19T15:29:26Z</dcterms:modified>
</cp:coreProperties>
</file>