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PURSUANT TO SECTION 13A-16 OR 15D-16</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w:t>
      </w:r>
    </w:p>
    <w:p>
      <w:pPr>
        <w:spacing w:after="0" w:line="16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 the month of November 2024</w:t>
      </w:r>
    </w:p>
    <w:p>
      <w:pPr>
        <w:spacing w:after="0" w:line="17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Commission File Number: 001-41072</w:t>
      </w:r>
    </w:p>
    <w:p>
      <w:pPr>
        <w:spacing w:after="0" w:line="16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4"/>
          <w:szCs w:val="34"/>
          <w:b w:val="1"/>
          <w:bCs w:val="1"/>
          <w:color w:val="auto"/>
        </w:rPr>
        <w:t>IREN Limited</w:t>
      </w:r>
    </w:p>
    <w:p>
      <w:pPr>
        <w:spacing w:after="0" w:line="4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6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Level 6, 55 Market Street</w:t>
      </w:r>
    </w:p>
    <w:p>
      <w:pPr>
        <w:spacing w:after="0" w:line="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Sydney, NSW 2000 Australia</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+61 2 7906 8301</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7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color w:val="auto"/>
        </w:rPr>
        <w:t xml:space="preserve">Form 20-F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Form 40-F </w:t>
      </w:r>
      <w:r>
        <w:rPr>
          <w:rFonts w:ascii="Wingdings" w:cs="Wingdings" w:eastAsia="Wingdings" w:hAnsi="Wingdings"/>
          <w:sz w:val="14"/>
          <w:szCs w:val="14"/>
          <w:b w:val="1"/>
          <w:bCs w:val="1"/>
          <w:color w:val="auto"/>
        </w:rPr>
        <w:t>o</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submitting the Form 6-K in paper as permitted by Regulation S-T Rule 101(b)(1): </w:t>
      </w:r>
      <w:r>
        <w:rPr>
          <w:rFonts w:ascii="Wingdings" w:cs="Wingdings" w:eastAsia="Wingdings" w:hAnsi="Wingdings"/>
          <w:sz w:val="14"/>
          <w:szCs w:val="14"/>
          <w:b w:val="1"/>
          <w:bCs w:val="1"/>
          <w:color w:val="auto"/>
        </w:rPr>
        <w:t>o</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submitting the Form 6-K in paper as permitted by Regulation S-T Rule 101(b)(7):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1009"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General Meeting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November 20, 2024, Iris Energy Limited (the “Company”) held its Annual General Meeting of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final results of the resolutions submitted to a vote of shareholders are as follows: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Resolution 1: Appointment of Byrons Audit as Australian auditor</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shareholders passed the ordinary resolution confirming that Byrons Audit be appointed as the Australian auditor of the Company for the purposes of the Company's Australian Audited Financial Statements and that the directors be authorised to fix the remuneration of the auditor (as set out in the Notice of Meeting).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vote of registered shareholders at the Meeting with respect to the appointment of Byrons Audit:</w:t>
      </w:r>
    </w:p>
    <w:p>
      <w:pPr>
        <w:spacing w:after="0" w:line="32"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080" w:type="dxa"/>
            <w:vAlign w:val="bottom"/>
            <w:gridSpan w:val="2"/>
          </w:tcPr>
          <w:p>
            <w:pPr>
              <w:jc w:val="center"/>
              <w:ind w:right="1800"/>
              <w:spacing w:after="0"/>
              <w:rPr>
                <w:sz w:val="20"/>
                <w:szCs w:val="20"/>
                <w:color w:val="auto"/>
              </w:rPr>
            </w:pPr>
            <w:r>
              <w:rPr>
                <w:rFonts w:ascii="Times New Roman" w:cs="Times New Roman" w:eastAsia="Times New Roman" w:hAnsi="Times New Roman"/>
                <w:sz w:val="14"/>
                <w:szCs w:val="14"/>
                <w:color w:val="auto"/>
              </w:rPr>
              <w:t>FOR</w:t>
            </w:r>
          </w:p>
        </w:tc>
        <w:tc>
          <w:tcPr>
            <w:tcW w:w="144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AGAINST</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ABSTAIN</w:t>
            </w:r>
          </w:p>
        </w:tc>
        <w:tc>
          <w:tcPr>
            <w:tcW w:w="2140" w:type="dxa"/>
            <w:vAlign w:val="bottom"/>
            <w:gridSpan w:val="2"/>
          </w:tcPr>
          <w:p>
            <w:pPr>
              <w:jc w:val="center"/>
              <w:ind w:left="729"/>
              <w:spacing w:after="0"/>
              <w:rPr>
                <w:sz w:val="20"/>
                <w:szCs w:val="20"/>
                <w:color w:val="auto"/>
              </w:rPr>
            </w:pPr>
            <w:r>
              <w:rPr>
                <w:rFonts w:ascii="Times New Roman" w:cs="Times New Roman" w:eastAsia="Times New Roman" w:hAnsi="Times New Roman"/>
                <w:sz w:val="14"/>
                <w:szCs w:val="14"/>
                <w:color w:val="auto"/>
              </w:rPr>
              <w:t>BROKER NON-VOTE</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192"/>
        </w:trPr>
        <w:tc>
          <w:tcPr>
            <w:tcW w:w="2160" w:type="dxa"/>
            <w:vAlign w:val="bottom"/>
            <w:gridSpan w:val="3"/>
          </w:tcPr>
          <w:p>
            <w:pPr>
              <w:jc w:val="right"/>
              <w:ind w:right="1720"/>
              <w:spacing w:after="0"/>
              <w:rPr>
                <w:sz w:val="20"/>
                <w:szCs w:val="20"/>
                <w:color w:val="auto"/>
              </w:rPr>
            </w:pPr>
            <w:r>
              <w:rPr>
                <w:rFonts w:ascii="Times New Roman" w:cs="Times New Roman" w:eastAsia="Times New Roman" w:hAnsi="Times New Roman"/>
                <w:sz w:val="14"/>
                <w:szCs w:val="14"/>
                <w:color w:val="auto"/>
                <w:w w:val="97"/>
              </w:rPr>
              <w:t>99.68%</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0.04%</w:t>
            </w:r>
          </w:p>
        </w:tc>
        <w:tc>
          <w:tcPr>
            <w:tcW w:w="82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0.27%</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Resolution 2: Change of Company name</w:t>
      </w:r>
    </w:p>
    <w:p>
      <w:pPr>
        <w:spacing w:after="0" w:line="18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Our shareholders passed the special resolution confirming that the name of the Company be changed from Iris Energy Limited to IREN Limited, and that the directors be authorised to take all necessary steps to effect this change, including updating the Company's Constitution and notifying ASIC of the change of name (as set out in the Notice of Meeting).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vote of registered shareholders at the Meeting with respect to the change in Company name:</w:t>
      </w:r>
    </w:p>
    <w:p>
      <w:pPr>
        <w:spacing w:after="0" w:line="32"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080" w:type="dxa"/>
            <w:vAlign w:val="bottom"/>
            <w:gridSpan w:val="2"/>
          </w:tcPr>
          <w:p>
            <w:pPr>
              <w:jc w:val="center"/>
              <w:ind w:right="1800"/>
              <w:spacing w:after="0"/>
              <w:rPr>
                <w:sz w:val="20"/>
                <w:szCs w:val="20"/>
                <w:color w:val="auto"/>
              </w:rPr>
            </w:pPr>
            <w:r>
              <w:rPr>
                <w:rFonts w:ascii="Times New Roman" w:cs="Times New Roman" w:eastAsia="Times New Roman" w:hAnsi="Times New Roman"/>
                <w:sz w:val="14"/>
                <w:szCs w:val="14"/>
                <w:color w:val="auto"/>
              </w:rPr>
              <w:t>FOR</w:t>
            </w:r>
          </w:p>
        </w:tc>
        <w:tc>
          <w:tcPr>
            <w:tcW w:w="144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AGAINST</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ABSTAIN</w:t>
            </w:r>
          </w:p>
        </w:tc>
        <w:tc>
          <w:tcPr>
            <w:tcW w:w="2140" w:type="dxa"/>
            <w:vAlign w:val="bottom"/>
            <w:gridSpan w:val="2"/>
          </w:tcPr>
          <w:p>
            <w:pPr>
              <w:jc w:val="center"/>
              <w:ind w:left="729"/>
              <w:spacing w:after="0"/>
              <w:rPr>
                <w:sz w:val="20"/>
                <w:szCs w:val="20"/>
                <w:color w:val="auto"/>
              </w:rPr>
            </w:pPr>
            <w:r>
              <w:rPr>
                <w:rFonts w:ascii="Times New Roman" w:cs="Times New Roman" w:eastAsia="Times New Roman" w:hAnsi="Times New Roman"/>
                <w:sz w:val="14"/>
                <w:szCs w:val="14"/>
                <w:color w:val="auto"/>
              </w:rPr>
              <w:t>BROKER NON-VOTE</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192"/>
        </w:trPr>
        <w:tc>
          <w:tcPr>
            <w:tcW w:w="2160" w:type="dxa"/>
            <w:vAlign w:val="bottom"/>
            <w:gridSpan w:val="3"/>
          </w:tcPr>
          <w:p>
            <w:pPr>
              <w:jc w:val="right"/>
              <w:ind w:right="1720"/>
              <w:spacing w:after="0"/>
              <w:rPr>
                <w:sz w:val="20"/>
                <w:szCs w:val="20"/>
                <w:color w:val="auto"/>
              </w:rPr>
            </w:pPr>
            <w:r>
              <w:rPr>
                <w:rFonts w:ascii="Times New Roman" w:cs="Times New Roman" w:eastAsia="Times New Roman" w:hAnsi="Times New Roman"/>
                <w:sz w:val="14"/>
                <w:szCs w:val="14"/>
                <w:color w:val="auto"/>
                <w:w w:val="97"/>
              </w:rPr>
              <w:t>99.77%</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0.19%</w:t>
            </w:r>
          </w:p>
        </w:tc>
        <w:tc>
          <w:tcPr>
            <w:tcW w:w="82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0.05%</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Resolution 3: Renewal of the Proportional Takeover Provisions</w:t>
      </w:r>
    </w:p>
    <w:p>
      <w:pPr>
        <w:spacing w:after="0" w:line="18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Our shareholders passed the special resolution confirming that the proportional takeover provisions contained in Schedule 6 of the Company's Constitution be renewed for a period of three (3) years with effect from the date of the AGM (as set out in the Notice of Meeting).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vote of registered shareholders at the Meeting with respect to the renewal of the proportional takeover provisions:</w:t>
      </w:r>
    </w:p>
    <w:p>
      <w:pPr>
        <w:spacing w:after="0" w:line="32"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080" w:type="dxa"/>
            <w:vAlign w:val="bottom"/>
            <w:gridSpan w:val="2"/>
          </w:tcPr>
          <w:p>
            <w:pPr>
              <w:jc w:val="center"/>
              <w:ind w:right="1800"/>
              <w:spacing w:after="0"/>
              <w:rPr>
                <w:sz w:val="20"/>
                <w:szCs w:val="20"/>
                <w:color w:val="auto"/>
              </w:rPr>
            </w:pPr>
            <w:r>
              <w:rPr>
                <w:rFonts w:ascii="Times New Roman" w:cs="Times New Roman" w:eastAsia="Times New Roman" w:hAnsi="Times New Roman"/>
                <w:sz w:val="14"/>
                <w:szCs w:val="14"/>
                <w:color w:val="auto"/>
              </w:rPr>
              <w:t>FOR</w:t>
            </w:r>
          </w:p>
        </w:tc>
        <w:tc>
          <w:tcPr>
            <w:tcW w:w="144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AGAINST</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ABSTAIN</w:t>
            </w:r>
          </w:p>
        </w:tc>
        <w:tc>
          <w:tcPr>
            <w:tcW w:w="2140" w:type="dxa"/>
            <w:vAlign w:val="bottom"/>
            <w:gridSpan w:val="2"/>
          </w:tcPr>
          <w:p>
            <w:pPr>
              <w:jc w:val="center"/>
              <w:ind w:left="729"/>
              <w:spacing w:after="0"/>
              <w:rPr>
                <w:sz w:val="20"/>
                <w:szCs w:val="20"/>
                <w:color w:val="auto"/>
              </w:rPr>
            </w:pPr>
            <w:r>
              <w:rPr>
                <w:rFonts w:ascii="Times New Roman" w:cs="Times New Roman" w:eastAsia="Times New Roman" w:hAnsi="Times New Roman"/>
                <w:sz w:val="14"/>
                <w:szCs w:val="14"/>
                <w:color w:val="auto"/>
              </w:rPr>
              <w:t>BROKER NON-VOTE</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192"/>
        </w:trPr>
        <w:tc>
          <w:tcPr>
            <w:tcW w:w="2160" w:type="dxa"/>
            <w:vAlign w:val="bottom"/>
            <w:gridSpan w:val="3"/>
          </w:tcPr>
          <w:p>
            <w:pPr>
              <w:jc w:val="right"/>
              <w:ind w:right="1720"/>
              <w:spacing w:after="0"/>
              <w:rPr>
                <w:sz w:val="20"/>
                <w:szCs w:val="20"/>
                <w:color w:val="auto"/>
              </w:rPr>
            </w:pPr>
            <w:r>
              <w:rPr>
                <w:rFonts w:ascii="Times New Roman" w:cs="Times New Roman" w:eastAsia="Times New Roman" w:hAnsi="Times New Roman"/>
                <w:sz w:val="14"/>
                <w:szCs w:val="14"/>
                <w:color w:val="auto"/>
                <w:w w:val="97"/>
              </w:rPr>
              <w:t>99.67%</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0.13%</w:t>
            </w:r>
          </w:p>
        </w:tc>
        <w:tc>
          <w:tcPr>
            <w:tcW w:w="82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0.20%</w:t>
            </w: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of Company name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of Company name to IREN Limited is effective as of November 28, 2024.</w:t>
      </w:r>
    </w:p>
    <w:p>
      <w:pPr>
        <w:sectPr>
          <w:pgSz w:w="11900" w:h="16838" w:orient="portrait"/>
          <w:cols w:equalWidth="0" w:num="1">
            <w:col w:w="11200"/>
          </w:cols>
          <w:pgMar w:left="300" w:top="929"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This Report on Form 6-K shall be deemed to be incorporated by reference into the registration statements on Form 20-F (File No. 001-41072), the registration statements on Form S-8 (File Nos. 333-261320, 333-265949, 333-269201, 333-273071 and 333-280518) and the registration statements on Form F-3 (File Nos. 333-277119 and 333-279427) of the Company and to be a part thereof from the date on which this report is filed to the extent not superseded by documents or reports subsequently filed or furnished.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380" w:type="dxa"/>
            <w:vAlign w:val="bottom"/>
          </w:tcPr>
          <w:p>
            <w:pPr>
              <w:ind w:left="32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6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38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9380" w:type="dxa"/>
            <w:vAlign w:val="bottom"/>
          </w:tcPr>
          <w:p>
            <w:pPr>
              <w:ind w:left="4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380" w:type="dxa"/>
            <w:vAlign w:val="bottom"/>
            <w:tcBorders>
              <w:bottom w:val="single" w:sz="8" w:color="auto"/>
            </w:tcBorders>
          </w:tcPr>
          <w:p>
            <w:pPr>
              <w:spacing w:after="0" w:line="20" w:lineRule="exact"/>
              <w:rPr>
                <w:sz w:val="1"/>
                <w:szCs w:val="1"/>
                <w:color w:val="auto"/>
              </w:rPr>
            </w:pPr>
          </w:p>
        </w:tc>
      </w:tr>
      <w:tr>
        <w:trPr>
          <w:trHeight w:val="320"/>
        </w:trPr>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w w:val="97"/>
              </w:rPr>
              <w:t>99.</w:t>
            </w:r>
            <w:r>
              <w:rPr>
                <w:rFonts w:ascii="Times New Roman" w:cs="Times New Roman" w:eastAsia="Times New Roman" w:hAnsi="Times New Roman"/>
                <w:sz w:val="14"/>
                <w:szCs w:val="14"/>
                <w:u w:val="single" w:color="auto"/>
                <w:color w:val="0000FF"/>
                <w:w w:val="97"/>
              </w:rPr>
              <w:t>1</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Constitution of the Company, as currently in effect</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bl>
    <w:p>
      <w:pPr>
        <w:sectPr>
          <w:pgSz w:w="11900" w:h="16838" w:orient="portrait"/>
          <w:cols w:equalWidth="0" w:num="1">
            <w:col w:w="11280"/>
          </w:cols>
          <w:pgMar w:left="300" w:top="929"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780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IREN Limited</w:t>
            </w:r>
          </w:p>
        </w:tc>
      </w:tr>
      <w:tr>
        <w:trPr>
          <w:trHeight w:val="393"/>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Date: November 29, 2024</w:t>
            </w:r>
          </w:p>
        </w:tc>
        <w:tc>
          <w:tcPr>
            <w:tcW w:w="240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By:</w:t>
            </w:r>
          </w:p>
        </w:tc>
        <w:tc>
          <w:tcPr>
            <w:tcW w:w="5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 Daniel Roberts</w:t>
            </w:r>
          </w:p>
        </w:tc>
      </w:tr>
      <w:tr>
        <w:trPr>
          <w:trHeight w:val="167"/>
        </w:trPr>
        <w:tc>
          <w:tcPr>
            <w:tcW w:w="3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Daniel Roberts</w:t>
            </w:r>
          </w:p>
        </w:tc>
      </w:tr>
      <w:tr>
        <w:trPr>
          <w:trHeight w:val="184"/>
        </w:trPr>
        <w:tc>
          <w:tcPr>
            <w:tcW w:w="3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Co-Chief Executive Officer and Director</w:t>
            </w:r>
          </w:p>
        </w:tc>
      </w:tr>
    </w:tbl>
    <w:p>
      <w:pPr>
        <w:sectPr>
          <w:pgSz w:w="11900" w:h="16838" w:orient="portrait"/>
          <w:cols w:equalWidth="0" w:num="1">
            <w:col w:w="11260"/>
          </w:cols>
          <w:pgMar w:left="300" w:top="929"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215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8215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8420100</wp:posOffset>
            </wp:positionV>
            <wp:extent cx="710565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43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43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43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43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43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2024-11-29T05:49:04Z</dcterms:created>
  <dcterms:modified xsi:type="dcterms:W3CDTF">2024-11-29T05:49:04Z</dcterms:modified>
</cp:coreProperties>
</file>