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198755</wp:posOffset>
            </wp:positionH>
            <wp:positionV relativeFrom="page">
              <wp:posOffset>617855</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640080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0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PURSUANT TO SECTION 13A-16 OR 15D-16</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For the month of September 2024</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Commission File Number: 001-41072</w:t>
      </w:r>
    </w:p>
    <w:p>
      <w:pPr>
        <w:spacing w:after="0" w:line="18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37"/>
          <w:szCs w:val="37"/>
          <w:b w:val="1"/>
          <w:bCs w:val="1"/>
          <w:color w:val="auto"/>
        </w:rPr>
        <w:t>Iris Energy Limited</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(Translation of registrant’s name into English)</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Level 12, 44 Market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Sydney, NSW 2000 Australia</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+61 2 7906 8301</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9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5"/>
          <w:szCs w:val="15"/>
          <w:color w:val="auto"/>
        </w:rPr>
        <w:t xml:space="preserve">Form 20-F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Form 40-F </w:t>
      </w:r>
      <w:r>
        <w:rPr>
          <w:rFonts w:ascii="Wingdings" w:cs="Wingdings" w:eastAsia="Wingdings" w:hAnsi="Wingdings"/>
          <w:sz w:val="15"/>
          <w:szCs w:val="15"/>
          <w:b w:val="1"/>
          <w:bCs w:val="1"/>
          <w:color w:val="auto"/>
        </w:rPr>
        <w:t>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101(b)(1): </w:t>
      </w:r>
      <w:r>
        <w:rPr>
          <w:rFonts w:ascii="Wingdings" w:cs="Wingdings" w:eastAsia="Wingdings" w:hAnsi="Wingdings"/>
          <w:sz w:val="15"/>
          <w:szCs w:val="15"/>
          <w:b w:val="1"/>
          <w:bCs w:val="1"/>
          <w:color w:val="auto"/>
        </w:rPr>
        <w:t>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101(b)(7):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186690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0139"/>
          </w:cols>
          <w:pgMar w:left="320" w:top="1088"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202"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5"/>
          <w:szCs w:val="15"/>
          <w:color w:val="auto"/>
        </w:rPr>
        <w:t>On September 16, 2024, Iris Energy Limited (dba IREN) (the “Company”) announced its purchase of an additional 1,080 NVIDIA H200 GPUs to expand its AI Cloud Services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is purchasing 1,080 of the latest-generation NVIDIA H200 GPUs for $43.9m, with delivery and commissioning expected during 4Q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purchase increases the Company's overall GPU fleet to 1,896 NVIDIA H100 and H200 GPUs.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copy of the Company’s press release is furnished hereto as Exhibit 99.1.</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5"/>
          <w:szCs w:val="15"/>
          <w:color w:val="auto"/>
        </w:rPr>
        <w:t>This Report on Form 6-K (other than the information contained in the press release furnished as Exhibit 99.1 to this Report on Form 6-K) shall be deemed to be incorporated by reference into the registration statements on Form S-8 (File Nos. 333-261320, 333-265949, 333-269201, 333-273071 and 333-280518) and the registration statements on Form F-3 (File Nos. 333-277119 and 333-279427) of the Company and to be a part thereof from the date on which this report is filed to the extent not superseded by documents or reports subsequently filed or furnished.</w:t>
      </w:r>
    </w:p>
    <w:p>
      <w:pPr>
        <w:spacing w:after="0" w:line="15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The information contained in the press release furnished as Exhibit 99.1 to this Report on Form 6-K shall not be deemed “filed” for the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except as shall be expressly set forth by specific reference in any such filing.</w:t>
      </w:r>
    </w:p>
    <w:p>
      <w:pPr>
        <w:sectPr>
          <w:pgSz w:w="11900" w:h="16838" w:orient="portrait"/>
          <w:cols w:equalWidth="0" w:num="1">
            <w:col w:w="11180"/>
          </w:cols>
          <w:pgMar w:left="320" w:top="100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60" w:type="dxa"/>
            <w:vAlign w:val="bottom"/>
          </w:tcPr>
          <w:p>
            <w:pPr>
              <w:ind w:left="312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98"/>
        </w:trPr>
        <w:tc>
          <w:tcPr>
            <w:tcW w:w="28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936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No.</w:t>
            </w:r>
          </w:p>
        </w:tc>
        <w:tc>
          <w:tcPr>
            <w:tcW w:w="9360" w:type="dxa"/>
            <w:vAlign w:val="bottom"/>
          </w:tcPr>
          <w:p>
            <w:pPr>
              <w:ind w:left="430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3"/>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360" w:type="dxa"/>
            <w:vAlign w:val="bottom"/>
            <w:tcBorders>
              <w:bottom w:val="single" w:sz="8" w:color="auto"/>
            </w:tcBorders>
          </w:tcPr>
          <w:p>
            <w:pPr>
              <w:spacing w:after="0"/>
              <w:rPr>
                <w:sz w:val="2"/>
                <w:szCs w:val="2"/>
                <w:color w:val="auto"/>
              </w:rPr>
            </w:pPr>
          </w:p>
        </w:tc>
      </w:tr>
      <w:tr>
        <w:trPr>
          <w:trHeight w:val="350"/>
        </w:trPr>
        <w:tc>
          <w:tcPr>
            <w:tcW w:w="2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60" w:type="dxa"/>
            <w:vAlign w:val="bottom"/>
          </w:tcPr>
          <w:p>
            <w:pPr>
              <w:spacing w:after="0"/>
              <w:rPr>
                <w:sz w:val="20"/>
                <w:szCs w:val="20"/>
                <w:color w:val="auto"/>
              </w:rPr>
            </w:pPr>
            <w:r>
              <w:rPr>
                <w:rFonts w:ascii="Times New Roman" w:cs="Times New Roman" w:eastAsia="Times New Roman" w:hAnsi="Times New Roman"/>
                <w:sz w:val="15"/>
                <w:szCs w:val="15"/>
                <w:color w:val="auto"/>
              </w:rPr>
              <w:t>Press Release of Iris Energy Limited (dba IREN), dated September 16, 2024</w:t>
            </w:r>
          </w:p>
        </w:tc>
      </w:tr>
    </w:tbl>
    <w:p>
      <w:pPr>
        <w:sectPr>
          <w:pgSz w:w="11900" w:h="16838" w:orient="portrait"/>
          <w:cols w:equalWidth="0" w:num="1">
            <w:col w:w="11260"/>
          </w:cols>
          <w:pgMar w:left="320" w:top="100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20" w:type="dxa"/>
            <w:vAlign w:val="bottom"/>
          </w:tcPr>
          <w:p>
            <w:pPr>
              <w:spacing w:after="0"/>
              <w:rPr>
                <w:sz w:val="17"/>
                <w:szCs w:val="17"/>
                <w:color w:val="auto"/>
              </w:rPr>
            </w:pPr>
          </w:p>
        </w:tc>
        <w:tc>
          <w:tcPr>
            <w:tcW w:w="7720" w:type="dxa"/>
            <w:vAlign w:val="bottom"/>
            <w:gridSpan w:val="2"/>
          </w:tcPr>
          <w:p>
            <w:pPr>
              <w:ind w:left="1880"/>
              <w:spacing w:after="0"/>
              <w:rPr>
                <w:sz w:val="20"/>
                <w:szCs w:val="20"/>
                <w:color w:val="auto"/>
              </w:rPr>
            </w:pPr>
            <w:r>
              <w:rPr>
                <w:rFonts w:ascii="Times New Roman" w:cs="Times New Roman" w:eastAsia="Times New Roman" w:hAnsi="Times New Roman"/>
                <w:sz w:val="15"/>
                <w:szCs w:val="15"/>
                <w:b w:val="1"/>
                <w:bCs w:val="1"/>
                <w:color w:val="auto"/>
              </w:rPr>
              <w:t>Iris Energy Limited</w:t>
            </w:r>
          </w:p>
        </w:tc>
      </w:tr>
      <w:tr>
        <w:trPr>
          <w:trHeight w:val="428"/>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Date: September 16, 2024</w:t>
            </w:r>
          </w:p>
        </w:tc>
        <w:tc>
          <w:tcPr>
            <w:tcW w:w="2320" w:type="dxa"/>
            <w:vAlign w:val="bottom"/>
          </w:tcPr>
          <w:p>
            <w:pPr>
              <w:ind w:left="1880"/>
              <w:spacing w:after="0"/>
              <w:rPr>
                <w:sz w:val="20"/>
                <w:szCs w:val="20"/>
                <w:color w:val="auto"/>
              </w:rPr>
            </w:pPr>
            <w:r>
              <w:rPr>
                <w:rFonts w:ascii="Times New Roman" w:cs="Times New Roman" w:eastAsia="Times New Roman" w:hAnsi="Times New Roman"/>
                <w:sz w:val="15"/>
                <w:szCs w:val="15"/>
                <w:color w:val="auto"/>
              </w:rPr>
              <w:t>By:</w:t>
            </w:r>
          </w:p>
        </w:tc>
        <w:tc>
          <w:tcPr>
            <w:tcW w:w="5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 Daniel Roberts</w:t>
            </w:r>
          </w:p>
        </w:tc>
      </w:tr>
      <w:tr>
        <w:trPr>
          <w:trHeight w:val="186"/>
        </w:trPr>
        <w:tc>
          <w:tcPr>
            <w:tcW w:w="3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Daniel Roberts</w:t>
            </w:r>
          </w:p>
        </w:tc>
      </w:tr>
      <w:tr>
        <w:trPr>
          <w:trHeight w:val="199"/>
        </w:trPr>
        <w:tc>
          <w:tcPr>
            <w:tcW w:w="35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Co-Chief Executive Officer and Director</w:t>
            </w:r>
          </w:p>
        </w:tc>
      </w:tr>
    </w:tbl>
    <w:p>
      <w:pPr>
        <w:sectPr>
          <w:pgSz w:w="11900" w:h="16838" w:orient="portrait"/>
          <w:cols w:equalWidth="0" w:num="1">
            <w:col w:w="11240"/>
          </w:cols>
          <w:pgMar w:left="320" w:top="1001"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2024-09-16T08:23:12Z</dcterms:created>
  <dcterms:modified xsi:type="dcterms:W3CDTF">2024-09-16T08:23:12Z</dcterms:modified>
</cp:coreProperties>
</file>