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As filed with the Securities and Exchange Commission on June 27</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2024</w:t>
      </w:r>
    </w:p>
    <w:p>
      <w:pPr>
        <w:spacing w:after="0" w:line="225" w:lineRule="exact"/>
        <w:rPr>
          <w:sz w:val="24"/>
          <w:szCs w:val="24"/>
          <w:color w:val="auto"/>
        </w:rPr>
      </w:pPr>
    </w:p>
    <w:p>
      <w:pPr>
        <w:ind w:left="9020"/>
        <w:spacing w:after="0"/>
        <w:rPr>
          <w:sz w:val="20"/>
          <w:szCs w:val="20"/>
          <w:color w:val="auto"/>
        </w:rPr>
      </w:pPr>
      <w:r>
        <w:rPr>
          <w:rFonts w:ascii="Times New Roman" w:cs="Times New Roman" w:eastAsia="Times New Roman" w:hAnsi="Times New Roman"/>
          <w:sz w:val="18"/>
          <w:szCs w:val="18"/>
          <w:b w:val="1"/>
          <w:bCs w:val="1"/>
          <w:color w:val="auto"/>
        </w:rPr>
        <w:t>Registration No. 333-______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53975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6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UNITED STATES</w:t>
      </w:r>
    </w:p>
    <w:p>
      <w:pPr>
        <w:spacing w:after="0" w:line="36" w:lineRule="exact"/>
        <w:rPr>
          <w:sz w:val="24"/>
          <w:szCs w:val="24"/>
          <w:color w:val="auto"/>
        </w:rPr>
      </w:pPr>
    </w:p>
    <w:p>
      <w:pPr>
        <w:jc w:val="center"/>
        <w:ind w:right="-59"/>
        <w:spacing w:after="0"/>
        <w:rPr>
          <w:sz w:val="20"/>
          <w:szCs w:val="20"/>
          <w:color w:val="auto"/>
        </w:rPr>
      </w:pPr>
      <w:r>
        <w:rPr>
          <w:rFonts w:ascii="Times New Roman" w:cs="Times New Roman" w:eastAsia="Times New Roman" w:hAnsi="Times New Roman"/>
          <w:sz w:val="25"/>
          <w:szCs w:val="25"/>
          <w:color w:val="auto"/>
        </w:rPr>
        <w:t>SECURITIES AND EXCHANGE COMMISSION</w:t>
      </w:r>
    </w:p>
    <w:p>
      <w:pPr>
        <w:jc w:val="center"/>
        <w:ind w:right="20"/>
        <w:spacing w:after="0"/>
        <w:rPr>
          <w:sz w:val="20"/>
          <w:szCs w:val="20"/>
          <w:color w:val="auto"/>
        </w:rPr>
      </w:pPr>
      <w:r>
        <w:rPr>
          <w:rFonts w:ascii="Times New Roman" w:cs="Times New Roman" w:eastAsia="Times New Roman" w:hAnsi="Times New Roman"/>
          <w:sz w:val="23"/>
          <w:szCs w:val="23"/>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2473960</wp:posOffset>
            </wp:positionH>
            <wp:positionV relativeFrom="paragraph">
              <wp:posOffset>15875</wp:posOffset>
            </wp:positionV>
            <wp:extent cx="21945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36"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5"/>
          <w:szCs w:val="25"/>
          <w:color w:val="auto"/>
        </w:rPr>
        <w:t>FORM S-8</w:t>
      </w:r>
    </w:p>
    <w:p>
      <w:pPr>
        <w:spacing w:after="0" w:line="9" w:lineRule="exact"/>
        <w:rPr>
          <w:sz w:val="24"/>
          <w:szCs w:val="24"/>
          <w:color w:val="auto"/>
        </w:rPr>
      </w:pPr>
    </w:p>
    <w:tbl>
      <w:tblPr>
        <w:tblLayout w:type="fixed"/>
        <w:tblInd w:w="84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20" w:type="dxa"/>
            <w:vAlign w:val="bottom"/>
            <w:gridSpan w:val="2"/>
          </w:tcPr>
          <w:p>
            <w:pPr>
              <w:jc w:val="center"/>
              <w:ind w:right="2790"/>
              <w:spacing w:after="0"/>
              <w:rPr>
                <w:sz w:val="20"/>
                <w:szCs w:val="20"/>
                <w:color w:val="auto"/>
              </w:rPr>
            </w:pPr>
            <w:r>
              <w:rPr>
                <w:rFonts w:ascii="Times New Roman" w:cs="Times New Roman" w:eastAsia="Times New Roman" w:hAnsi="Times New Roman"/>
                <w:sz w:val="20"/>
                <w:szCs w:val="20"/>
                <w:color w:val="auto"/>
                <w:w w:val="96"/>
              </w:rPr>
              <w:t>REGISTRATION STATEMENT</w:t>
            </w:r>
          </w:p>
        </w:tc>
      </w:tr>
      <w:tr>
        <w:trPr>
          <w:trHeight w:val="229"/>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20" w:type="dxa"/>
            <w:vAlign w:val="bottom"/>
            <w:gridSpan w:val="2"/>
          </w:tcPr>
          <w:p>
            <w:pPr>
              <w:jc w:val="center"/>
              <w:ind w:right="2790"/>
              <w:spacing w:after="0"/>
              <w:rPr>
                <w:sz w:val="20"/>
                <w:szCs w:val="20"/>
                <w:color w:val="auto"/>
              </w:rPr>
            </w:pPr>
            <w:r>
              <w:rPr>
                <w:rFonts w:ascii="Times New Roman" w:cs="Times New Roman" w:eastAsia="Times New Roman" w:hAnsi="Times New Roman"/>
                <w:sz w:val="20"/>
                <w:szCs w:val="20"/>
                <w:color w:val="auto"/>
                <w:w w:val="98"/>
              </w:rPr>
              <w:t>UNDER</w:t>
            </w:r>
          </w:p>
        </w:tc>
      </w:tr>
      <w:tr>
        <w:trPr>
          <w:trHeight w:val="259"/>
        </w:trPr>
        <w:tc>
          <w:tcPr>
            <w:tcW w:w="284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320" w:type="dxa"/>
            <w:vAlign w:val="bottom"/>
            <w:gridSpan w:val="2"/>
          </w:tcPr>
          <w:p>
            <w:pPr>
              <w:jc w:val="center"/>
              <w:ind w:right="2830"/>
              <w:spacing w:after="0"/>
              <w:rPr>
                <w:sz w:val="20"/>
                <w:szCs w:val="20"/>
                <w:color w:val="auto"/>
              </w:rPr>
            </w:pPr>
            <w:r>
              <w:rPr>
                <w:rFonts w:ascii="Times New Roman" w:cs="Times New Roman" w:eastAsia="Times New Roman" w:hAnsi="Times New Roman"/>
                <w:sz w:val="20"/>
                <w:szCs w:val="20"/>
                <w:color w:val="auto"/>
                <w:w w:val="99"/>
              </w:rPr>
              <w:t>THE SECURITIES ACT OF 1933</w:t>
            </w:r>
          </w:p>
        </w:tc>
      </w:tr>
      <w:tr>
        <w:trPr>
          <w:trHeight w:val="373"/>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4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32"/>
                <w:szCs w:val="32"/>
                <w:b w:val="1"/>
                <w:bCs w:val="1"/>
                <w:color w:val="auto"/>
                <w:w w:val="95"/>
              </w:rPr>
              <w:t>IRIS ENERGY LIMITED</w:t>
            </w:r>
          </w:p>
        </w:tc>
        <w:tc>
          <w:tcPr>
            <w:tcW w:w="2860" w:type="dxa"/>
            <w:vAlign w:val="bottom"/>
          </w:tcPr>
          <w:p>
            <w:pPr>
              <w:spacing w:after="0"/>
              <w:rPr>
                <w:sz w:val="24"/>
                <w:szCs w:val="24"/>
                <w:color w:val="auto"/>
              </w:rPr>
            </w:pPr>
          </w:p>
        </w:tc>
      </w:tr>
      <w:tr>
        <w:trPr>
          <w:trHeight w:val="234"/>
        </w:trPr>
        <w:tc>
          <w:tcPr>
            <w:tcW w:w="2840" w:type="dxa"/>
            <w:vAlign w:val="bottom"/>
          </w:tcPr>
          <w:p>
            <w:pPr>
              <w:spacing w:after="0"/>
              <w:rPr>
                <w:sz w:val="20"/>
                <w:szCs w:val="20"/>
                <w:color w:val="auto"/>
              </w:rPr>
            </w:pPr>
          </w:p>
        </w:tc>
        <w:tc>
          <w:tcPr>
            <w:tcW w:w="6540" w:type="dxa"/>
            <w:vAlign w:val="bottom"/>
            <w:gridSpan w:val="3"/>
          </w:tcPr>
          <w:p>
            <w:pPr>
              <w:jc w:val="center"/>
              <w:ind w:right="2570"/>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tc>
      </w:tr>
      <w:tr>
        <w:trPr>
          <w:trHeight w:val="414"/>
        </w:trPr>
        <w:tc>
          <w:tcPr>
            <w:tcW w:w="2840" w:type="dxa"/>
            <w:vAlign w:val="bottom"/>
          </w:tcPr>
          <w:p>
            <w:pPr>
              <w:jc w:val="center"/>
              <w:ind w:right="590"/>
              <w:spacing w:after="0"/>
              <w:rPr>
                <w:sz w:val="20"/>
                <w:szCs w:val="20"/>
                <w:color w:val="auto"/>
              </w:rPr>
            </w:pPr>
            <w:r>
              <w:rPr>
                <w:rFonts w:ascii="Times New Roman" w:cs="Times New Roman" w:eastAsia="Times New Roman" w:hAnsi="Times New Roman"/>
                <w:sz w:val="18"/>
                <w:szCs w:val="18"/>
                <w:b w:val="1"/>
                <w:bCs w:val="1"/>
                <w:color w:val="auto"/>
                <w:w w:val="99"/>
              </w:rPr>
              <w:t>Australia</w:t>
            </w:r>
          </w:p>
        </w:tc>
        <w:tc>
          <w:tcPr>
            <w:tcW w:w="220" w:type="dxa"/>
            <w:vAlign w:val="bottom"/>
          </w:tcPr>
          <w:p>
            <w:pPr>
              <w:spacing w:after="0"/>
              <w:rPr>
                <w:sz w:val="24"/>
                <w:szCs w:val="24"/>
                <w:color w:val="auto"/>
              </w:rPr>
            </w:pPr>
          </w:p>
        </w:tc>
        <w:tc>
          <w:tcPr>
            <w:tcW w:w="3460" w:type="dxa"/>
            <w:vAlign w:val="bottom"/>
          </w:tcPr>
          <w:p>
            <w:pPr>
              <w:spacing w:after="0"/>
              <w:rPr>
                <w:sz w:val="24"/>
                <w:szCs w:val="24"/>
                <w:color w:val="auto"/>
              </w:rPr>
            </w:pPr>
          </w:p>
        </w:tc>
        <w:tc>
          <w:tcPr>
            <w:tcW w:w="2860" w:type="dxa"/>
            <w:vAlign w:val="bottom"/>
          </w:tcPr>
          <w:p>
            <w:pPr>
              <w:jc w:val="center"/>
              <w:ind w:left="111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2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(State or other jurisdiction of</w:t>
            </w: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12"/>
        </w:trPr>
        <w:tc>
          <w:tcPr>
            <w:tcW w:w="2840" w:type="dxa"/>
            <w:vAlign w:val="bottom"/>
          </w:tcPr>
          <w:p>
            <w:pPr>
              <w:jc w:val="center"/>
              <w:ind w:right="5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60" w:type="dxa"/>
            <w:vAlign w:val="bottom"/>
          </w:tcPr>
          <w:p>
            <w:pPr>
              <w:jc w:val="center"/>
              <w:ind w:left="1110"/>
              <w:spacing w:after="0"/>
              <w:rPr>
                <w:sz w:val="20"/>
                <w:szCs w:val="20"/>
                <w:color w:val="auto"/>
              </w:rPr>
            </w:pPr>
            <w:r>
              <w:rPr>
                <w:rFonts w:ascii="Times New Roman" w:cs="Times New Roman" w:eastAsia="Times New Roman" w:hAnsi="Times New Roman"/>
                <w:sz w:val="18"/>
                <w:szCs w:val="18"/>
                <w:color w:val="auto"/>
                <w:w w:val="99"/>
              </w:rPr>
              <w:t>Identification Number)</w:t>
            </w:r>
          </w:p>
        </w:tc>
      </w:tr>
      <w:tr>
        <w:trPr>
          <w:trHeight w:val="216"/>
        </w:trPr>
        <w:tc>
          <w:tcPr>
            <w:tcW w:w="2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320" w:type="dxa"/>
            <w:vAlign w:val="bottom"/>
            <w:gridSpan w:val="2"/>
          </w:tcPr>
          <w:p>
            <w:pPr>
              <w:jc w:val="center"/>
              <w:ind w:right="2670"/>
              <w:spacing w:after="0"/>
              <w:rPr>
                <w:sz w:val="20"/>
                <w:szCs w:val="20"/>
                <w:color w:val="auto"/>
              </w:rPr>
            </w:pPr>
            <w:r>
              <w:rPr>
                <w:rFonts w:ascii="Times New Roman" w:cs="Times New Roman" w:eastAsia="Times New Roman" w:hAnsi="Times New Roman"/>
                <w:sz w:val="18"/>
                <w:szCs w:val="18"/>
                <w:b w:val="1"/>
                <w:bCs w:val="1"/>
                <w:color w:val="auto"/>
                <w:w w:val="99"/>
              </w:rPr>
              <w:t>Level 12, 44 Market Street</w:t>
            </w:r>
          </w:p>
        </w:tc>
      </w:tr>
      <w:tr>
        <w:trPr>
          <w:trHeight w:val="220"/>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20" w:type="dxa"/>
            <w:vAlign w:val="bottom"/>
            <w:gridSpan w:val="2"/>
          </w:tcPr>
          <w:p>
            <w:pPr>
              <w:jc w:val="center"/>
              <w:ind w:right="2650"/>
              <w:spacing w:after="0"/>
              <w:rPr>
                <w:sz w:val="20"/>
                <w:szCs w:val="20"/>
                <w:color w:val="auto"/>
              </w:rPr>
            </w:pPr>
            <w:r>
              <w:rPr>
                <w:rFonts w:ascii="Times New Roman" w:cs="Times New Roman" w:eastAsia="Times New Roman" w:hAnsi="Times New Roman"/>
                <w:sz w:val="18"/>
                <w:szCs w:val="18"/>
                <w:b w:val="1"/>
                <w:bCs w:val="1"/>
                <w:color w:val="auto"/>
                <w:w w:val="99"/>
              </w:rPr>
              <w:t>Sydney, NSW 2000 Australia</w:t>
            </w:r>
          </w:p>
        </w:tc>
      </w:tr>
      <w:tr>
        <w:trPr>
          <w:trHeight w:val="234"/>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2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color w:val="auto"/>
              </w:rPr>
              <w:t>(Address of Principal Executive Offices)</w:t>
            </w:r>
          </w:p>
        </w:tc>
      </w:tr>
      <w:tr>
        <w:trPr>
          <w:trHeight w:val="243"/>
        </w:trPr>
        <w:tc>
          <w:tcPr>
            <w:tcW w:w="2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460" w:type="dxa"/>
            <w:vAlign w:val="bottom"/>
            <w:tcBorders>
              <w:bottom w:val="single" w:sz="8" w:color="auto"/>
            </w:tcBorders>
          </w:tcPr>
          <w:p>
            <w:pPr>
              <w:spacing w:after="0"/>
              <w:rPr>
                <w:sz w:val="21"/>
                <w:szCs w:val="21"/>
                <w:color w:val="auto"/>
              </w:rPr>
            </w:pPr>
          </w:p>
        </w:tc>
        <w:tc>
          <w:tcPr>
            <w:tcW w:w="2860" w:type="dxa"/>
            <w:vAlign w:val="bottom"/>
          </w:tcPr>
          <w:p>
            <w:pPr>
              <w:spacing w:after="0"/>
              <w:rPr>
                <w:sz w:val="21"/>
                <w:szCs w:val="21"/>
                <w:color w:val="auto"/>
              </w:rPr>
            </w:pPr>
          </w:p>
        </w:tc>
      </w:tr>
      <w:tr>
        <w:trPr>
          <w:trHeight w:val="434"/>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9"/>
              </w:rPr>
              <w:t>Iris Energy 2023 Long-Term Incentive Plan</w:t>
            </w:r>
          </w:p>
        </w:tc>
      </w:tr>
      <w:tr>
        <w:trPr>
          <w:trHeight w:val="234"/>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20" w:type="dxa"/>
            <w:vAlign w:val="bottom"/>
            <w:gridSpan w:val="2"/>
          </w:tcPr>
          <w:p>
            <w:pPr>
              <w:jc w:val="center"/>
              <w:ind w:right="2790"/>
              <w:spacing w:after="0"/>
              <w:rPr>
                <w:sz w:val="20"/>
                <w:szCs w:val="20"/>
                <w:color w:val="auto"/>
              </w:rPr>
            </w:pPr>
            <w:r>
              <w:rPr>
                <w:rFonts w:ascii="Times New Roman" w:cs="Times New Roman" w:eastAsia="Times New Roman" w:hAnsi="Times New Roman"/>
                <w:sz w:val="18"/>
                <w:szCs w:val="18"/>
                <w:color w:val="auto"/>
              </w:rPr>
              <w:t>(Full title of the plan)</w:t>
            </w:r>
          </w:p>
        </w:tc>
      </w:tr>
      <w:tr>
        <w:trPr>
          <w:trHeight w:val="230"/>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2860" w:type="dxa"/>
            <w:vAlign w:val="bottom"/>
          </w:tcPr>
          <w:p>
            <w:pPr>
              <w:spacing w:after="0"/>
              <w:rPr>
                <w:sz w:val="19"/>
                <w:szCs w:val="19"/>
                <w:color w:val="auto"/>
              </w:rPr>
            </w:pPr>
          </w:p>
        </w:tc>
      </w:tr>
      <w:tr>
        <w:trPr>
          <w:trHeight w:val="447"/>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rPr>
              <w:t>Cogency Global Inc.</w:t>
            </w:r>
          </w:p>
        </w:tc>
      </w:tr>
      <w:tr>
        <w:trPr>
          <w:trHeight w:val="253"/>
        </w:trPr>
        <w:tc>
          <w:tcPr>
            <w:tcW w:w="2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320" w:type="dxa"/>
            <w:vAlign w:val="bottom"/>
            <w:gridSpan w:val="2"/>
          </w:tcPr>
          <w:p>
            <w:pPr>
              <w:jc w:val="center"/>
              <w:ind w:right="2750"/>
              <w:spacing w:after="0" w:line="252" w:lineRule="exact"/>
              <w:rPr>
                <w:sz w:val="20"/>
                <w:szCs w:val="20"/>
                <w:color w:val="auto"/>
              </w:rPr>
            </w:pPr>
            <w:r>
              <w:rPr>
                <w:rFonts w:ascii="Times New Roman" w:cs="Times New Roman" w:eastAsia="Times New Roman" w:hAnsi="Times New Roman"/>
                <w:sz w:val="18"/>
                <w:szCs w:val="18"/>
                <w:b w:val="1"/>
                <w:bCs w:val="1"/>
                <w:color w:val="auto"/>
                <w:w w:val="96"/>
              </w:rPr>
              <w:t>122 E. 42</w:t>
            </w:r>
            <w:r>
              <w:rPr>
                <w:rFonts w:ascii="Times New Roman" w:cs="Times New Roman" w:eastAsia="Times New Roman" w:hAnsi="Times New Roman"/>
                <w:sz w:val="29"/>
                <w:szCs w:val="29"/>
                <w:b w:val="1"/>
                <w:bCs w:val="1"/>
                <w:color w:val="auto"/>
                <w:w w:val="96"/>
                <w:vertAlign w:val="superscript"/>
              </w:rPr>
              <w:t>nd</w:t>
            </w:r>
            <w:r>
              <w:rPr>
                <w:rFonts w:ascii="Times New Roman" w:cs="Times New Roman" w:eastAsia="Times New Roman" w:hAnsi="Times New Roman"/>
                <w:sz w:val="18"/>
                <w:szCs w:val="18"/>
                <w:b w:val="1"/>
                <w:bCs w:val="1"/>
                <w:color w:val="auto"/>
                <w:w w:val="96"/>
              </w:rPr>
              <w:t xml:space="preserve"> Street, 18</w:t>
            </w:r>
            <w:r>
              <w:rPr>
                <w:rFonts w:ascii="Times New Roman" w:cs="Times New Roman" w:eastAsia="Times New Roman" w:hAnsi="Times New Roman"/>
                <w:sz w:val="29"/>
                <w:szCs w:val="29"/>
                <w:b w:val="1"/>
                <w:bCs w:val="1"/>
                <w:color w:val="auto"/>
                <w:w w:val="96"/>
                <w:vertAlign w:val="superscript"/>
              </w:rPr>
              <w:t>th</w:t>
            </w:r>
            <w:r>
              <w:rPr>
                <w:rFonts w:ascii="Times New Roman" w:cs="Times New Roman" w:eastAsia="Times New Roman" w:hAnsi="Times New Roman"/>
                <w:sz w:val="18"/>
                <w:szCs w:val="18"/>
                <w:b w:val="1"/>
                <w:bCs w:val="1"/>
                <w:color w:val="auto"/>
                <w:w w:val="96"/>
              </w:rPr>
              <w:t xml:space="preserve"> Floor</w:t>
            </w:r>
          </w:p>
        </w:tc>
      </w:tr>
      <w:tr>
        <w:trPr>
          <w:trHeight w:val="220"/>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32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b w:val="1"/>
                <w:bCs w:val="1"/>
                <w:color w:val="auto"/>
                <w:w w:val="97"/>
              </w:rPr>
              <w:t>New York, New York 10168</w:t>
            </w:r>
          </w:p>
        </w:tc>
      </w:tr>
      <w:tr>
        <w:trPr>
          <w:trHeight w:val="234"/>
        </w:trPr>
        <w:tc>
          <w:tcPr>
            <w:tcW w:w="28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32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color w:val="auto"/>
              </w:rPr>
              <w:t>(Name and address of agent of service)</w:t>
            </w:r>
          </w:p>
        </w:tc>
      </w:tr>
      <w:tr>
        <w:trPr>
          <w:trHeight w:val="441"/>
        </w:trPr>
        <w:tc>
          <w:tcPr>
            <w:tcW w:w="2840" w:type="dxa"/>
            <w:vAlign w:val="bottom"/>
          </w:tcPr>
          <w:p>
            <w:pPr>
              <w:spacing w:after="0"/>
              <w:rPr>
                <w:sz w:val="24"/>
                <w:szCs w:val="24"/>
                <w:color w:val="auto"/>
              </w:rPr>
            </w:pPr>
          </w:p>
        </w:tc>
        <w:tc>
          <w:tcPr>
            <w:tcW w:w="3680" w:type="dxa"/>
            <w:vAlign w:val="bottom"/>
            <w:gridSpan w:val="2"/>
          </w:tcPr>
          <w:p>
            <w:pPr>
              <w:jc w:val="center"/>
              <w:ind w:left="130"/>
              <w:spacing w:after="0"/>
              <w:rPr>
                <w:sz w:val="20"/>
                <w:szCs w:val="20"/>
                <w:color w:val="auto"/>
              </w:rPr>
            </w:pPr>
            <w:r>
              <w:rPr>
                <w:rFonts w:ascii="Times New Roman" w:cs="Times New Roman" w:eastAsia="Times New Roman" w:hAnsi="Times New Roman"/>
                <w:sz w:val="18"/>
                <w:szCs w:val="18"/>
                <w:b w:val="1"/>
                <w:bCs w:val="1"/>
                <w:color w:val="auto"/>
              </w:rPr>
              <w:t>(800) 221-0102</w:t>
            </w:r>
          </w:p>
        </w:tc>
        <w:tc>
          <w:tcPr>
            <w:tcW w:w="2860" w:type="dxa"/>
            <w:vAlign w:val="bottom"/>
          </w:tcPr>
          <w:p>
            <w:pPr>
              <w:spacing w:after="0"/>
              <w:rPr>
                <w:sz w:val="24"/>
                <w:szCs w:val="24"/>
                <w:color w:val="auto"/>
              </w:rPr>
            </w:pPr>
          </w:p>
        </w:tc>
      </w:tr>
      <w:tr>
        <w:trPr>
          <w:trHeight w:val="234"/>
        </w:trPr>
        <w:tc>
          <w:tcPr>
            <w:tcW w:w="9380" w:type="dxa"/>
            <w:vAlign w:val="bottom"/>
            <w:gridSpan w:val="4"/>
          </w:tcPr>
          <w:p>
            <w:pPr>
              <w:jc w:val="center"/>
              <w:ind w:left="90"/>
              <w:spacing w:after="0"/>
              <w:rPr>
                <w:sz w:val="20"/>
                <w:szCs w:val="20"/>
                <w:color w:val="auto"/>
              </w:rPr>
            </w:pPr>
            <w:r>
              <w:rPr>
                <w:rFonts w:ascii="Times New Roman" w:cs="Times New Roman" w:eastAsia="Times New Roman" w:hAnsi="Times New Roman"/>
                <w:sz w:val="18"/>
                <w:szCs w:val="18"/>
                <w:color w:val="auto"/>
                <w:w w:val="99"/>
              </w:rPr>
              <w:t>(Telephone number, including area code, of agent for service)</w:t>
            </w:r>
          </w:p>
        </w:tc>
      </w:tr>
      <w:tr>
        <w:trPr>
          <w:trHeight w:val="230"/>
        </w:trPr>
        <w:tc>
          <w:tcPr>
            <w:tcW w:w="28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460" w:type="dxa"/>
            <w:vAlign w:val="bottom"/>
            <w:tcBorders>
              <w:bottom w:val="single" w:sz="8" w:color="auto"/>
            </w:tcBorders>
          </w:tcPr>
          <w:p>
            <w:pPr>
              <w:spacing w:after="0"/>
              <w:rPr>
                <w:sz w:val="19"/>
                <w:szCs w:val="19"/>
                <w:color w:val="auto"/>
              </w:rPr>
            </w:pPr>
          </w:p>
        </w:tc>
        <w:tc>
          <w:tcPr>
            <w:tcW w:w="2860" w:type="dxa"/>
            <w:vAlign w:val="bottom"/>
          </w:tcPr>
          <w:p>
            <w:pPr>
              <w:spacing w:after="0"/>
              <w:rPr>
                <w:sz w:val="19"/>
                <w:szCs w:val="19"/>
                <w:color w:val="auto"/>
              </w:rPr>
            </w:pPr>
          </w:p>
        </w:tc>
      </w:tr>
      <w:tr>
        <w:trPr>
          <w:trHeight w:val="430"/>
        </w:trPr>
        <w:tc>
          <w:tcPr>
            <w:tcW w:w="2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320" w:type="dxa"/>
            <w:vAlign w:val="bottom"/>
            <w:gridSpan w:val="2"/>
          </w:tcPr>
          <w:p>
            <w:pPr>
              <w:jc w:val="center"/>
              <w:ind w:right="2770"/>
              <w:spacing w:after="0"/>
              <w:rPr>
                <w:sz w:val="20"/>
                <w:szCs w:val="20"/>
                <w:color w:val="auto"/>
              </w:rPr>
            </w:pPr>
            <w:r>
              <w:rPr>
                <w:rFonts w:ascii="Times New Roman" w:cs="Times New Roman" w:eastAsia="Times New Roman" w:hAnsi="Times New Roman"/>
                <w:sz w:val="18"/>
                <w:szCs w:val="18"/>
                <w:b w:val="1"/>
                <w:bCs w:val="1"/>
                <w:i w:val="1"/>
                <w:iCs w:val="1"/>
                <w:color w:val="auto"/>
                <w:w w:val="99"/>
              </w:rPr>
              <w:t>Copy to:</w:t>
            </w:r>
          </w:p>
        </w:tc>
      </w:tr>
      <w:tr>
        <w:trPr>
          <w:trHeight w:val="216"/>
        </w:trPr>
        <w:tc>
          <w:tcPr>
            <w:tcW w:w="28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rPr>
              <w:t>Byron B. Rooney</w:t>
            </w: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Cesilia Kim</w:t>
            </w:r>
          </w:p>
        </w:tc>
      </w:tr>
      <w:tr>
        <w:trPr>
          <w:trHeight w:val="216"/>
        </w:trPr>
        <w:tc>
          <w:tcPr>
            <w:tcW w:w="28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9"/>
              </w:rPr>
              <w:t>Marcel R. Fausten</w:t>
            </w: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Iris Energy Limited</w:t>
            </w:r>
          </w:p>
        </w:tc>
      </w:tr>
      <w:tr>
        <w:trPr>
          <w:trHeight w:val="216"/>
        </w:trPr>
        <w:tc>
          <w:tcPr>
            <w:tcW w:w="28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Davis Polk &amp; Wardwell LLP</w:t>
            </w: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60" w:type="dxa"/>
            <w:vAlign w:val="bottom"/>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99"/>
              </w:rPr>
              <w:t>Level 12, 44 Market Street</w:t>
            </w:r>
          </w:p>
        </w:tc>
      </w:tr>
      <w:tr>
        <w:trPr>
          <w:trHeight w:val="216"/>
        </w:trPr>
        <w:tc>
          <w:tcPr>
            <w:tcW w:w="2840" w:type="dxa"/>
            <w:vAlign w:val="bottom"/>
          </w:tcPr>
          <w:p>
            <w:pPr>
              <w:jc w:val="center"/>
              <w:ind w:left="370"/>
              <w:spacing w:after="0"/>
              <w:rPr>
                <w:sz w:val="20"/>
                <w:szCs w:val="20"/>
                <w:color w:val="auto"/>
              </w:rPr>
            </w:pPr>
            <w:r>
              <w:rPr>
                <w:rFonts w:ascii="Times New Roman" w:cs="Times New Roman" w:eastAsia="Times New Roman" w:hAnsi="Times New Roman"/>
                <w:sz w:val="18"/>
                <w:szCs w:val="18"/>
                <w:b w:val="1"/>
                <w:bCs w:val="1"/>
                <w:color w:val="auto"/>
                <w:w w:val="98"/>
              </w:rPr>
              <w:t>450 Lexington Avenue</w:t>
            </w:r>
          </w:p>
        </w:tc>
        <w:tc>
          <w:tcPr>
            <w:tcW w:w="2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28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Sydney, NSW 2000 Australia</w:t>
            </w:r>
          </w:p>
        </w:tc>
      </w:tr>
      <w:tr>
        <w:trPr>
          <w:trHeight w:val="216"/>
        </w:trPr>
        <w:tc>
          <w:tcPr>
            <w:tcW w:w="28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8"/>
              </w:rPr>
              <w:t>New York, New York 10017</w:t>
            </w:r>
          </w:p>
        </w:tc>
        <w:tc>
          <w:tcPr>
            <w:tcW w:w="6540" w:type="dxa"/>
            <w:vAlign w:val="bottom"/>
            <w:gridSpan w:val="3"/>
          </w:tcPr>
          <w:p>
            <w:pPr>
              <w:jc w:val="center"/>
              <w:ind w:left="3670"/>
              <w:spacing w:after="0"/>
              <w:rPr>
                <w:sz w:val="20"/>
                <w:szCs w:val="20"/>
                <w:color w:val="auto"/>
              </w:rPr>
            </w:pPr>
            <w:r>
              <w:rPr>
                <w:rFonts w:ascii="Times New Roman" w:cs="Times New Roman" w:eastAsia="Times New Roman" w:hAnsi="Times New Roman"/>
                <w:sz w:val="18"/>
                <w:szCs w:val="18"/>
                <w:b w:val="1"/>
                <w:bCs w:val="1"/>
                <w:color w:val="auto"/>
                <w:w w:val="99"/>
              </w:rPr>
              <w:t>+61 2 7906 8301</w:t>
            </w:r>
          </w:p>
        </w:tc>
      </w:tr>
      <w:tr>
        <w:trPr>
          <w:trHeight w:val="238"/>
        </w:trPr>
        <w:tc>
          <w:tcPr>
            <w:tcW w:w="2840" w:type="dxa"/>
            <w:vAlign w:val="bottom"/>
          </w:tcPr>
          <w:p>
            <w:pPr>
              <w:jc w:val="center"/>
              <w:ind w:left="350"/>
              <w:spacing w:after="0"/>
              <w:rPr>
                <w:sz w:val="20"/>
                <w:szCs w:val="20"/>
                <w:color w:val="auto"/>
              </w:rPr>
            </w:pPr>
            <w:r>
              <w:rPr>
                <w:rFonts w:ascii="Times New Roman" w:cs="Times New Roman" w:eastAsia="Times New Roman" w:hAnsi="Times New Roman"/>
                <w:sz w:val="18"/>
                <w:szCs w:val="18"/>
                <w:b w:val="1"/>
                <w:bCs w:val="1"/>
                <w:color w:val="auto"/>
                <w:w w:val="99"/>
              </w:rPr>
              <w:t>(212) 450-4000</w:t>
            </w:r>
          </w:p>
        </w:tc>
        <w:tc>
          <w:tcPr>
            <w:tcW w:w="220" w:type="dxa"/>
            <w:vAlign w:val="bottom"/>
          </w:tcPr>
          <w:p>
            <w:pPr>
              <w:spacing w:after="0"/>
              <w:rPr>
                <w:sz w:val="20"/>
                <w:szCs w:val="20"/>
                <w:color w:val="auto"/>
              </w:rPr>
            </w:pPr>
          </w:p>
        </w:tc>
        <w:tc>
          <w:tcPr>
            <w:tcW w:w="3460" w:type="dxa"/>
            <w:vAlign w:val="bottom"/>
          </w:tcPr>
          <w:p>
            <w:pPr>
              <w:spacing w:after="0"/>
              <w:rPr>
                <w:sz w:val="20"/>
                <w:szCs w:val="20"/>
                <w:color w:val="auto"/>
              </w:rPr>
            </w:pPr>
          </w:p>
        </w:tc>
        <w:tc>
          <w:tcPr>
            <w:tcW w:w="2860" w:type="dxa"/>
            <w:vAlign w:val="bottom"/>
          </w:tcPr>
          <w:p>
            <w:pPr>
              <w:spacing w:after="0"/>
              <w:rPr>
                <w:sz w:val="20"/>
                <w:szCs w:val="20"/>
                <w:color w:val="auto"/>
              </w:rPr>
            </w:pPr>
          </w:p>
        </w:tc>
      </w:tr>
    </w:tbl>
    <w:p>
      <w:pPr>
        <w:spacing w:after="0" w:line="198"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or a smaller reporting company.</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See the definitions of “large accelerated filer,” “accelerated filer” and “smaller reporting company” in Rule 12b-2 of the Exchange Act.</w:t>
      </w:r>
    </w:p>
    <w:p>
      <w:pPr>
        <w:sectPr>
          <w:pgSz w:w="11900" w:h="16838" w:orient="portrait"/>
          <w:cols w:equalWidth="0" w:num="1">
            <w:col w:w="11200"/>
          </w:cols>
          <w:pgMar w:left="320" w:top="225" w:right="379" w:bottom="1440" w:gutter="0" w:footer="0" w:header="0"/>
        </w:sectPr>
      </w:pPr>
    </w:p>
    <w:p>
      <w:pPr>
        <w:spacing w:after="0" w:line="166"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p>
      <w:pPr>
        <w:spacing w:after="0" w:line="70"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Accelerated filer </w:t>
      </w:r>
      <w:r>
        <w:rPr>
          <w:rFonts w:ascii="MS PGothic" w:cs="MS PGothic" w:eastAsia="MS PGothic" w:hAnsi="MS PGothic"/>
          <w:sz w:val="18"/>
          <w:szCs w:val="18"/>
          <w:color w:val="auto"/>
        </w:rPr>
        <w:t>☐</w:t>
      </w:r>
    </w:p>
    <w:p>
      <w:pPr>
        <w:spacing w:after="0" w:line="7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Emerging growth company</w:t>
      </w:r>
    </w:p>
    <w:p>
      <w:pPr>
        <w:spacing w:after="0" w:line="20" w:lineRule="exact"/>
        <w:rPr>
          <w:sz w:val="24"/>
          <w:szCs w:val="24"/>
          <w:color w:val="auto"/>
        </w:rPr>
      </w:pPr>
      <w:r>
        <w:rPr>
          <w:sz w:val="24"/>
          <w:szCs w:val="24"/>
          <w:color w:val="auto"/>
        </w:rPr>
        <w:br w:type="column"/>
      </w:r>
    </w:p>
    <w:p>
      <w:pPr>
        <w:spacing w:after="0" w:line="362"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307" w:lineRule="exact"/>
        <w:rPr>
          <w:sz w:val="24"/>
          <w:szCs w:val="24"/>
          <w:color w:val="auto"/>
        </w:rPr>
      </w:pPr>
    </w:p>
    <w:p>
      <w:pPr>
        <w:sectPr>
          <w:pgSz w:w="11900" w:h="16838" w:orient="portrait"/>
          <w:cols w:equalWidth="0" w:num="3">
            <w:col w:w="5020" w:space="720"/>
            <w:col w:w="1980" w:space="80"/>
            <w:col w:w="3400"/>
          </w:cols>
          <w:pgMar w:left="320" w:top="225" w:right="379" w:bottom="1440" w:gutter="0" w:footer="0" w:header="0"/>
          <w:type w:val="continuous"/>
        </w:sectPr>
      </w:pPr>
    </w:p>
    <w:p>
      <w:pPr>
        <w:spacing w:after="0" w:line="5" w:lineRule="exact"/>
        <w:rPr>
          <w:sz w:val="24"/>
          <w:szCs w:val="24"/>
          <w:color w:val="auto"/>
        </w:rPr>
      </w:pPr>
    </w:p>
    <w:p>
      <w:pPr>
        <w:ind w:left="340" w:right="14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346" w:lineRule="exact"/>
        <w:rPr>
          <w:sz w:val="24"/>
          <w:szCs w:val="24"/>
          <w:color w:val="auto"/>
        </w:rPr>
      </w:pPr>
    </w:p>
    <w:p>
      <w:pPr>
        <w:ind w:left="340"/>
        <w:spacing w:after="0" w:line="207" w:lineRule="exact"/>
        <w:rPr>
          <w:sz w:val="20"/>
          <w:szCs w:val="20"/>
          <w:color w:val="auto"/>
        </w:rPr>
      </w:pPr>
      <w:r>
        <w:rPr>
          <w:rFonts w:ascii="Times New Roman" w:cs="Times New Roman" w:eastAsia="Times New Roman" w:hAnsi="Times New Roman"/>
          <w:sz w:val="18"/>
          <w:szCs w:val="18"/>
          <w:color w:val="auto"/>
        </w:rPr>
        <w:t xml:space="preserve">Exchange Act Rule 14d-l(d) (Cross-Border Third-Party Tender Offer)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223520</wp:posOffset>
            </wp:positionV>
            <wp:extent cx="7132320" cy="342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763270</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225" w:right="37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REGISTRATION OF ADDITIONAL SHARES PURSUANT TO GENERAL INSTRUCTION E</w:t>
      </w:r>
    </w:p>
    <w:p>
      <w:pPr>
        <w:spacing w:after="0" w:line="229" w:lineRule="exact"/>
        <w:rPr>
          <w:sz w:val="20"/>
          <w:szCs w:val="20"/>
          <w:color w:val="auto"/>
        </w:rPr>
      </w:pPr>
    </w:p>
    <w:p>
      <w:pPr>
        <w:ind w:right="20" w:firstLine="324"/>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Pursuant to General Instruction E of Form S-8, Iris Energy Limited (doing business as IREN) (the “Company”) is filing this Registration Statement with the Securities and Exchange Commission (the “Commission”) to register 3,000,000 additional common shares, no par value, under the 2023 Long-Term Incentive Plan. This Registration Statement hereby incorporates by reference the contents of the Company’s Registration Statement on Form S-8 filed with the Commission on June 30, 2023 (File No. </w:t>
      </w:r>
      <w:hyperlink r:id="rId14">
        <w:r>
          <w:rPr>
            <w:rFonts w:ascii="Times New Roman" w:cs="Times New Roman" w:eastAsia="Times New Roman" w:hAnsi="Times New Roman"/>
            <w:sz w:val="18"/>
            <w:szCs w:val="18"/>
            <w:u w:val="single" w:color="auto"/>
            <w:color w:val="0000EE"/>
          </w:rPr>
          <w:t>333-273071</w:t>
        </w:r>
      </w:hyperlink>
      <w:r>
        <w:rPr>
          <w:rFonts w:ascii="Times New Roman" w:cs="Times New Roman" w:eastAsia="Times New Roman" w:hAnsi="Times New Roman"/>
          <w:sz w:val="18"/>
          <w:szCs w:val="18"/>
          <w:color w:val="auto"/>
        </w:rPr>
        <w:t>). In accordance with the instructional note to Part I of Form S-8 as promulgated by the Commission, the information specified by Part I of the Form S-8 has been omitted from this Registration Statement.</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w:t>
      </w:r>
    </w:p>
    <w:p>
      <w:pPr>
        <w:spacing w:after="0" w:line="225" w:lineRule="exact"/>
        <w:rPr>
          <w:sz w:val="20"/>
          <w:szCs w:val="20"/>
          <w:color w:val="auto"/>
        </w:rPr>
      </w:pPr>
    </w:p>
    <w:p>
      <w:pPr>
        <w:ind w:left="2820"/>
        <w:spacing w:after="0"/>
        <w:rPr>
          <w:sz w:val="20"/>
          <w:szCs w:val="20"/>
          <w:color w:val="auto"/>
        </w:rPr>
      </w:pPr>
      <w:r>
        <w:rPr>
          <w:rFonts w:ascii="Times New Roman" w:cs="Times New Roman" w:eastAsia="Times New Roman" w:hAnsi="Times New Roman"/>
          <w:sz w:val="18"/>
          <w:szCs w:val="18"/>
          <w:b w:val="1"/>
          <w:bCs w:val="1"/>
          <w:color w:val="auto"/>
        </w:rPr>
        <w:t>INFORMATION REQUIRED IN THE REGISTRATION STATEMENT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Incorporation of Documents by Reference.</w:t>
      </w:r>
    </w:p>
    <w:p>
      <w:pPr>
        <w:spacing w:after="0" w:line="229" w:lineRule="exact"/>
        <w:rPr>
          <w:sz w:val="20"/>
          <w:szCs w:val="20"/>
          <w:color w:val="auto"/>
        </w:rPr>
      </w:pPr>
    </w:p>
    <w:p>
      <w:pPr>
        <w:jc w:val="both"/>
        <w:ind w:right="220" w:firstLine="324"/>
        <w:spacing w:after="0" w:line="282" w:lineRule="auto"/>
        <w:rPr>
          <w:sz w:val="20"/>
          <w:szCs w:val="20"/>
          <w:color w:val="auto"/>
        </w:rPr>
      </w:pPr>
      <w:r>
        <w:rPr>
          <w:rFonts w:ascii="Times New Roman" w:cs="Times New Roman" w:eastAsia="Times New Roman" w:hAnsi="Times New Roman"/>
          <w:sz w:val="18"/>
          <w:szCs w:val="18"/>
          <w:color w:val="auto"/>
        </w:rPr>
        <w:t>The following documents filed or to be filed (other than portions of those documents furnished or otherwise not deemed filed) by the Company with the Securities and Exchange Commission (the "Commission") are incorporated into this Registration Statement by reference, as of their respective dates:</w:t>
      </w:r>
    </w:p>
    <w:p>
      <w:pPr>
        <w:spacing w:after="0" w:line="162" w:lineRule="exact"/>
        <w:rPr>
          <w:sz w:val="20"/>
          <w:szCs w:val="20"/>
          <w:color w:val="auto"/>
        </w:rPr>
      </w:pPr>
    </w:p>
    <w:p>
      <w:pPr>
        <w:ind w:right="20" w:firstLine="332"/>
        <w:spacing w:after="0" w:line="282" w:lineRule="auto"/>
        <w:tabs>
          <w:tab w:leader="none" w:pos="845" w:val="left"/>
        </w:tabs>
        <w:numPr>
          <w:ilvl w:val="0"/>
          <w:numId w:val="1"/>
        </w:numPr>
        <w:rPr>
          <w:rFonts w:ascii="Times New Roman" w:cs="Times New Roman" w:eastAsia="Times New Roman" w:hAnsi="Times New Roman"/>
          <w:sz w:val="18"/>
          <w:szCs w:val="18"/>
          <w:color w:val="0000EE"/>
        </w:rPr>
      </w:pPr>
      <w:hyperlink r:id="rId15">
        <w:r>
          <w:rPr>
            <w:rFonts w:ascii="Times New Roman" w:cs="Times New Roman" w:eastAsia="Times New Roman" w:hAnsi="Times New Roman"/>
            <w:sz w:val="18"/>
            <w:szCs w:val="18"/>
            <w:color w:val="auto"/>
          </w:rPr>
          <w:t xml:space="preserve">The Company’s annual report on Form 20-F for the year ended June 30, 2023, filed with the Commission on September 13, 2023 (File No. </w:t>
        </w:r>
        <w:r>
          <w:rPr>
            <w:rFonts w:ascii="Times New Roman" w:cs="Times New Roman" w:eastAsia="Times New Roman" w:hAnsi="Times New Roman"/>
            <w:sz w:val="18"/>
            <w:szCs w:val="18"/>
            <w:u w:val="single" w:color="auto"/>
            <w:color w:val="0000EE"/>
          </w:rPr>
          <w:t>001-</w:t>
        </w:r>
      </w:hyperlink>
      <w:hyperlink r:id="rId15">
        <w:r>
          <w:rPr>
            <w:rFonts w:ascii="Times New Roman" w:cs="Times New Roman" w:eastAsia="Times New Roman" w:hAnsi="Times New Roman"/>
            <w:sz w:val="18"/>
            <w:szCs w:val="18"/>
            <w:u w:val="single" w:color="auto"/>
            <w:color w:val="0000EE"/>
          </w:rPr>
          <w:t>41072</w:t>
        </w:r>
        <w:r>
          <w:rPr>
            <w:rFonts w:ascii="Times New Roman" w:cs="Times New Roman" w:eastAsia="Times New Roman" w:hAnsi="Times New Roman"/>
            <w:sz w:val="18"/>
            <w:szCs w:val="18"/>
            <w:color w:val="000000"/>
          </w:rPr>
          <w:t>), which contains the Company’s audited financial statements for the latest fiscal year for which such statements have been filed;</w:t>
        </w:r>
      </w:hyperlink>
    </w:p>
    <w:p>
      <w:pPr>
        <w:spacing w:after="0" w:line="161" w:lineRule="exact"/>
        <w:rPr>
          <w:rFonts w:ascii="Times New Roman" w:cs="Times New Roman" w:eastAsia="Times New Roman" w:hAnsi="Times New Roman"/>
          <w:sz w:val="18"/>
          <w:szCs w:val="18"/>
          <w:color w:val="0000EE"/>
        </w:rPr>
      </w:pPr>
    </w:p>
    <w:p>
      <w:pPr>
        <w:ind w:firstLine="332"/>
        <w:spacing w:after="0" w:line="253" w:lineRule="auto"/>
        <w:tabs>
          <w:tab w:leader="none" w:pos="845" w:val="left"/>
        </w:tabs>
        <w:numPr>
          <w:ilvl w:val="0"/>
          <w:numId w:val="1"/>
        </w:numPr>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auto"/>
        </w:rPr>
        <w:t xml:space="preserve">The Company’s report on Form 6-K furnished to the Commission on July 18, 2023 (but excluding Exhibit 99.1 thereto) (File No. </w:t>
      </w:r>
      <w:hyperlink r:id="rId16">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auto"/>
        </w:rPr>
        <w:t xml:space="preserve">), the Company’s report on Form 6-K furnished to the Commission on August 11, 2023 (but excluding Exhibit 99.1 thereto) (File No. </w:t>
      </w:r>
      <w:hyperlink r:id="rId17">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auto"/>
        </w:rPr>
        <w:t xml:space="preserve">), the Company’s report on Form 6-K furnished to the Commission on August 29, 2023 (but excluding Exhibit 99.1 thereto) (File No. </w:t>
      </w:r>
      <w:hyperlink r:id="rId18">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auto"/>
        </w:rPr>
        <w:t xml:space="preserve">), the Company’s report on Form 6-K furnished to the Commission on October 6, 2023 (but excluding Exhibit 99.1 thereto) (File No. </w:t>
      </w:r>
      <w:hyperlink r:id="rId19">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auto"/>
        </w:rPr>
        <w:t xml:space="preserve">), the Company’s report on Form 6-K furnished to the Commission on October 20, 2023 (only with respect to the second Report on Form 6-K filed on such date) (File No. </w:t>
      </w:r>
      <w:hyperlink r:id="rId20">
        <w:r>
          <w:rPr>
            <w:rFonts w:ascii="Times New Roman" w:cs="Times New Roman" w:eastAsia="Times New Roman" w:hAnsi="Times New Roman"/>
            <w:sz w:val="18"/>
            <w:szCs w:val="18"/>
            <w:u w:val="single" w:color="auto"/>
            <w:color w:val="0000EE"/>
          </w:rPr>
          <w:t>001-41072</w:t>
        </w:r>
        <w:r>
          <w:rPr>
            <w:rFonts w:ascii="Times New Roman" w:cs="Times New Roman" w:eastAsia="Times New Roman" w:hAnsi="Times New Roman"/>
            <w:sz w:val="18"/>
            <w:szCs w:val="18"/>
            <w:color w:val="000000"/>
          </w:rPr>
          <w:t>), the Company’s report on Form 6-K furnished to the Commission on November 30, 2023 (but excluding Exhibit 99.1 thereto) (File No.</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u w:val="single" w:color="auto"/>
            <w:color w:val="0000EE"/>
          </w:rPr>
          <w:t>001-</w:t>
        </w:r>
      </w:hyperlink>
      <w:hyperlink r:id="rId20">
        <w:r>
          <w:rPr>
            <w:rFonts w:ascii="Times New Roman" w:cs="Times New Roman" w:eastAsia="Times New Roman" w:hAnsi="Times New Roman"/>
            <w:sz w:val="18"/>
            <w:szCs w:val="18"/>
            <w:u w:val="single" w:color="auto"/>
            <w:color w:val="0000EE"/>
          </w:rPr>
          <w:t>41072</w:t>
        </w:r>
        <w:r>
          <w:rPr>
            <w:rFonts w:ascii="Times New Roman" w:cs="Times New Roman" w:eastAsia="Times New Roman" w:hAnsi="Times New Roman"/>
            <w:sz w:val="18"/>
            <w:szCs w:val="18"/>
            <w:color w:val="000000"/>
          </w:rPr>
          <w:t>), the Company’s report on Form 6-K furnished to the Commission on December 7, 2023 (File No.</w:t>
        </w:r>
        <w:r>
          <w:rPr>
            <w:rFonts w:ascii="Times New Roman" w:cs="Times New Roman" w:eastAsia="Times New Roman" w:hAnsi="Times New Roman"/>
            <w:sz w:val="18"/>
            <w:szCs w:val="18"/>
            <w:color w:val="0000EE"/>
          </w:rPr>
          <w:t xml:space="preserve"> </w:t>
        </w:r>
      </w:hyperlink>
      <w:hyperlink r:id="rId21">
        <w:r>
          <w:rPr>
            <w:rFonts w:ascii="Times New Roman" w:cs="Times New Roman" w:eastAsia="Times New Roman" w:hAnsi="Times New Roman"/>
            <w:sz w:val="18"/>
            <w:szCs w:val="18"/>
            <w:u w:val="single" w:color="auto"/>
            <w:color w:val="0000EE"/>
          </w:rPr>
          <w:t>001-41072</w:t>
        </w:r>
      </w:hyperlink>
      <w:hyperlink r:id="rId20">
        <w:r>
          <w:rPr>
            <w:rFonts w:ascii="Times New Roman" w:cs="Times New Roman" w:eastAsia="Times New Roman" w:hAnsi="Times New Roman"/>
            <w:sz w:val="18"/>
            <w:szCs w:val="18"/>
            <w:color w:val="000000"/>
          </w:rPr>
          <w:t>), the Company’s report on Form 6-</w:t>
        </w:r>
      </w:hyperlink>
      <w:r>
        <w:rPr>
          <w:rFonts w:ascii="Times New Roman" w:cs="Times New Roman" w:eastAsia="Times New Roman" w:hAnsi="Times New Roman"/>
          <w:sz w:val="18"/>
          <w:szCs w:val="18"/>
          <w:color w:val="0000EE"/>
        </w:rPr>
        <w:t xml:space="preserve">K </w:t>
      </w:r>
      <w:r>
        <w:rPr>
          <w:rFonts w:ascii="Times New Roman" w:cs="Times New Roman" w:eastAsia="Times New Roman" w:hAnsi="Times New Roman"/>
          <w:sz w:val="18"/>
          <w:szCs w:val="18"/>
          <w:color w:val="000000"/>
        </w:rPr>
        <w:t xml:space="preserve">furnished to the Commission on December 15, 2023 (but excluding Exhibit 99.1 thereto) (File No. </w:t>
      </w:r>
      <w:hyperlink r:id="rId22">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000000"/>
        </w:rPr>
        <w:t xml:space="preserve">), the Company’s report on Form 6-K furnished to the Commission on January 16, 2024 (but excluding Exhibit 99.1 thereto) (File No. </w:t>
      </w:r>
      <w:hyperlink r:id="rId23">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000000"/>
        </w:rPr>
        <w:t xml:space="preserve">), the Company’s report on Form 6-K furnished to the Commission on February 14, 2024 (but excluding Exhibit 99.1 thereto) (File No. </w:t>
      </w:r>
      <w:hyperlink r:id="rId24">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000000"/>
        </w:rPr>
        <w:t xml:space="preserve">), the Company’s report on Form 6-K furnished to the Commission on February 15, 2024 (but excluding Exhibits 99.1 and 99.2 thereto) (File No. </w:t>
      </w:r>
      <w:hyperlink r:id="rId25">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000000"/>
        </w:rPr>
        <w:t xml:space="preserve">), the Company’s report on Form 6-K furnished to the Commission on March 21, 2024 (File No. </w:t>
      </w:r>
      <w:hyperlink r:id="rId26">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000000"/>
        </w:rPr>
        <w:t xml:space="preserve">) and the Company’s report on Form 6-K furnished to the Commission on May 15, 2024 (but excluding Exhibits 99.1, 99.2 and 99.5 thereto) (File No. </w:t>
      </w:r>
      <w:hyperlink r:id="rId27">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000000"/>
        </w:rPr>
        <w:t>); and</w:t>
      </w:r>
    </w:p>
    <w:p>
      <w:pPr>
        <w:spacing w:after="0" w:line="187" w:lineRule="exact"/>
        <w:rPr>
          <w:rFonts w:ascii="Times New Roman" w:cs="Times New Roman" w:eastAsia="Times New Roman" w:hAnsi="Times New Roman"/>
          <w:sz w:val="18"/>
          <w:szCs w:val="18"/>
          <w:color w:val="000000"/>
        </w:rPr>
      </w:pPr>
    </w:p>
    <w:p>
      <w:pPr>
        <w:ind w:right="120" w:firstLine="332"/>
        <w:spacing w:after="0" w:line="266" w:lineRule="auto"/>
        <w:tabs>
          <w:tab w:leader="none" w:pos="84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the Company's share capital contained in the Company's Registration Statement on Form 8-A dated November 16, 2021 (File No. </w:t>
      </w:r>
      <w:hyperlink r:id="rId28">
        <w:r>
          <w:rPr>
            <w:rFonts w:ascii="Times New Roman" w:cs="Times New Roman" w:eastAsia="Times New Roman" w:hAnsi="Times New Roman"/>
            <w:sz w:val="18"/>
            <w:szCs w:val="18"/>
            <w:u w:val="single" w:color="auto"/>
            <w:color w:val="0000EE"/>
          </w:rPr>
          <w:t>001-41072</w:t>
        </w:r>
      </w:hyperlink>
      <w:r>
        <w:rPr>
          <w:rFonts w:ascii="Times New Roman" w:cs="Times New Roman" w:eastAsia="Times New Roman" w:hAnsi="Times New Roman"/>
          <w:sz w:val="18"/>
          <w:szCs w:val="18"/>
          <w:color w:val="auto"/>
        </w:rPr>
        <w:t>) filed under the Securities Exchange Act of 1934, as amended (the “Exchange Act”), including any amendment or report filed for the purpose of updating such description.</w:t>
      </w:r>
    </w:p>
    <w:p>
      <w:pPr>
        <w:spacing w:after="0" w:line="176" w:lineRule="exact"/>
        <w:rPr>
          <w:rFonts w:ascii="Times New Roman" w:cs="Times New Roman" w:eastAsia="Times New Roman" w:hAnsi="Times New Roman"/>
          <w:sz w:val="18"/>
          <w:szCs w:val="18"/>
          <w:color w:val="000000"/>
        </w:rPr>
      </w:pPr>
    </w:p>
    <w:p>
      <w:pPr>
        <w:ind w:firstLine="324"/>
        <w:spacing w:after="0" w:line="256" w:lineRule="auto"/>
        <w:rPr>
          <w:sz w:val="20"/>
          <w:szCs w:val="20"/>
          <w:color w:val="auto"/>
        </w:rPr>
      </w:pPr>
      <w:r>
        <w:rPr>
          <w:rFonts w:ascii="Times New Roman" w:cs="Times New Roman" w:eastAsia="Times New Roman" w:hAnsi="Times New Roman"/>
          <w:sz w:val="18"/>
          <w:szCs w:val="18"/>
          <w:color w:val="auto"/>
        </w:rPr>
        <w:t>All documents subsequently filed by the Company pursuant to Sections 13(a), 13(c), 14 and 15(d) of the Exchange Act subsequent to the date of this Registration Statement and prior to the filing of a post-effective amendment to this Registration Statement which indicates that all securities then remaining unsold shall be deregistered, including any reports of foreign private issuers on Form 6-K submitted during such period (or portion thereof) that is identified in such form as being incorporated by reference into this Registration Statement, shall be deemed to be incorporated by reference in this Registration Statement and to be a part hereof from the date of the filing of such documents. The Company is not incorporating by reference any documents or portions thereof, whether specifically listed above or filed in the future, that are not deemed “filed” with the Commission.</w:t>
      </w:r>
    </w:p>
    <w:p>
      <w:pPr>
        <w:spacing w:after="0" w:line="20" w:lineRule="exact"/>
        <w:rPr>
          <w:rFonts w:ascii="Times New Roman" w:cs="Times New Roman" w:eastAsia="Times New Roman" w:hAnsi="Times New Roman"/>
          <w:sz w:val="18"/>
          <w:szCs w:val="18"/>
          <w:color w:val="000000"/>
        </w:rPr>
      </w:pPr>
      <w:r>
        <w:rPr>
          <w:rFonts w:ascii="Times New Roman" w:cs="Times New Roman" w:eastAsia="Times New Roman" w:hAnsi="Times New Roman"/>
          <w:sz w:val="18"/>
          <w:szCs w:val="18"/>
          <w:color w:val="000000"/>
        </w:rPr>
        <w:drawing>
          <wp:anchor simplePos="0" relativeHeight="251657728" behindDoc="1" locked="0" layoutInCell="0" allowOverlap="1">
            <wp:simplePos x="0" y="0"/>
            <wp:positionH relativeFrom="column">
              <wp:posOffset>5080</wp:posOffset>
            </wp:positionH>
            <wp:positionV relativeFrom="paragraph">
              <wp:posOffset>353695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576" w:right="339" w:bottom="1440" w:gutter="0" w:footer="0" w:header="0"/>
        </w:sectPr>
      </w:pPr>
    </w:p>
    <w:bookmarkStart w:id="2" w:name="page3"/>
    <w:bookmarkEnd w:id="2"/>
    <w:p>
      <w:pPr>
        <w:ind w:firstLine="324"/>
        <w:spacing w:after="0" w:line="261" w:lineRule="auto"/>
        <w:rPr>
          <w:sz w:val="20"/>
          <w:szCs w:val="20"/>
          <w:color w:val="auto"/>
        </w:rPr>
      </w:pPr>
      <w:r>
        <w:rPr>
          <w:rFonts w:ascii="Times New Roman" w:cs="Times New Roman" w:eastAsia="Times New Roman" w:hAnsi="Times New Roman"/>
          <w:sz w:val="18"/>
          <w:szCs w:val="18"/>
          <w:color w:val="auto"/>
        </w:rPr>
        <w:t>For purposes of this Registration Statement and the related prospectus, any statement contained in a document incorporated or deemed to be incorporated by reference shall be deemed to be modified or superseded to the extent that a statement contained herein or in a subsequently filed document which also is or is deemed to be incorporated herein by reference modifies or replaces such statement. Any statement so modified shall not be deemed in its unmodified form to constitute part of this Registration Statement or the related prospectus.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 Exhibits.</w:t>
      </w:r>
    </w:p>
    <w:p>
      <w:pPr>
        <w:spacing w:after="0" w:line="22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documents are filed as exhibits to this Registration Statement:</w:t>
      </w:r>
    </w:p>
    <w:p>
      <w:pPr>
        <w:spacing w:after="0" w:line="289" w:lineRule="exact"/>
        <w:rPr>
          <w:sz w:val="20"/>
          <w:szCs w:val="20"/>
          <w:color w:val="auto"/>
        </w:rPr>
      </w:pPr>
    </w:p>
    <w:tbl>
      <w:tblPr>
        <w:tblLayout w:type="fixed"/>
        <w:tblInd w:w="80" w:type="dxa"/>
        <w:tblCellMar>
          <w:top w:w="0" w:type="dxa"/>
          <w:left w:w="0" w:type="dxa"/>
          <w:bottom w:w="0" w:type="dxa"/>
          <w:right w:w="0" w:type="dxa"/>
        </w:tblCellMar>
      </w:tblPr>
      <w:tr>
        <w:trPr>
          <w:trHeight w:val="216"/>
        </w:trPr>
        <w:tc>
          <w:tcPr>
            <w:tcW w:w="1580" w:type="dxa"/>
            <w:vAlign w:val="bottom"/>
          </w:tcPr>
          <w:p>
            <w:pPr>
              <w:ind w:left="44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1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8"/>
        </w:trPr>
        <w:tc>
          <w:tcPr>
            <w:tcW w:w="1580" w:type="dxa"/>
            <w:vAlign w:val="bottom"/>
          </w:tcPr>
          <w:p>
            <w:pPr>
              <w:ind w:left="400"/>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740" w:type="dxa"/>
            <w:vAlign w:val="bottom"/>
            <w:gridSpan w:val="6"/>
          </w:tcPr>
          <w:p>
            <w:pPr>
              <w:ind w:left="20"/>
              <w:spacing w:after="0"/>
              <w:rPr>
                <w:sz w:val="20"/>
                <w:szCs w:val="20"/>
                <w:color w:val="auto"/>
              </w:rPr>
            </w:pPr>
            <w:r>
              <w:rPr>
                <w:rFonts w:ascii="Times New Roman" w:cs="Times New Roman" w:eastAsia="Times New Roman" w:hAnsi="Times New Roman"/>
                <w:sz w:val="18"/>
                <w:szCs w:val="18"/>
                <w:b w:val="1"/>
                <w:bCs w:val="1"/>
                <w:color w:val="auto"/>
              </w:rPr>
              <w:t>Exhibit Index</w:t>
            </w:r>
          </w:p>
        </w:tc>
      </w:tr>
      <w:tr>
        <w:trPr>
          <w:trHeight w:val="333"/>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4.1</w:t>
            </w:r>
          </w:p>
        </w:tc>
        <w:tc>
          <w:tcPr>
            <w:tcW w:w="8940" w:type="dxa"/>
            <w:vAlign w:val="bottom"/>
            <w:gridSpan w:val="9"/>
          </w:tcPr>
          <w:p>
            <w:pPr>
              <w:spacing w:after="0"/>
              <w:rPr>
                <w:sz w:val="20"/>
                <w:szCs w:val="20"/>
                <w:color w:val="auto"/>
              </w:rPr>
            </w:pPr>
            <w:r>
              <w:rPr>
                <w:rFonts w:ascii="Times New Roman" w:cs="Times New Roman" w:eastAsia="Times New Roman" w:hAnsi="Times New Roman"/>
                <w:sz w:val="18"/>
                <w:szCs w:val="18"/>
                <w:color w:val="auto"/>
                <w:w w:val="99"/>
              </w:rPr>
              <w:t>Constitution of the Registrant, as currently in effect (incorporated by reference to Exhibit 4.1 of the Company’s Registration</w:t>
            </w:r>
          </w:p>
        </w:tc>
      </w:tr>
      <w:tr>
        <w:trPr>
          <w:trHeight w:val="194"/>
        </w:trPr>
        <w:tc>
          <w:tcPr>
            <w:tcW w:w="1580" w:type="dxa"/>
            <w:vAlign w:val="bottom"/>
          </w:tcPr>
          <w:p>
            <w:pPr>
              <w:spacing w:after="0"/>
              <w:rPr>
                <w:sz w:val="16"/>
                <w:szCs w:val="16"/>
                <w:color w:val="auto"/>
              </w:rPr>
            </w:pPr>
          </w:p>
        </w:tc>
        <w:tc>
          <w:tcPr>
            <w:tcW w:w="8940" w:type="dxa"/>
            <w:vAlign w:val="bottom"/>
            <w:gridSpan w:val="9"/>
          </w:tcPr>
          <w:p>
            <w:pPr>
              <w:spacing w:after="0" w:line="194"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Statement on Form S-8, filed with the Securities and Exchange Commission on November 24, 2021 (File No. </w:t>
            </w:r>
            <w:hyperlink r:id="rId30">
              <w:r>
                <w:rPr>
                  <w:rFonts w:ascii="Times New Roman" w:cs="Times New Roman" w:eastAsia="Times New Roman" w:hAnsi="Times New Roman"/>
                  <w:sz w:val="18"/>
                  <w:szCs w:val="18"/>
                  <w:color w:val="0000EE"/>
                </w:rPr>
                <w:t>333-261320</w:t>
              </w:r>
            </w:hyperlink>
            <w:r>
              <w:rPr>
                <w:rFonts w:ascii="Times New Roman" w:cs="Times New Roman" w:eastAsia="Times New Roman" w:hAnsi="Times New Roman"/>
                <w:sz w:val="18"/>
                <w:szCs w:val="18"/>
                <w:color w:val="auto"/>
              </w:rPr>
              <w:t>).</w:t>
            </w:r>
          </w:p>
        </w:tc>
      </w:tr>
      <w:tr>
        <w:trPr>
          <w:trHeight w:val="33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5.1*</w:t>
            </w:r>
          </w:p>
        </w:tc>
        <w:tc>
          <w:tcPr>
            <w:tcW w:w="238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Opinion of Clifford Chance LLP.</w:t>
            </w:r>
          </w:p>
        </w:tc>
        <w:tc>
          <w:tcPr>
            <w:tcW w:w="5560" w:type="dxa"/>
            <w:vAlign w:val="bottom"/>
            <w:gridSpan w:val="5"/>
          </w:tcPr>
          <w:p>
            <w:pPr>
              <w:spacing w:after="0"/>
              <w:rPr>
                <w:sz w:val="24"/>
                <w:szCs w:val="24"/>
                <w:color w:val="auto"/>
              </w:rPr>
            </w:pPr>
          </w:p>
        </w:tc>
        <w:tc>
          <w:tcPr>
            <w:tcW w:w="860" w:type="dxa"/>
            <w:vAlign w:val="bottom"/>
            <w:tcBorders>
              <w:top w:val="single" w:sz="8" w:color="0000EE"/>
            </w:tcBorders>
          </w:tcPr>
          <w:p>
            <w:pPr>
              <w:spacing w:after="0"/>
              <w:rPr>
                <w:sz w:val="24"/>
                <w:szCs w:val="24"/>
                <w:color w:val="auto"/>
              </w:rPr>
            </w:pPr>
          </w:p>
        </w:tc>
        <w:tc>
          <w:tcPr>
            <w:tcW w:w="140" w:type="dxa"/>
            <w:vAlign w:val="bottom"/>
          </w:tcPr>
          <w:p>
            <w:pPr>
              <w:spacing w:after="0"/>
              <w:rPr>
                <w:sz w:val="24"/>
                <w:szCs w:val="24"/>
                <w:color w:val="auto"/>
              </w:rPr>
            </w:pPr>
          </w:p>
        </w:tc>
      </w:tr>
      <w:tr>
        <w:trPr>
          <w:trHeight w:val="33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23.1*</w:t>
            </w:r>
          </w:p>
        </w:tc>
        <w:tc>
          <w:tcPr>
            <w:tcW w:w="536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Consent of Armanino LLP, independent registered public accounting firm.</w:t>
            </w:r>
          </w:p>
        </w:tc>
        <w:tc>
          <w:tcPr>
            <w:tcW w:w="3580" w:type="dxa"/>
            <w:vAlign w:val="bottom"/>
            <w:gridSpan w:val="4"/>
          </w:tcPr>
          <w:p>
            <w:pPr>
              <w:spacing w:after="0"/>
              <w:rPr>
                <w:sz w:val="24"/>
                <w:szCs w:val="24"/>
                <w:color w:val="auto"/>
              </w:rPr>
            </w:pPr>
          </w:p>
        </w:tc>
      </w:tr>
      <w:tr>
        <w:trPr>
          <w:trHeight w:val="33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23.2*</w:t>
            </w:r>
          </w:p>
        </w:tc>
        <w:tc>
          <w:tcPr>
            <w:tcW w:w="8940" w:type="dxa"/>
            <w:vAlign w:val="bottom"/>
            <w:gridSpan w:val="9"/>
          </w:tcPr>
          <w:p>
            <w:pPr>
              <w:spacing w:after="0"/>
              <w:rPr>
                <w:sz w:val="20"/>
                <w:szCs w:val="20"/>
                <w:color w:val="auto"/>
              </w:rPr>
            </w:pPr>
            <w:r>
              <w:rPr>
                <w:rFonts w:ascii="Times New Roman" w:cs="Times New Roman" w:eastAsia="Times New Roman" w:hAnsi="Times New Roman"/>
                <w:sz w:val="18"/>
                <w:szCs w:val="18"/>
                <w:color w:val="0000EE"/>
              </w:rPr>
              <w:t>Consent of Raymond Chabot Grant Thornton LLP., independent registered public accounting firm.</w:t>
            </w:r>
          </w:p>
        </w:tc>
      </w:tr>
      <w:tr>
        <w:trPr>
          <w:trHeight w:val="33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23.3*</w:t>
            </w:r>
          </w:p>
        </w:tc>
        <w:tc>
          <w:tcPr>
            <w:tcW w:w="710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rPr>
              <w:t>Consent of Clifford Chance LLP (included in Exhibit 5.1).</w:t>
            </w:r>
          </w:p>
        </w:tc>
        <w:tc>
          <w:tcPr>
            <w:tcW w:w="1840" w:type="dxa"/>
            <w:vAlign w:val="bottom"/>
            <w:gridSpan w:val="3"/>
          </w:tcPr>
          <w:p>
            <w:pPr>
              <w:spacing w:after="0"/>
              <w:rPr>
                <w:sz w:val="24"/>
                <w:szCs w:val="24"/>
                <w:color w:val="auto"/>
              </w:rPr>
            </w:pPr>
          </w:p>
        </w:tc>
      </w:tr>
      <w:tr>
        <w:trPr>
          <w:trHeight w:val="20"/>
        </w:trPr>
        <w:tc>
          <w:tcPr>
            <w:tcW w:w="1580" w:type="dxa"/>
            <w:vAlign w:val="bottom"/>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302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700" w:type="dxa"/>
            <w:vAlign w:val="bottom"/>
            <w:gridSpan w:val="5"/>
          </w:tcPr>
          <w:p>
            <w:pPr>
              <w:spacing w:after="0" w:line="20" w:lineRule="exact"/>
              <w:rPr>
                <w:sz w:val="1"/>
                <w:szCs w:val="1"/>
                <w:color w:val="auto"/>
              </w:rPr>
            </w:pPr>
          </w:p>
        </w:tc>
      </w:tr>
      <w:tr>
        <w:trPr>
          <w:trHeight w:val="33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24.1*</w:t>
            </w:r>
          </w:p>
        </w:tc>
        <w:tc>
          <w:tcPr>
            <w:tcW w:w="4240" w:type="dxa"/>
            <w:vAlign w:val="bottom"/>
            <w:tcBorders>
              <w:bottom w:val="single" w:sz="8" w:color="0000EE"/>
            </w:tcBorders>
            <w:gridSpan w:val="4"/>
          </w:tcPr>
          <w:p>
            <w:pPr>
              <w:spacing w:after="0"/>
              <w:rPr>
                <w:sz w:val="20"/>
                <w:szCs w:val="20"/>
                <w:color w:val="auto"/>
              </w:rPr>
            </w:pPr>
            <w:r>
              <w:rPr>
                <w:rFonts w:ascii="Times New Roman" w:cs="Times New Roman" w:eastAsia="Times New Roman" w:hAnsi="Times New Roman"/>
                <w:sz w:val="18"/>
                <w:szCs w:val="18"/>
                <w:color w:val="0000EE"/>
                <w:w w:val="99"/>
              </w:rPr>
              <w:t>Power of Attorney (included on the signature page hereto).</w:t>
            </w:r>
          </w:p>
        </w:tc>
        <w:tc>
          <w:tcPr>
            <w:tcW w:w="4700" w:type="dxa"/>
            <w:vAlign w:val="bottom"/>
            <w:gridSpan w:val="5"/>
          </w:tcPr>
          <w:p>
            <w:pPr>
              <w:spacing w:after="0"/>
              <w:rPr>
                <w:sz w:val="24"/>
                <w:szCs w:val="24"/>
                <w:color w:val="auto"/>
              </w:rPr>
            </w:pPr>
          </w:p>
        </w:tc>
      </w:tr>
      <w:tr>
        <w:trPr>
          <w:trHeight w:val="331"/>
        </w:trPr>
        <w:tc>
          <w:tcPr>
            <w:tcW w:w="1580" w:type="dxa"/>
            <w:vAlign w:val="bottom"/>
          </w:tcPr>
          <w:p>
            <w:pPr>
              <w:spacing w:after="0"/>
              <w:rPr>
                <w:sz w:val="20"/>
                <w:szCs w:val="20"/>
                <w:color w:val="auto"/>
              </w:rPr>
            </w:pPr>
            <w:r>
              <w:rPr>
                <w:rFonts w:ascii="Times New Roman" w:cs="Times New Roman" w:eastAsia="Times New Roman" w:hAnsi="Times New Roman"/>
                <w:sz w:val="18"/>
                <w:szCs w:val="18"/>
                <w:color w:val="auto"/>
              </w:rPr>
              <w:t>107.1*</w:t>
            </w:r>
          </w:p>
        </w:tc>
        <w:tc>
          <w:tcPr>
            <w:tcW w:w="1180" w:type="dxa"/>
            <w:vAlign w:val="bottom"/>
            <w:tcBorders>
              <w:bottom w:val="single" w:sz="8" w:color="0000EE"/>
            </w:tcBorders>
          </w:tcPr>
          <w:p>
            <w:pPr>
              <w:spacing w:after="0"/>
              <w:rPr>
                <w:sz w:val="20"/>
                <w:szCs w:val="20"/>
                <w:color w:val="auto"/>
              </w:rPr>
            </w:pPr>
            <w:r>
              <w:rPr>
                <w:rFonts w:ascii="Times New Roman" w:cs="Times New Roman" w:eastAsia="Times New Roman" w:hAnsi="Times New Roman"/>
                <w:sz w:val="18"/>
                <w:szCs w:val="18"/>
                <w:color w:val="0000EE"/>
                <w:w w:val="97"/>
              </w:rPr>
              <w:t>Filing Fee Table</w:t>
            </w:r>
          </w:p>
        </w:tc>
        <w:tc>
          <w:tcPr>
            <w:tcW w:w="7760" w:type="dxa"/>
            <w:vAlign w:val="bottom"/>
            <w:gridSpan w:val="8"/>
          </w:tcPr>
          <w:p>
            <w:pPr>
              <w:spacing w:after="0"/>
              <w:rPr>
                <w:sz w:val="24"/>
                <w:szCs w:val="24"/>
                <w:color w:val="auto"/>
              </w:rPr>
            </w:pPr>
          </w:p>
        </w:tc>
      </w:tr>
    </w:tbl>
    <w:p>
      <w:pPr>
        <w:spacing w:after="0" w:line="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640080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580" w:right="359" w:bottom="1440" w:gutter="0" w:footer="0" w:header="0"/>
        </w:sectPr>
      </w:pPr>
    </w:p>
    <w:bookmarkStart w:id="3" w:name="page4"/>
    <w:bookmarkEnd w:id="3"/>
    <w:p>
      <w:pPr>
        <w:jc w:val="center"/>
        <w:ind w:right="-5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324"/>
        <w:spacing w:after="0" w:line="270" w:lineRule="auto"/>
        <w:rPr>
          <w:sz w:val="20"/>
          <w:szCs w:val="20"/>
          <w:color w:val="auto"/>
        </w:rPr>
      </w:pPr>
      <w:r>
        <w:rPr>
          <w:rFonts w:ascii="Times New Roman" w:cs="Times New Roman" w:eastAsia="Times New Roman" w:hAnsi="Times New Roman"/>
          <w:sz w:val="18"/>
          <w:szCs w:val="18"/>
          <w:color w:val="auto"/>
        </w:rPr>
        <w:t xml:space="preserve">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Sydney, Australia, on </w:t>
      </w:r>
      <w:r>
        <w:rPr>
          <w:rFonts w:ascii="Times New Roman" w:cs="Times New Roman" w:eastAsia="Times New Roman" w:hAnsi="Times New Roman"/>
          <w:sz w:val="19"/>
          <w:szCs w:val="19"/>
          <w:color w:val="auto"/>
        </w:rPr>
        <w:t>June 27</w:t>
      </w:r>
      <w:r>
        <w:rPr>
          <w:rFonts w:ascii="Times New Roman" w:cs="Times New Roman" w:eastAsia="Times New Roman" w:hAnsi="Times New Roman"/>
          <w:sz w:val="18"/>
          <w:szCs w:val="18"/>
          <w:color w:val="auto"/>
        </w:rPr>
        <w:t>, 2024.</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b w:val="1"/>
          <w:bCs w:val="1"/>
          <w:color w:val="auto"/>
        </w:rPr>
        <w:t>IRIS ENERGY LIMITED</w:t>
      </w:r>
    </w:p>
    <w:p>
      <w:pPr>
        <w:spacing w:after="0" w:line="200" w:lineRule="exact"/>
        <w:rPr>
          <w:sz w:val="20"/>
          <w:szCs w:val="20"/>
          <w:color w:val="auto"/>
        </w:rPr>
      </w:pPr>
    </w:p>
    <w:p>
      <w:pPr>
        <w:spacing w:after="0" w:line="245" w:lineRule="exact"/>
        <w:rPr>
          <w:sz w:val="20"/>
          <w:szCs w:val="20"/>
          <w:color w:val="auto"/>
        </w:rPr>
      </w:pPr>
    </w:p>
    <w:p>
      <w:pPr>
        <w:ind w:left="678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Daniel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2">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Daniel Roberts</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00" w:lineRule="exact"/>
        <w:rPr>
          <w:sz w:val="20"/>
          <w:szCs w:val="20"/>
          <w:color w:val="auto"/>
        </w:rPr>
      </w:pPr>
    </w:p>
    <w:p>
      <w:pPr>
        <w:spacing w:after="0" w:line="223" w:lineRule="exact"/>
        <w:rPr>
          <w:sz w:val="20"/>
          <w:szCs w:val="20"/>
          <w:color w:val="auto"/>
        </w:rPr>
      </w:pPr>
    </w:p>
    <w:p>
      <w:pPr>
        <w:ind w:left="678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William Roberts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4651375</wp:posOffset>
            </wp:positionH>
            <wp:positionV relativeFrom="paragraph">
              <wp:posOffset>17145</wp:posOffset>
            </wp:positionV>
            <wp:extent cx="2486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3">
                      <a:extLst>
                        <a:ext uri="{28A0092B-C50C-407E-A947-70E740481C1C}"/>
                      </a:extLst>
                    </a:blip>
                    <a:srcRect/>
                    <a:stretch>
                      <a:fillRect/>
                    </a:stretch>
                  </pic:blipFill>
                  <pic:spPr bwMode="auto">
                    <a:xfrm>
                      <a:off x="0" y="0"/>
                      <a:ext cx="2486025" cy="8255"/>
                    </a:xfrm>
                    <a:prstGeom prst="rect">
                      <a:avLst/>
                    </a:prstGeom>
                    <a:noFill/>
                  </pic:spPr>
                </pic:pic>
              </a:graphicData>
            </a:graphic>
          </wp:anchor>
        </w:drawing>
      </w:r>
    </w:p>
    <w:p>
      <w:pPr>
        <w:spacing w:after="0" w:line="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Name: William Roberts</w:t>
      </w:r>
    </w:p>
    <w:p>
      <w:pPr>
        <w:spacing w:after="0" w:line="23" w:lineRule="exact"/>
        <w:rPr>
          <w:sz w:val="20"/>
          <w:szCs w:val="20"/>
          <w:color w:val="auto"/>
        </w:rPr>
      </w:pPr>
    </w:p>
    <w:p>
      <w:pPr>
        <w:ind w:left="7320"/>
        <w:spacing w:after="0"/>
        <w:tabs>
          <w:tab w:leader="none" w:pos="7860" w:val="left"/>
        </w:tabs>
        <w:rPr>
          <w:sz w:val="20"/>
          <w:szCs w:val="20"/>
          <w:color w:val="auto"/>
        </w:rPr>
      </w:pPr>
      <w:r>
        <w:rPr>
          <w:rFonts w:ascii="Times New Roman" w:cs="Times New Roman" w:eastAsia="Times New Roman" w:hAnsi="Times New Roman"/>
          <w:sz w:val="18"/>
          <w:szCs w:val="18"/>
          <w:color w:val="auto"/>
        </w:rPr>
        <w:t>Title:</w:t>
        <w:tab/>
        <w:t>Co-Chief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502920</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700"/>
          </w:cols>
          <w:pgMar w:left="320" w:top="576" w:right="879" w:bottom="1440"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POWER OF ATTORNEY</w:t>
      </w:r>
    </w:p>
    <w:p>
      <w:pPr>
        <w:spacing w:after="0" w:line="229" w:lineRule="exact"/>
        <w:rPr>
          <w:sz w:val="20"/>
          <w:szCs w:val="20"/>
          <w:color w:val="auto"/>
        </w:rPr>
      </w:pPr>
    </w:p>
    <w:p>
      <w:pPr>
        <w:ind w:firstLine="324"/>
        <w:spacing w:after="0" w:line="254" w:lineRule="auto"/>
        <w:rPr>
          <w:sz w:val="20"/>
          <w:szCs w:val="20"/>
          <w:color w:val="auto"/>
        </w:rPr>
      </w:pPr>
      <w:r>
        <w:rPr>
          <w:rFonts w:ascii="Times New Roman" w:cs="Times New Roman" w:eastAsia="Times New Roman" w:hAnsi="Times New Roman"/>
          <w:sz w:val="18"/>
          <w:szCs w:val="18"/>
          <w:color w:val="auto"/>
        </w:rPr>
        <w:t>KNOW ALL MEN AND WOMEN BY THESE PRESENTS, that each person whose signature appears below hereby severally constitutes and appoints each of Registrant's co-principal executive officers and principal financial officer (currently Daniel Roberts, William Roberts and Belinda Nucifora, respectively) as such person's true and lawful attorney-in-fact and agent, each acting alone, with full power of substitution and resubstitution, for and in such person's name, place and stead, in any and all capacities, to sign any and all amendments (including post-effective amendments) to this Registration Statement and all documents relating thereto, and to file the same, with all exhibits thereto, and other documents in connection therewith, with the Commission, granting unto such attorneys-infact and agents, each acting alone, full power and authority to do and perform each and every act and thing necessary or advisable to be done in and about the premises, as fully to all intents and purposes as such person might or could do in person, hereby ratifying and confirming all that such attorneys-in-fact and agents, each acting alone, or such person's substitute or substitutes, lawfully may do or cause to be done by virtue hereof.</w:t>
      </w:r>
    </w:p>
    <w:p>
      <w:pPr>
        <w:spacing w:after="0" w:line="188" w:lineRule="exact"/>
        <w:rPr>
          <w:sz w:val="20"/>
          <w:szCs w:val="20"/>
          <w:color w:val="auto"/>
        </w:rPr>
      </w:pPr>
    </w:p>
    <w:p>
      <w:pPr>
        <w:ind w:right="18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this Registration Statement has been signed by the following persons in the capacities and on the dates indicated.</w:t>
      </w:r>
    </w:p>
    <w:p>
      <w:pPr>
        <w:spacing w:after="0" w:line="1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720" w:type="dxa"/>
            <w:vAlign w:val="bottom"/>
          </w:tcPr>
          <w:p>
            <w:pPr>
              <w:spacing w:after="0"/>
              <w:rPr>
                <w:sz w:val="17"/>
                <w:szCs w:val="17"/>
                <w:color w:val="auto"/>
              </w:rPr>
            </w:pPr>
          </w:p>
        </w:tc>
        <w:tc>
          <w:tcPr>
            <w:tcW w:w="2440" w:type="dxa"/>
            <w:vAlign w:val="bottom"/>
            <w:gridSpan w:val="2"/>
          </w:tcPr>
          <w:p>
            <w:pPr>
              <w:jc w:val="center"/>
              <w:ind w:right="1700"/>
              <w:spacing w:after="0"/>
              <w:rPr>
                <w:sz w:val="20"/>
                <w:szCs w:val="20"/>
                <w:color w:val="auto"/>
              </w:rPr>
            </w:pPr>
            <w:r>
              <w:rPr>
                <w:rFonts w:ascii="Times New Roman" w:cs="Times New Roman" w:eastAsia="Times New Roman" w:hAnsi="Times New Roman"/>
                <w:sz w:val="18"/>
                <w:szCs w:val="18"/>
                <w:b w:val="1"/>
                <w:bCs w:val="1"/>
                <w:color w:val="auto"/>
                <w:w w:val="98"/>
              </w:rPr>
              <w:t>Signature</w:t>
            </w:r>
          </w:p>
        </w:tc>
        <w:tc>
          <w:tcPr>
            <w:tcW w:w="2080" w:type="dxa"/>
            <w:vAlign w:val="bottom"/>
          </w:tcPr>
          <w:p>
            <w:pPr>
              <w:spacing w:after="0"/>
              <w:rPr>
                <w:sz w:val="17"/>
                <w:szCs w:val="17"/>
                <w:color w:val="auto"/>
              </w:rPr>
            </w:pPr>
          </w:p>
        </w:tc>
        <w:tc>
          <w:tcPr>
            <w:tcW w:w="2420" w:type="dxa"/>
            <w:vAlign w:val="bottom"/>
            <w:gridSpan w:val="2"/>
          </w:tcPr>
          <w:p>
            <w:pPr>
              <w:jc w:val="center"/>
              <w:ind w:right="2060"/>
              <w:spacing w:after="0"/>
              <w:rPr>
                <w:sz w:val="20"/>
                <w:szCs w:val="20"/>
                <w:color w:val="auto"/>
              </w:rPr>
            </w:pPr>
            <w:r>
              <w:rPr>
                <w:rFonts w:ascii="Times New Roman" w:cs="Times New Roman" w:eastAsia="Times New Roman" w:hAnsi="Times New Roman"/>
                <w:sz w:val="18"/>
                <w:szCs w:val="18"/>
                <w:b w:val="1"/>
                <w:bCs w:val="1"/>
                <w:color w:val="auto"/>
                <w:w w:val="99"/>
              </w:rPr>
              <w:t>Title</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Date</w:t>
            </w:r>
          </w:p>
        </w:tc>
      </w:tr>
      <w:tr>
        <w:trPr>
          <w:trHeight w:val="20"/>
        </w:trPr>
        <w:tc>
          <w:tcPr>
            <w:tcW w:w="17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r>
      <w:tr>
        <w:trPr>
          <w:trHeight w:val="237"/>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Daniel Roberts</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 and Director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June 27, 2024</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Daniel Roberts</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William Roberts</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Co-Chief Executive Officer and Director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June 27, 2024</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William Roberts</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Executive Officer)</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Belinda Nucifora</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Chief Financial Officer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June 27, 2024</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Belinda Nucifora</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w:t>
            </w:r>
            <w:r>
              <w:rPr>
                <w:rFonts w:ascii="Times New Roman" w:cs="Times New Roman" w:eastAsia="Times New Roman" w:hAnsi="Times New Roman"/>
                <w:sz w:val="18"/>
                <w:szCs w:val="18"/>
                <w:i w:val="1"/>
                <w:iCs w:val="1"/>
                <w:color w:val="auto"/>
                <w:w w:val="99"/>
              </w:rPr>
              <w:t>Principal Accounting Officer)</w:t>
            </w: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David Bartholomew</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June 27, 2024</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David Bartholomew</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Christopher Guzowski</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June 27, 2024</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Christopher Guzowski</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w w:val="99"/>
              </w:rPr>
              <w:t>/s/ Michael Alfred</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June 27, 2024</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Michael Alfred</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414"/>
        </w:trPr>
        <w:tc>
          <w:tcPr>
            <w:tcW w:w="416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8"/>
                <w:szCs w:val="18"/>
                <w:color w:val="auto"/>
              </w:rPr>
              <w:t>/s/ Sunita Parasuraman</w:t>
            </w:r>
          </w:p>
        </w:tc>
        <w:tc>
          <w:tcPr>
            <w:tcW w:w="450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Director</w:t>
            </w:r>
          </w:p>
        </w:tc>
        <w:tc>
          <w:tcPr>
            <w:tcW w:w="258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rPr>
              <w:t>June 27, 2024</w:t>
            </w:r>
          </w:p>
        </w:tc>
      </w:tr>
      <w:tr>
        <w:trPr>
          <w:trHeight w:val="228"/>
        </w:trPr>
        <w:tc>
          <w:tcPr>
            <w:tcW w:w="41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8"/>
              </w:rPr>
              <w:t>Sunita Parasuraman</w:t>
            </w:r>
          </w:p>
        </w:tc>
        <w:tc>
          <w:tcPr>
            <w:tcW w:w="20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00" w:type="dxa"/>
            <w:vAlign w:val="bottom"/>
          </w:tcPr>
          <w:p>
            <w:pPr>
              <w:spacing w:after="0"/>
              <w:rPr>
                <w:sz w:val="19"/>
                <w:szCs w:val="19"/>
                <w:color w:val="auto"/>
              </w:rPr>
            </w:pPr>
          </w:p>
        </w:tc>
      </w:tr>
      <w:tr>
        <w:trPr>
          <w:trHeight w:val="765"/>
        </w:trPr>
        <w:tc>
          <w:tcPr>
            <w:tcW w:w="17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tcPr>
          <w:p>
            <w:pPr>
              <w:spacing w:after="0"/>
              <w:rPr>
                <w:sz w:val="24"/>
                <w:szCs w:val="24"/>
                <w:color w:val="auto"/>
              </w:rPr>
            </w:pPr>
          </w:p>
        </w:tc>
        <w:tc>
          <w:tcPr>
            <w:tcW w:w="20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b w:val="1"/>
          <w:bCs w:val="1"/>
          <w:color w:val="auto"/>
        </w:rPr>
        <w:t>SIGNATURE OF AUTHORIZED U.S. REPRESENTATIVE OF REGISTRANT</w:t>
      </w:r>
    </w:p>
    <w:p>
      <w:pPr>
        <w:spacing w:after="0" w:line="229" w:lineRule="exact"/>
        <w:rPr>
          <w:sz w:val="20"/>
          <w:szCs w:val="20"/>
          <w:color w:val="auto"/>
        </w:rPr>
      </w:pPr>
    </w:p>
    <w:p>
      <w:pPr>
        <w:ind w:right="100" w:firstLine="324"/>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Act of 1933, as amended, the undersigned, the duly authorized representative in the United States of Iris Energy Limited has signed this Registration Statement on June 27, 2024.</w:t>
      </w:r>
    </w:p>
    <w:p>
      <w:pPr>
        <w:spacing w:after="0" w:line="162"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Cogency Global Inc.</w:t>
      </w:r>
    </w:p>
    <w:p>
      <w:pPr>
        <w:spacing w:after="0" w:line="27"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18"/>
          <w:szCs w:val="18"/>
          <w:color w:val="auto"/>
        </w:rPr>
        <w:t>Authorized U.S. Representative</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ind w:left="6780"/>
              <w:spacing w:after="0"/>
              <w:rPr>
                <w:sz w:val="20"/>
                <w:szCs w:val="20"/>
                <w:color w:val="auto"/>
              </w:rPr>
            </w:pPr>
            <w:r>
              <w:rPr>
                <w:rFonts w:ascii="Times New Roman" w:cs="Times New Roman" w:eastAsia="Times New Roman" w:hAnsi="Times New Roman"/>
                <w:sz w:val="18"/>
                <w:szCs w:val="18"/>
                <w:color w:val="auto"/>
              </w:rPr>
              <w:t>By:</w:t>
            </w:r>
          </w:p>
        </w:tc>
        <w:tc>
          <w:tcPr>
            <w:tcW w:w="3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Colleen A De Vries</w:t>
            </w:r>
          </w:p>
        </w:tc>
      </w:tr>
      <w:tr>
        <w:trPr>
          <w:trHeight w:val="191"/>
        </w:trPr>
        <w:tc>
          <w:tcPr>
            <w:tcW w:w="7320" w:type="dxa"/>
            <w:vAlign w:val="bottom"/>
          </w:tcPr>
          <w:p>
            <w:pPr>
              <w:spacing w:after="0"/>
              <w:rPr>
                <w:sz w:val="16"/>
                <w:szCs w:val="16"/>
                <w:color w:val="auto"/>
              </w:rPr>
            </w:pPr>
          </w:p>
        </w:tc>
        <w:tc>
          <w:tcPr>
            <w:tcW w:w="39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 Colleen A. De Vries</w:t>
            </w:r>
          </w:p>
        </w:tc>
      </w:tr>
      <w:tr>
        <w:trPr>
          <w:trHeight w:val="216"/>
        </w:trPr>
        <w:tc>
          <w:tcPr>
            <w:tcW w:w="7320" w:type="dxa"/>
            <w:vAlign w:val="bottom"/>
          </w:tcPr>
          <w:p>
            <w:pPr>
              <w:spacing w:after="0"/>
              <w:rPr>
                <w:sz w:val="18"/>
                <w:szCs w:val="18"/>
                <w:color w:val="auto"/>
              </w:rPr>
            </w:pPr>
          </w:p>
        </w:tc>
        <w:tc>
          <w:tcPr>
            <w:tcW w:w="3920" w:type="dxa"/>
            <w:vAlign w:val="bottom"/>
          </w:tcPr>
          <w:p>
            <w:pPr>
              <w:spacing w:after="0"/>
              <w:rPr>
                <w:sz w:val="20"/>
                <w:szCs w:val="20"/>
                <w:color w:val="auto"/>
              </w:rPr>
            </w:pPr>
            <w:r>
              <w:rPr>
                <w:rFonts w:ascii="Times New Roman" w:cs="Times New Roman" w:eastAsia="Times New Roman" w:hAnsi="Times New Roman"/>
                <w:sz w:val="18"/>
                <w:szCs w:val="18"/>
                <w:color w:val="auto"/>
              </w:rPr>
              <w:t>Title:  Sr. Vice President on behalf of Cogency</w:t>
            </w:r>
          </w:p>
        </w:tc>
      </w:tr>
      <w:tr>
        <w:trPr>
          <w:trHeight w:val="234"/>
        </w:trPr>
        <w:tc>
          <w:tcPr>
            <w:tcW w:w="7320" w:type="dxa"/>
            <w:vAlign w:val="bottom"/>
          </w:tcPr>
          <w:p>
            <w:pPr>
              <w:spacing w:after="0"/>
              <w:rPr>
                <w:sz w:val="20"/>
                <w:szCs w:val="20"/>
                <w:color w:val="auto"/>
              </w:rPr>
            </w:pPr>
          </w:p>
        </w:tc>
        <w:tc>
          <w:tcPr>
            <w:tcW w:w="3920" w:type="dxa"/>
            <w:vAlign w:val="bottom"/>
          </w:tcPr>
          <w:p>
            <w:pPr>
              <w:ind w:left="560"/>
              <w:spacing w:after="0"/>
              <w:rPr>
                <w:sz w:val="20"/>
                <w:szCs w:val="20"/>
                <w:color w:val="auto"/>
              </w:rPr>
            </w:pPr>
            <w:r>
              <w:rPr>
                <w:rFonts w:ascii="Times New Roman" w:cs="Times New Roman" w:eastAsia="Times New Roman" w:hAnsi="Times New Roman"/>
                <w:sz w:val="18"/>
                <w:szCs w:val="18"/>
                <w:color w:val="auto"/>
              </w:rPr>
              <w:t>Global Inc.</w:t>
            </w:r>
          </w:p>
        </w:tc>
      </w:tr>
      <w:tr>
        <w:trPr>
          <w:trHeight w:val="783"/>
        </w:trPr>
        <w:tc>
          <w:tcPr>
            <w:tcW w:w="7320" w:type="dxa"/>
            <w:vAlign w:val="bottom"/>
            <w:tcBorders>
              <w:bottom w:val="single" w:sz="8" w:color="auto"/>
            </w:tcBorders>
          </w:tcPr>
          <w:p>
            <w:pPr>
              <w:spacing w:after="0"/>
              <w:rPr>
                <w:sz w:val="24"/>
                <w:szCs w:val="24"/>
                <w:color w:val="auto"/>
              </w:rPr>
            </w:pPr>
          </w:p>
        </w:tc>
        <w:tc>
          <w:tcPr>
            <w:tcW w:w="39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576" w:right="339" w:bottom="1440" w:gutter="0" w:footer="0" w:header="0"/>
        </w:sectPr>
      </w:pPr>
    </w:p>
    <w:bookmarkStart w:id="6" w:name="page7"/>
    <w:bookmarkEnd w:id="6"/>
    <w:p>
      <w:pPr>
        <w:ind w:left="9340"/>
        <w:spacing w:after="0"/>
        <w:rPr>
          <w:sz w:val="20"/>
          <w:szCs w:val="20"/>
          <w:color w:val="auto"/>
        </w:rPr>
      </w:pPr>
      <w:r>
        <w:rPr>
          <w:rFonts w:ascii="Times New Roman" w:cs="Times New Roman" w:eastAsia="Times New Roman" w:hAnsi="Times New Roman"/>
          <w:sz w:val="14"/>
          <w:szCs w:val="14"/>
          <w:b w:val="1"/>
          <w:bCs w:val="1"/>
          <w:color w:val="auto"/>
        </w:rPr>
        <w:t>CLIFFORD CHANCE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-85090</wp:posOffset>
            </wp:positionV>
            <wp:extent cx="1328420" cy="4114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35">
                      <a:extLst>
                        <a:ext uri="{28A0092B-C50C-407E-A947-70E740481C1C}"/>
                      </a:extLst>
                    </a:blip>
                    <a:srcRect/>
                    <a:stretch>
                      <a:fillRect/>
                    </a:stretch>
                  </pic:blipFill>
                  <pic:spPr bwMode="auto">
                    <a:xfrm>
                      <a:off x="0" y="0"/>
                      <a:ext cx="1328420" cy="411480"/>
                    </a:xfrm>
                    <a:prstGeom prst="rect">
                      <a:avLst/>
                    </a:prstGeom>
                    <a:noFill/>
                  </pic:spPr>
                </pic:pic>
              </a:graphicData>
            </a:graphic>
          </wp:anchor>
        </w:drawing>
      </w:r>
    </w:p>
    <w:p>
      <w:pPr>
        <w:ind w:left="9340"/>
        <w:spacing w:after="0" w:line="231" w:lineRule="auto"/>
        <w:rPr>
          <w:sz w:val="20"/>
          <w:szCs w:val="20"/>
          <w:color w:val="auto"/>
        </w:rPr>
      </w:pPr>
      <w:r>
        <w:rPr>
          <w:rFonts w:ascii="Times New Roman" w:cs="Times New Roman" w:eastAsia="Times New Roman" w:hAnsi="Times New Roman"/>
          <w:sz w:val="14"/>
          <w:szCs w:val="14"/>
          <w:color w:val="auto"/>
        </w:rPr>
        <w:t>LEVEL 24, 10 CARRINGTON</w:t>
      </w:r>
    </w:p>
    <w:p>
      <w:pPr>
        <w:ind w:left="9340"/>
        <w:spacing w:after="0" w:line="221" w:lineRule="auto"/>
        <w:rPr>
          <w:sz w:val="20"/>
          <w:szCs w:val="20"/>
          <w:color w:val="auto"/>
        </w:rPr>
      </w:pPr>
      <w:r>
        <w:rPr>
          <w:rFonts w:ascii="Times New Roman" w:cs="Times New Roman" w:eastAsia="Times New Roman" w:hAnsi="Times New Roman"/>
          <w:sz w:val="14"/>
          <w:szCs w:val="14"/>
          <w:color w:val="auto"/>
        </w:rPr>
        <w:t>STREET SYDNEY NSW 2000</w:t>
      </w:r>
    </w:p>
    <w:p>
      <w:pPr>
        <w:ind w:left="9340"/>
        <w:spacing w:after="0" w:line="222" w:lineRule="auto"/>
        <w:rPr>
          <w:sz w:val="20"/>
          <w:szCs w:val="20"/>
          <w:color w:val="auto"/>
        </w:rPr>
      </w:pPr>
      <w:r>
        <w:rPr>
          <w:rFonts w:ascii="Times New Roman" w:cs="Times New Roman" w:eastAsia="Times New Roman" w:hAnsi="Times New Roman"/>
          <w:sz w:val="14"/>
          <w:szCs w:val="14"/>
          <w:color w:val="auto"/>
        </w:rPr>
        <w:t>AUSTRALIA</w:t>
      </w:r>
    </w:p>
    <w:p>
      <w:pPr>
        <w:ind w:left="9340"/>
        <w:spacing w:after="0" w:line="221" w:lineRule="auto"/>
        <w:rPr>
          <w:sz w:val="20"/>
          <w:szCs w:val="20"/>
          <w:color w:val="auto"/>
        </w:rPr>
      </w:pPr>
      <w:r>
        <w:rPr>
          <w:rFonts w:ascii="Times New Roman" w:cs="Times New Roman" w:eastAsia="Times New Roman" w:hAnsi="Times New Roman"/>
          <w:sz w:val="14"/>
          <w:szCs w:val="14"/>
          <w:color w:val="auto"/>
        </w:rPr>
        <w:t>TEL + 612 8922 8000</w:t>
      </w:r>
    </w:p>
    <w:p>
      <w:pPr>
        <w:ind w:left="9340"/>
        <w:spacing w:after="0" w:line="222" w:lineRule="auto"/>
        <w:rPr>
          <w:sz w:val="20"/>
          <w:szCs w:val="20"/>
          <w:color w:val="auto"/>
        </w:rPr>
      </w:pPr>
      <w:r>
        <w:rPr>
          <w:rFonts w:ascii="Times New Roman" w:cs="Times New Roman" w:eastAsia="Times New Roman" w:hAnsi="Times New Roman"/>
          <w:sz w:val="14"/>
          <w:szCs w:val="14"/>
          <w:color w:val="auto"/>
        </w:rPr>
        <w:t>FAX +612 8922 8088</w:t>
      </w:r>
    </w:p>
    <w:p>
      <w:pPr>
        <w:ind w:left="9340"/>
        <w:spacing w:after="0"/>
        <w:rPr>
          <w:sz w:val="20"/>
          <w:szCs w:val="20"/>
          <w:color w:val="auto"/>
        </w:rPr>
      </w:pPr>
      <w:r>
        <w:rPr>
          <w:rFonts w:ascii="Times New Roman" w:cs="Times New Roman" w:eastAsia="Times New Roman" w:hAnsi="Times New Roman"/>
          <w:sz w:val="14"/>
          <w:szCs w:val="14"/>
          <w:color w:val="auto"/>
        </w:rPr>
        <w:t>www.cliffordchance.com</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0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27 June 2024</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580" w:type="dxa"/>
            <w:vAlign w:val="bottom"/>
          </w:tcPr>
          <w:p>
            <w:pPr>
              <w:spacing w:after="0"/>
              <w:rPr>
                <w:sz w:val="24"/>
                <w:szCs w:val="24"/>
                <w:color w:val="auto"/>
              </w:rPr>
            </w:pPr>
          </w:p>
        </w:tc>
        <w:tc>
          <w:tcPr>
            <w:tcW w:w="5480" w:type="dxa"/>
            <w:vAlign w:val="bottom"/>
          </w:tcPr>
          <w:p>
            <w:pPr>
              <w:spacing w:after="0"/>
              <w:rPr>
                <w:sz w:val="24"/>
                <w:szCs w:val="24"/>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Exhibit 5.1 and 23.3</w:t>
            </w: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480" w:type="dxa"/>
            <w:vAlign w:val="bottom"/>
            <w:vMerge w:val="restart"/>
          </w:tcPr>
          <w:p>
            <w:pPr>
              <w:ind w:left="340"/>
              <w:spacing w:after="0"/>
              <w:rPr>
                <w:sz w:val="20"/>
                <w:szCs w:val="20"/>
                <w:color w:val="auto"/>
              </w:rPr>
            </w:pPr>
            <w:r>
              <w:rPr>
                <w:rFonts w:ascii="Times New Roman" w:cs="Times New Roman" w:eastAsia="Times New Roman" w:hAnsi="Times New Roman"/>
                <w:sz w:val="18"/>
                <w:szCs w:val="18"/>
                <w:b w:val="1"/>
                <w:bCs w:val="1"/>
                <w:color w:val="auto"/>
              </w:rPr>
              <w:t>Iris Energy Limited (doing business as IREN)</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Our ref: 21-41016128</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20"/>
                <w:szCs w:val="20"/>
                <w:color w:val="auto"/>
              </w:rPr>
            </w:pPr>
            <w:r>
              <w:rPr>
                <w:rFonts w:ascii="Times New Roman" w:cs="Times New Roman" w:eastAsia="Times New Roman" w:hAnsi="Times New Roman"/>
                <w:sz w:val="18"/>
                <w:szCs w:val="18"/>
                <w:color w:val="auto"/>
              </w:rPr>
              <w:t>To:</w:t>
            </w:r>
          </w:p>
        </w:tc>
        <w:tc>
          <w:tcPr>
            <w:tcW w:w="5480" w:type="dxa"/>
            <w:vAlign w:val="bottom"/>
            <w:vMerge w:val="continue"/>
          </w:tcPr>
          <w:p>
            <w:pPr>
              <w:spacing w:after="0"/>
              <w:rPr>
                <w:sz w:val="18"/>
                <w:szCs w:val="18"/>
                <w:color w:val="auto"/>
              </w:rPr>
            </w:pP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Direct Dial: +61 (0)2 8922 8054</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Level 12, 44 Market Street</w:t>
            </w:r>
          </w:p>
        </w:tc>
        <w:tc>
          <w:tcPr>
            <w:tcW w:w="5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E-mail: reuben.vanwerkum@cliffordchance.com</w:t>
            </w: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Sydney, NSW 2000</w:t>
            </w:r>
          </w:p>
        </w:tc>
        <w:tc>
          <w:tcPr>
            <w:tcW w:w="5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4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Australia</w:t>
            </w:r>
          </w:p>
        </w:tc>
        <w:tc>
          <w:tcPr>
            <w:tcW w:w="51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00" w:lineRule="exact"/>
        <w:rPr>
          <w:sz w:val="20"/>
          <w:szCs w:val="20"/>
          <w:color w:val="auto"/>
        </w:rPr>
      </w:pPr>
    </w:p>
    <w:p>
      <w:pPr>
        <w:spacing w:after="0" w:line="23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8"/>
          <w:szCs w:val="18"/>
          <w:b w:val="1"/>
          <w:bCs w:val="1"/>
          <w:color w:val="auto"/>
        </w:rPr>
        <w:t>RE: Iris Energy Limited – Registration Statement on Form S-8</w:t>
      </w:r>
    </w:p>
    <w:p>
      <w:pPr>
        <w:spacing w:after="0" w:line="200" w:lineRule="exact"/>
        <w:rPr>
          <w:sz w:val="20"/>
          <w:szCs w:val="20"/>
          <w:color w:val="auto"/>
        </w:rPr>
      </w:pPr>
    </w:p>
    <w:p>
      <w:pPr>
        <w:spacing w:after="0" w:line="241" w:lineRule="exact"/>
        <w:rPr>
          <w:sz w:val="20"/>
          <w:szCs w:val="20"/>
          <w:color w:val="auto"/>
        </w:rPr>
      </w:pPr>
    </w:p>
    <w:p>
      <w:pPr>
        <w:jc w:val="both"/>
        <w:ind w:left="140" w:right="180"/>
        <w:spacing w:after="0" w:line="257" w:lineRule="auto"/>
        <w:rPr>
          <w:sz w:val="20"/>
          <w:szCs w:val="20"/>
          <w:color w:val="auto"/>
        </w:rPr>
      </w:pPr>
      <w:r>
        <w:rPr>
          <w:rFonts w:ascii="Times New Roman" w:cs="Times New Roman" w:eastAsia="Times New Roman" w:hAnsi="Times New Roman"/>
          <w:sz w:val="18"/>
          <w:szCs w:val="18"/>
          <w:color w:val="auto"/>
        </w:rPr>
        <w:t>We have acted as Australian legal advisers to Iris Energy Limited (doing business as IREN) ACN 629 842 799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 Australian public company having its registered office at Pitcher Partners, Level 13, 664 Collins Street, Docklands VIC 3008, in connection with the preparation and filing by the Company on the date hereof with the U.S. Securities and Exchange Commission (the "</w:t>
      </w:r>
      <w:r>
        <w:rPr>
          <w:rFonts w:ascii="Times New Roman" w:cs="Times New Roman" w:eastAsia="Times New Roman" w:hAnsi="Times New Roman"/>
          <w:sz w:val="18"/>
          <w:szCs w:val="18"/>
          <w:b w:val="1"/>
          <w:bCs w:val="1"/>
          <w:color w:val="auto"/>
        </w:rPr>
        <w:t>Commission</w:t>
      </w:r>
      <w:r>
        <w:rPr>
          <w:rFonts w:ascii="Times New Roman" w:cs="Times New Roman" w:eastAsia="Times New Roman" w:hAnsi="Times New Roman"/>
          <w:sz w:val="18"/>
          <w:szCs w:val="18"/>
          <w:color w:val="auto"/>
        </w:rPr>
        <w:t>") of a Registration Statement (the "</w:t>
      </w:r>
      <w:r>
        <w:rPr>
          <w:rFonts w:ascii="Times New Roman" w:cs="Times New Roman" w:eastAsia="Times New Roman" w:hAnsi="Times New Roman"/>
          <w:sz w:val="18"/>
          <w:szCs w:val="18"/>
          <w:b w:val="1"/>
          <w:bCs w:val="1"/>
          <w:color w:val="auto"/>
        </w:rPr>
        <w:t>Registration Statement</w:t>
      </w:r>
      <w:r>
        <w:rPr>
          <w:rFonts w:ascii="Times New Roman" w:cs="Times New Roman" w:eastAsia="Times New Roman" w:hAnsi="Times New Roman"/>
          <w:sz w:val="18"/>
          <w:szCs w:val="18"/>
          <w:color w:val="auto"/>
        </w:rPr>
        <w:t>") on Form S-8 under the Securities Act of 1993, as amended (the "</w:t>
      </w:r>
      <w:r>
        <w:rPr>
          <w:rFonts w:ascii="Times New Roman" w:cs="Times New Roman" w:eastAsia="Times New Roman" w:hAnsi="Times New Roman"/>
          <w:sz w:val="18"/>
          <w:szCs w:val="18"/>
          <w:b w:val="1"/>
          <w:bCs w:val="1"/>
          <w:color w:val="auto"/>
        </w:rPr>
        <w:t>Securities Ac</w:t>
      </w:r>
      <w:r>
        <w:rPr>
          <w:rFonts w:ascii="Times New Roman" w:cs="Times New Roman" w:eastAsia="Times New Roman" w:hAnsi="Times New Roman"/>
          <w:sz w:val="18"/>
          <w:szCs w:val="18"/>
          <w:color w:val="auto"/>
        </w:rPr>
        <w:t>t") in respect of the issuance of up to 3,000,000 ordinary shares, no par value, of the Company (the "</w:t>
      </w:r>
      <w:r>
        <w:rPr>
          <w:rFonts w:ascii="Times New Roman" w:cs="Times New Roman" w:eastAsia="Times New Roman" w:hAnsi="Times New Roman"/>
          <w:sz w:val="18"/>
          <w:szCs w:val="18"/>
          <w:b w:val="1"/>
          <w:bCs w:val="1"/>
          <w:color w:val="auto"/>
        </w:rPr>
        <w:t>LTIP Shares</w:t>
      </w:r>
      <w:r>
        <w:rPr>
          <w:rFonts w:ascii="Times New Roman" w:cs="Times New Roman" w:eastAsia="Times New Roman" w:hAnsi="Times New Roman"/>
          <w:sz w:val="18"/>
          <w:szCs w:val="18"/>
          <w:color w:val="auto"/>
        </w:rPr>
        <w:t>"), which may be issued pursuant to the Company’s 2023 Long-Term Incentive Plan (the “</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in accordance with the terms and conditions of the Plan (the "</w:t>
      </w:r>
      <w:r>
        <w:rPr>
          <w:rFonts w:ascii="Times New Roman" w:cs="Times New Roman" w:eastAsia="Times New Roman" w:hAnsi="Times New Roman"/>
          <w:sz w:val="18"/>
          <w:szCs w:val="18"/>
          <w:b w:val="1"/>
          <w:bCs w:val="1"/>
          <w:color w:val="auto"/>
        </w:rPr>
        <w:t>Plan Rules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jc w:val="both"/>
        <w:ind w:left="140" w:right="180"/>
        <w:spacing w:after="0" w:line="266" w:lineRule="auto"/>
        <w:rPr>
          <w:sz w:val="20"/>
          <w:szCs w:val="20"/>
          <w:color w:val="auto"/>
        </w:rPr>
      </w:pPr>
      <w:r>
        <w:rPr>
          <w:rFonts w:ascii="Times New Roman" w:cs="Times New Roman" w:eastAsia="Times New Roman" w:hAnsi="Times New Roman"/>
          <w:sz w:val="18"/>
          <w:szCs w:val="18"/>
          <w:color w:val="auto"/>
        </w:rPr>
        <w:t>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LTIP Shares.</w:t>
      </w:r>
    </w:p>
    <w:p>
      <w:pPr>
        <w:spacing w:after="0" w:line="172" w:lineRule="exact"/>
        <w:rPr>
          <w:sz w:val="20"/>
          <w:szCs w:val="20"/>
          <w:color w:val="auto"/>
        </w:rPr>
      </w:pPr>
    </w:p>
    <w:p>
      <w:pPr>
        <w:ind w:left="780" w:hanging="651"/>
        <w:spacing w:after="0"/>
        <w:tabs>
          <w:tab w:leader="none" w:pos="7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INTRODUCTION</w:t>
      </w:r>
    </w:p>
    <w:p>
      <w:pPr>
        <w:spacing w:after="0" w:line="252"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1.1</w:t>
      </w:r>
      <w:r>
        <w:rPr>
          <w:sz w:val="20"/>
          <w:szCs w:val="20"/>
          <w:color w:val="auto"/>
        </w:rPr>
        <w:tab/>
      </w:r>
      <w:r>
        <w:rPr>
          <w:rFonts w:ascii="Times New Roman" w:cs="Times New Roman" w:eastAsia="Times New Roman" w:hAnsi="Times New Roman"/>
          <w:sz w:val="18"/>
          <w:szCs w:val="18"/>
          <w:b w:val="1"/>
          <w:bCs w:val="1"/>
          <w:color w:val="auto"/>
        </w:rPr>
        <w:t>Interpretation</w:t>
      </w:r>
    </w:p>
    <w:p>
      <w:pPr>
        <w:spacing w:after="0" w:line="229"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8"/>
          <w:szCs w:val="18"/>
          <w:color w:val="auto"/>
        </w:rPr>
        <w:t>Headings in this Opinion Letter are for ease of reference only and shall not affect its interpretation.</w:t>
      </w:r>
    </w:p>
    <w:p>
      <w:pPr>
        <w:spacing w:after="0" w:line="248" w:lineRule="exact"/>
        <w:rPr>
          <w:sz w:val="20"/>
          <w:szCs w:val="20"/>
          <w:color w:val="auto"/>
        </w:rPr>
      </w:pPr>
    </w:p>
    <w:p>
      <w:pPr>
        <w:ind w:left="120"/>
        <w:spacing w:after="0"/>
        <w:tabs>
          <w:tab w:leader="none" w:pos="760" w:val="left"/>
        </w:tabs>
        <w:rPr>
          <w:sz w:val="20"/>
          <w:szCs w:val="20"/>
          <w:color w:val="auto"/>
        </w:rPr>
      </w:pPr>
      <w:r>
        <w:rPr>
          <w:rFonts w:ascii="Times New Roman" w:cs="Times New Roman" w:eastAsia="Times New Roman" w:hAnsi="Times New Roman"/>
          <w:sz w:val="18"/>
          <w:szCs w:val="18"/>
          <w:color w:val="auto"/>
        </w:rPr>
        <w:t>1.2</w:t>
      </w:r>
      <w:r>
        <w:rPr>
          <w:sz w:val="20"/>
          <w:szCs w:val="20"/>
          <w:color w:val="auto"/>
        </w:rPr>
        <w:tab/>
      </w:r>
      <w:r>
        <w:rPr>
          <w:rFonts w:ascii="Times New Roman" w:cs="Times New Roman" w:eastAsia="Times New Roman" w:hAnsi="Times New Roman"/>
          <w:sz w:val="17"/>
          <w:szCs w:val="17"/>
          <w:b w:val="1"/>
          <w:bCs w:val="1"/>
          <w:color w:val="auto"/>
        </w:rPr>
        <w:t>Legal review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534035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4" w:right="339" w:bottom="1440" w:gutter="0" w:footer="0" w:header="0"/>
        </w:sectPr>
      </w:pPr>
    </w:p>
    <w:bookmarkStart w:id="7" w:name="page8"/>
    <w:bookmarkEnd w:id="7"/>
    <w:p>
      <w:pPr>
        <w:ind w:left="660"/>
        <w:spacing w:after="0" w:line="262" w:lineRule="auto"/>
        <w:rPr>
          <w:sz w:val="20"/>
          <w:szCs w:val="20"/>
          <w:color w:val="auto"/>
        </w:rPr>
      </w:pPr>
      <w:r>
        <w:rPr>
          <w:rFonts w:ascii="Times New Roman" w:cs="Times New Roman" w:eastAsia="Times New Roman" w:hAnsi="Times New Roman"/>
          <w:sz w:val="18"/>
          <w:szCs w:val="18"/>
          <w:color w:val="auto"/>
        </w:rPr>
        <w:t>We have not reviewed any documents other than the documents listed in Schedule 1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 for the purposes of this Opinion Letter, and this Opinion Letter does not purport to address any legal issues that arise in relation to such other documents that may be or come into force, even if there is a reference to any such documents in the Documents or on the impact such documents may have on the opinions expressed in this Opinion.</w:t>
      </w:r>
    </w:p>
    <w:p>
      <w:pPr>
        <w:spacing w:after="0" w:line="176"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1.3</w:t>
      </w:r>
      <w:r>
        <w:rPr>
          <w:sz w:val="20"/>
          <w:szCs w:val="20"/>
          <w:color w:val="auto"/>
        </w:rPr>
        <w:tab/>
      </w:r>
      <w:r>
        <w:rPr>
          <w:rFonts w:ascii="Times New Roman" w:cs="Times New Roman" w:eastAsia="Times New Roman" w:hAnsi="Times New Roman"/>
          <w:sz w:val="17"/>
          <w:szCs w:val="17"/>
          <w:b w:val="1"/>
          <w:bCs w:val="1"/>
          <w:color w:val="auto"/>
        </w:rPr>
        <w:t>Applicable law</w:t>
      </w:r>
    </w:p>
    <w:p>
      <w:pPr>
        <w:spacing w:after="0" w:line="229" w:lineRule="exact"/>
        <w:rPr>
          <w:sz w:val="20"/>
          <w:szCs w:val="20"/>
          <w:color w:val="auto"/>
        </w:rPr>
      </w:pPr>
    </w:p>
    <w:p>
      <w:pPr>
        <w:ind w:left="660" w:right="60"/>
        <w:spacing w:after="0" w:line="261" w:lineRule="auto"/>
        <w:rPr>
          <w:sz w:val="20"/>
          <w:szCs w:val="20"/>
          <w:color w:val="auto"/>
        </w:rPr>
      </w:pPr>
      <w:r>
        <w:rPr>
          <w:rFonts w:ascii="Times New Roman" w:cs="Times New Roman" w:eastAsia="Times New Roman" w:hAnsi="Times New Roman"/>
          <w:sz w:val="18"/>
          <w:szCs w:val="18"/>
          <w:color w:val="auto"/>
        </w:rPr>
        <w:t>The opinions given in this Opinion Letter are confined to, and given on the basis of, Australian law as currently applied by the Australian courts as evidenced in legislation and published case law in Australia.</w:t>
      </w:r>
    </w:p>
    <w:p>
      <w:pPr>
        <w:ind w:left="660" w:right="60"/>
        <w:spacing w:after="0" w:line="260" w:lineRule="auto"/>
        <w:rPr>
          <w:sz w:val="20"/>
          <w:szCs w:val="20"/>
          <w:color w:val="auto"/>
        </w:rPr>
      </w:pPr>
      <w:r>
        <w:rPr>
          <w:rFonts w:ascii="Times New Roman" w:cs="Times New Roman" w:eastAsia="Times New Roman" w:hAnsi="Times New Roman"/>
          <w:sz w:val="18"/>
          <w:szCs w:val="18"/>
          <w:color w:val="auto"/>
        </w:rPr>
        <w:t>The opinions given in this Opinion Letter are given on the basis that it is governed by and construed in accordance with the laws of New South Wales, Australia and will be subject to the jurisdiction of the courts of News South Wales, Australia.</w:t>
      </w:r>
    </w:p>
    <w:p>
      <w:pPr>
        <w:spacing w:after="0" w:line="177" w:lineRule="exact"/>
        <w:rPr>
          <w:sz w:val="20"/>
          <w:szCs w:val="20"/>
          <w:color w:val="auto"/>
        </w:rPr>
      </w:pPr>
    </w:p>
    <w:p>
      <w:pPr>
        <w:spacing w:after="0"/>
        <w:tabs>
          <w:tab w:leader="none" w:pos="640" w:val="left"/>
        </w:tabs>
        <w:rPr>
          <w:sz w:val="20"/>
          <w:szCs w:val="20"/>
          <w:color w:val="auto"/>
        </w:rPr>
      </w:pPr>
      <w:r>
        <w:rPr>
          <w:rFonts w:ascii="Times New Roman" w:cs="Times New Roman" w:eastAsia="Times New Roman" w:hAnsi="Times New Roman"/>
          <w:sz w:val="18"/>
          <w:szCs w:val="18"/>
          <w:color w:val="auto"/>
        </w:rPr>
        <w:t>1.4</w:t>
      </w:r>
      <w:r>
        <w:rPr>
          <w:sz w:val="20"/>
          <w:szCs w:val="20"/>
          <w:color w:val="auto"/>
        </w:rPr>
        <w:tab/>
      </w:r>
      <w:r>
        <w:rPr>
          <w:rFonts w:ascii="Times New Roman" w:cs="Times New Roman" w:eastAsia="Times New Roman" w:hAnsi="Times New Roman"/>
          <w:sz w:val="17"/>
          <w:szCs w:val="17"/>
          <w:b w:val="1"/>
          <w:bCs w:val="1"/>
          <w:color w:val="auto"/>
        </w:rPr>
        <w:t>Assumptions and Reservations</w:t>
      </w:r>
    </w:p>
    <w:p>
      <w:pPr>
        <w:spacing w:after="0" w:line="227" w:lineRule="exact"/>
        <w:rPr>
          <w:sz w:val="20"/>
          <w:szCs w:val="20"/>
          <w:color w:val="auto"/>
        </w:rPr>
      </w:pPr>
    </w:p>
    <w:p>
      <w:pPr>
        <w:ind w:left="660" w:right="60"/>
        <w:spacing w:after="0" w:line="284" w:lineRule="auto"/>
        <w:rPr>
          <w:sz w:val="20"/>
          <w:szCs w:val="20"/>
          <w:color w:val="auto"/>
        </w:rPr>
      </w:pPr>
      <w:r>
        <w:rPr>
          <w:rFonts w:ascii="Times New Roman" w:cs="Times New Roman" w:eastAsia="Times New Roman" w:hAnsi="Times New Roman"/>
          <w:sz w:val="18"/>
          <w:szCs w:val="18"/>
          <w:color w:val="auto"/>
        </w:rPr>
        <w:t>The opinions given in this Opinion Letter are given on the assumptions set out in Schedule 2 (</w:t>
      </w:r>
      <w:r>
        <w:rPr>
          <w:rFonts w:ascii="Times New Roman" w:cs="Times New Roman" w:eastAsia="Times New Roman" w:hAnsi="Times New Roman"/>
          <w:sz w:val="18"/>
          <w:szCs w:val="18"/>
          <w:i w:val="1"/>
          <w:iCs w:val="1"/>
          <w:color w:val="auto"/>
        </w:rPr>
        <w:t>Assumptions</w:t>
      </w:r>
      <w:r>
        <w:rPr>
          <w:rFonts w:ascii="Times New Roman" w:cs="Times New Roman" w:eastAsia="Times New Roman" w:hAnsi="Times New Roman"/>
          <w:sz w:val="18"/>
          <w:szCs w:val="18"/>
          <w:color w:val="auto"/>
        </w:rPr>
        <w:t>). The opinions given in this Opinion Letter are strictly limited to the matters stated in paragraph 2 (</w:t>
      </w:r>
      <w:r>
        <w:rPr>
          <w:rFonts w:ascii="Times New Roman" w:cs="Times New Roman" w:eastAsia="Times New Roman" w:hAnsi="Times New Roman"/>
          <w:sz w:val="18"/>
          <w:szCs w:val="18"/>
          <w:i w:val="1"/>
          <w:iCs w:val="1"/>
          <w:color w:val="auto"/>
        </w:rPr>
        <w:t>Opinions</w:t>
      </w:r>
      <w:r>
        <w:rPr>
          <w:rFonts w:ascii="Times New Roman" w:cs="Times New Roman" w:eastAsia="Times New Roman" w:hAnsi="Times New Roman"/>
          <w:sz w:val="18"/>
          <w:szCs w:val="18"/>
          <w:color w:val="auto"/>
        </w:rPr>
        <w:t>) and do not extend to any other matters.</w:t>
      </w:r>
    </w:p>
    <w:p>
      <w:pPr>
        <w:spacing w:after="0" w:line="156" w:lineRule="exact"/>
        <w:rPr>
          <w:sz w:val="20"/>
          <w:szCs w:val="20"/>
          <w:color w:val="auto"/>
        </w:rPr>
      </w:pPr>
    </w:p>
    <w:p>
      <w:pPr>
        <w:ind w:left="660" w:hanging="65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OPINIONS</w:t>
      </w:r>
    </w:p>
    <w:p>
      <w:pPr>
        <w:spacing w:after="0" w:line="229" w:lineRule="exact"/>
        <w:rPr>
          <w:rFonts w:ascii="Times New Roman" w:cs="Times New Roman" w:eastAsia="Times New Roman" w:hAnsi="Times New Roman"/>
          <w:sz w:val="18"/>
          <w:szCs w:val="18"/>
          <w:color w:val="auto"/>
        </w:rPr>
      </w:pPr>
    </w:p>
    <w:p>
      <w:pPr>
        <w:jc w:val="both"/>
        <w:ind w:left="660" w:right="60"/>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of the opinion that the LTIP Shares, once (i) duly registered on the books of the transfer agent and registrar therefor in the name or on behalf of the purchasers and (ii) fully paid and issued in accordance with the terms of the Constitution, Plan Rules and board resolutions to be passed by the Company, will be validly issued, fully paid-up and non-assessable.</w:t>
      </w:r>
    </w:p>
    <w:p>
      <w:pPr>
        <w:spacing w:after="0" w:line="171"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SCOPE OF OPINION</w:t>
      </w:r>
    </w:p>
    <w:p>
      <w:pPr>
        <w:spacing w:after="0" w:line="229" w:lineRule="exact"/>
        <w:rPr>
          <w:rFonts w:ascii="Times New Roman" w:cs="Times New Roman" w:eastAsia="Times New Roman" w:hAnsi="Times New Roman"/>
          <w:sz w:val="18"/>
          <w:szCs w:val="18"/>
          <w:color w:val="auto"/>
        </w:rPr>
      </w:pPr>
    </w:p>
    <w:p>
      <w:pPr>
        <w:ind w:left="6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delivery of this Opinion Letter to any person other than the Company does not evidence an existence of any such advisory duty on our behalf to such person.</w:t>
      </w:r>
    </w:p>
    <w:p>
      <w:pPr>
        <w:spacing w:after="0" w:line="161" w:lineRule="exact"/>
        <w:rPr>
          <w:rFonts w:ascii="Times New Roman" w:cs="Times New Roman" w:eastAsia="Times New Roman" w:hAnsi="Times New Roman"/>
          <w:sz w:val="18"/>
          <w:szCs w:val="18"/>
          <w:color w:val="auto"/>
        </w:rPr>
      </w:pPr>
    </w:p>
    <w:p>
      <w:pPr>
        <w:ind w:left="6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filing of this Opinion Letter as an exhibit to the Registration Statement does not evidence the existence of any such advisory duty or on behalf to any party other than the Company.</w:t>
      </w:r>
    </w:p>
    <w:p>
      <w:pPr>
        <w:spacing w:after="0" w:line="161" w:lineRule="exact"/>
        <w:rPr>
          <w:rFonts w:ascii="Times New Roman" w:cs="Times New Roman" w:eastAsia="Times New Roman" w:hAnsi="Times New Roman"/>
          <w:sz w:val="18"/>
          <w:szCs w:val="18"/>
          <w:color w:val="auto"/>
        </w:rPr>
      </w:pPr>
    </w:p>
    <w:p>
      <w:pPr>
        <w:ind w:left="660" w:right="8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considered and do not opine on the Registration Statement or/and any securities law disclosure requirements, other than as expressly stated herein with respect to the issue of the LTIP Shares.</w:t>
      </w:r>
    </w:p>
    <w:p>
      <w:pPr>
        <w:spacing w:after="0" w:line="161" w:lineRule="exact"/>
        <w:rPr>
          <w:rFonts w:ascii="Times New Roman" w:cs="Times New Roman" w:eastAsia="Times New Roman" w:hAnsi="Times New Roman"/>
          <w:sz w:val="18"/>
          <w:szCs w:val="18"/>
          <w:color w:val="auto"/>
        </w:rPr>
      </w:pPr>
    </w:p>
    <w:p>
      <w:pPr>
        <w:ind w:left="660" w:right="6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as to any taxation matters or transfer pricing matters generally or liability to tax which may arise or be suffered as a result of or in connection with the Plan or on the impact which any tax laws may have on the opinions expressed in this Opinion Letter.</w:t>
      </w:r>
    </w:p>
    <w:p>
      <w:pPr>
        <w:spacing w:after="0" w:line="161" w:lineRule="exact"/>
        <w:rPr>
          <w:rFonts w:ascii="Times New Roman" w:cs="Times New Roman" w:eastAsia="Times New Roman" w:hAnsi="Times New Roman"/>
          <w:sz w:val="18"/>
          <w:szCs w:val="18"/>
          <w:color w:val="auto"/>
        </w:rPr>
      </w:pP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express no opinion on any applicable licensing or similar requirements.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377190</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00"/>
          </w:cols>
          <w:pgMar w:left="440" w:top="576" w:right="459" w:bottom="1440" w:gutter="0" w:footer="0" w:header="0"/>
        </w:sectPr>
      </w:pPr>
    </w:p>
    <w:bookmarkStart w:id="8" w:name="page9"/>
    <w:bookmarkEnd w:id="8"/>
    <w:p>
      <w:pPr>
        <w:ind w:left="780"/>
        <w:spacing w:after="0" w:line="282" w:lineRule="auto"/>
        <w:rPr>
          <w:sz w:val="20"/>
          <w:szCs w:val="20"/>
          <w:color w:val="auto"/>
        </w:rPr>
      </w:pPr>
      <w:r>
        <w:rPr>
          <w:rFonts w:ascii="Times New Roman" w:cs="Times New Roman" w:eastAsia="Times New Roman" w:hAnsi="Times New Roman"/>
          <w:sz w:val="18"/>
          <w:szCs w:val="18"/>
          <w:color w:val="auto"/>
        </w:rPr>
        <w:t>This Opinion Letter does not contain any undertaking to update it or to inform the Company of any changes in the laws of Australia or any other laws which would affect the content thereof in any manner.</w:t>
      </w:r>
    </w:p>
    <w:p>
      <w:pPr>
        <w:spacing w:after="0" w:line="158" w:lineRule="exact"/>
        <w:rPr>
          <w:sz w:val="20"/>
          <w:szCs w:val="20"/>
          <w:color w:val="auto"/>
        </w:rPr>
      </w:pPr>
    </w:p>
    <w:p>
      <w:pPr>
        <w:ind w:left="780" w:hanging="651"/>
        <w:spacing w:after="0"/>
        <w:tabs>
          <w:tab w:leader="none" w:pos="7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ADDRESSEE AND PURPOSE</w:t>
      </w:r>
    </w:p>
    <w:p>
      <w:pPr>
        <w:spacing w:after="0" w:line="229" w:lineRule="exact"/>
        <w:rPr>
          <w:rFonts w:ascii="Times New Roman" w:cs="Times New Roman" w:eastAsia="Times New Roman" w:hAnsi="Times New Roman"/>
          <w:sz w:val="18"/>
          <w:szCs w:val="18"/>
          <w:color w:val="auto"/>
        </w:rPr>
      </w:pPr>
    </w:p>
    <w:p>
      <w:pPr>
        <w:jc w:val="both"/>
        <w:ind w:left="780"/>
        <w:spacing w:after="0" w:line="25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Opinion Letter is provided in connection with the Registration Statement. It may not be supplied, and its contents may not be disclosed, to any other person other than as an exhibit to (and therefore, together with) the Registration Statement and may not be relied upon by or disclosed to any other person, company, enterprise or institution, except your legal advisers, or used for any other purpose other than in connection with the Registration Statement. We hereby consent to the filing of this Opinion Letter as an exhibit to the Registration Statement. In giving such consent we do not thereby admit that we are in the category of persons whose consent is required under Section 7 of the Securities Act.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faithfully,</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Clifford Chance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CLIFFORD CHANCE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365760</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060"/>
          </w:cols>
          <w:pgMar w:left="320" w:top="580" w:right="519" w:bottom="1440" w:gutter="0" w:footer="0" w:header="0"/>
        </w:sectPr>
      </w:pPr>
    </w:p>
    <w:bookmarkStart w:id="9" w:name="page10"/>
    <w:bookmarkEnd w:id="9"/>
    <w:p>
      <w:pPr>
        <w:ind w:left="3851"/>
        <w:spacing w:after="0"/>
        <w:rPr>
          <w:sz w:val="20"/>
          <w:szCs w:val="20"/>
          <w:color w:val="auto"/>
        </w:rPr>
      </w:pPr>
      <w:r>
        <w:rPr>
          <w:rFonts w:ascii="Times New Roman" w:cs="Times New Roman" w:eastAsia="Times New Roman" w:hAnsi="Times New Roman"/>
          <w:sz w:val="18"/>
          <w:szCs w:val="18"/>
          <w:b w:val="1"/>
          <w:bCs w:val="1"/>
          <w:color w:val="auto"/>
        </w:rPr>
        <w:t>SCHEDULE 1 DOCUMENTS</w:t>
      </w:r>
    </w:p>
    <w:p>
      <w:pPr>
        <w:spacing w:after="0" w:line="200" w:lineRule="exact"/>
        <w:rPr>
          <w:sz w:val="20"/>
          <w:szCs w:val="20"/>
          <w:color w:val="auto"/>
        </w:rPr>
      </w:pPr>
    </w:p>
    <w:p>
      <w:pPr>
        <w:spacing w:after="0" w:line="241" w:lineRule="exact"/>
        <w:rPr>
          <w:sz w:val="20"/>
          <w:szCs w:val="20"/>
          <w:color w:val="auto"/>
        </w:rPr>
      </w:pPr>
    </w:p>
    <w:p>
      <w:pPr>
        <w:ind w:left="11"/>
        <w:spacing w:after="0"/>
        <w:rPr>
          <w:sz w:val="20"/>
          <w:szCs w:val="20"/>
          <w:color w:val="auto"/>
        </w:rPr>
      </w:pPr>
      <w:r>
        <w:rPr>
          <w:rFonts w:ascii="Times New Roman" w:cs="Times New Roman" w:eastAsia="Times New Roman" w:hAnsi="Times New Roman"/>
          <w:sz w:val="18"/>
          <w:szCs w:val="18"/>
          <w:color w:val="auto"/>
        </w:rPr>
        <w:t>For the purpose of this Opinion Letter, we have examined the following documents (the “</w:t>
      </w:r>
      <w:r>
        <w:rPr>
          <w:rFonts w:ascii="Times New Roman" w:cs="Times New Roman" w:eastAsia="Times New Roman" w:hAnsi="Times New Roman"/>
          <w:sz w:val="18"/>
          <w:szCs w:val="18"/>
          <w:b w:val="1"/>
          <w:bCs w:val="1"/>
          <w:color w:val="auto"/>
        </w:rPr>
        <w:t>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51" w:hanging="651"/>
        <w:spacing w:after="0"/>
        <w:tabs>
          <w:tab w:leader="none" w:pos="6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Constitutional Documents</w:t>
      </w:r>
    </w:p>
    <w:p>
      <w:pPr>
        <w:spacing w:after="0" w:line="225" w:lineRule="exact"/>
        <w:rPr>
          <w:rFonts w:ascii="Times New Roman" w:cs="Times New Roman" w:eastAsia="Times New Roman" w:hAnsi="Times New Roman"/>
          <w:sz w:val="18"/>
          <w:szCs w:val="18"/>
          <w:color w:val="auto"/>
        </w:rPr>
      </w:pPr>
    </w:p>
    <w:p>
      <w:pPr>
        <w:ind w:left="1311" w:hanging="649"/>
        <w:spacing w:after="0"/>
        <w:tabs>
          <w:tab w:leader="none" w:pos="1311"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constitution adopted on 7 October 2021 and in force as at the date of this Opinion Letter ("</w:t>
      </w:r>
      <w:r>
        <w:rPr>
          <w:rFonts w:ascii="Times New Roman" w:cs="Times New Roman" w:eastAsia="Times New Roman" w:hAnsi="Times New Roman"/>
          <w:sz w:val="18"/>
          <w:szCs w:val="18"/>
          <w:b w:val="1"/>
          <w:bCs w:val="1"/>
          <w:color w:val="auto"/>
        </w:rPr>
        <w:t>Constitution</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51" w:hanging="651"/>
        <w:spacing w:after="0"/>
        <w:tabs>
          <w:tab w:leader="none" w:pos="6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Registration Certificate</w:t>
      </w:r>
    </w:p>
    <w:p>
      <w:pPr>
        <w:spacing w:after="0" w:line="229" w:lineRule="exact"/>
        <w:rPr>
          <w:rFonts w:ascii="Times New Roman" w:cs="Times New Roman" w:eastAsia="Times New Roman" w:hAnsi="Times New Roman"/>
          <w:sz w:val="18"/>
          <w:szCs w:val="18"/>
          <w:color w:val="auto"/>
        </w:rPr>
      </w:pPr>
    </w:p>
    <w:p>
      <w:pPr>
        <w:ind w:left="1291" w:hanging="643"/>
        <w:spacing w:after="0"/>
        <w:tabs>
          <w:tab w:leader="none" w:pos="1291"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copy of the Company's registration certificate dated 23 November 2021.</w:t>
      </w:r>
    </w:p>
    <w:p>
      <w:pPr>
        <w:spacing w:after="0" w:line="221" w:lineRule="exact"/>
        <w:rPr>
          <w:rFonts w:ascii="Times New Roman" w:cs="Times New Roman" w:eastAsia="Times New Roman" w:hAnsi="Times New Roman"/>
          <w:sz w:val="18"/>
          <w:szCs w:val="18"/>
          <w:color w:val="auto"/>
        </w:rPr>
      </w:pPr>
    </w:p>
    <w:p>
      <w:pPr>
        <w:ind w:left="651" w:hanging="651"/>
        <w:spacing w:after="0"/>
        <w:tabs>
          <w:tab w:leader="none" w:pos="651"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Registration Statement</w:t>
      </w:r>
    </w:p>
    <w:p>
      <w:pPr>
        <w:spacing w:after="0" w:line="229" w:lineRule="exact"/>
        <w:rPr>
          <w:rFonts w:ascii="Times New Roman" w:cs="Times New Roman" w:eastAsia="Times New Roman" w:hAnsi="Times New Roman"/>
          <w:sz w:val="18"/>
          <w:szCs w:val="18"/>
          <w:color w:val="auto"/>
        </w:rPr>
      </w:pPr>
    </w:p>
    <w:p>
      <w:pPr>
        <w:ind w:left="1311" w:hanging="649"/>
        <w:spacing w:after="0" w:line="282" w:lineRule="auto"/>
        <w:tabs>
          <w:tab w:leader="none" w:pos="1311" w:val="left"/>
        </w:tabs>
        <w:numPr>
          <w:ilvl w:val="2"/>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Registration Statement on Form S-8 (dated 27 June 2024) filed with the U.S. Securities and Exchange Commission under the Securities Act of 1993, as amended.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-76200</wp:posOffset>
            </wp:positionH>
            <wp:positionV relativeFrom="paragraph">
              <wp:posOffset>474345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11"/>
          </w:cols>
          <w:pgMar w:left="449" w:top="576" w:right="339" w:bottom="1440" w:gutter="0" w:footer="0" w:header="0"/>
        </w:sectPr>
      </w:pPr>
    </w:p>
    <w:bookmarkStart w:id="10" w:name="page11"/>
    <w:bookmarkEnd w:id="10"/>
    <w:p>
      <w:pPr>
        <w:jc w:val="center"/>
        <w:ind w:right="180"/>
        <w:spacing w:after="0"/>
        <w:rPr>
          <w:sz w:val="20"/>
          <w:szCs w:val="20"/>
          <w:color w:val="auto"/>
        </w:rPr>
      </w:pPr>
      <w:r>
        <w:rPr>
          <w:rFonts w:ascii="Times New Roman" w:cs="Times New Roman" w:eastAsia="Times New Roman" w:hAnsi="Times New Roman"/>
          <w:sz w:val="18"/>
          <w:szCs w:val="18"/>
          <w:b w:val="1"/>
          <w:bCs w:val="1"/>
          <w:color w:val="auto"/>
        </w:rPr>
        <w:t>SCHEDULE 2 ASSUMPTIONS</w:t>
      </w:r>
    </w:p>
    <w:p>
      <w:pPr>
        <w:spacing w:after="0" w:line="22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8"/>
          <w:szCs w:val="18"/>
          <w:color w:val="auto"/>
        </w:rPr>
        <w:t>The opinions expressed in this Opinion Letter have been made on the following assumptions which are made on the date of this Opinion Letter.</w:t>
      </w:r>
    </w:p>
    <w:p>
      <w:pPr>
        <w:spacing w:after="0" w:line="221" w:lineRule="exact"/>
        <w:rPr>
          <w:sz w:val="20"/>
          <w:szCs w:val="20"/>
          <w:color w:val="auto"/>
        </w:rPr>
      </w:pPr>
    </w:p>
    <w:p>
      <w:pPr>
        <w:ind w:left="660" w:hanging="65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ORIGINAL AND GENUINE DOCUMENTATION</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320" w:hanging="649"/>
        <w:spacing w:after="0"/>
        <w:tabs>
          <w:tab w:leader="none" w:pos="13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signatures are genuine, all original documents are authentic and all copy documents are complete and conform to the originals.</w:t>
      </w:r>
    </w:p>
    <w:p>
      <w:pPr>
        <w:spacing w:after="0" w:line="27" w:lineRule="exact"/>
        <w:rPr>
          <w:rFonts w:ascii="Times New Roman" w:cs="Times New Roman" w:eastAsia="Times New Roman" w:hAnsi="Times New Roman"/>
          <w:sz w:val="18"/>
          <w:szCs w:val="18"/>
          <w:color w:val="auto"/>
        </w:rPr>
      </w:pPr>
    </w:p>
    <w:p>
      <w:pPr>
        <w:ind w:left="1320" w:hanging="649"/>
        <w:spacing w:after="0" w:line="250" w:lineRule="auto"/>
        <w:tabs>
          <w:tab w:leader="none" w:pos="13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legal capacity of all managers and directors and any other authorised signatories and the Documents have been executed (where applicable) by the signatories indicated thereon.</w:t>
      </w:r>
    </w:p>
    <w:p>
      <w:pPr>
        <w:ind w:left="1300" w:hanging="643"/>
        <w:spacing w:after="0"/>
        <w:tabs>
          <w:tab w:leader="none" w:pos="1300" w:val="left"/>
        </w:tabs>
        <w:numPr>
          <w:ilvl w:val="1"/>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statement of facts contained in the Documents are accurate and complete.</w:t>
      </w:r>
    </w:p>
    <w:p>
      <w:pPr>
        <w:spacing w:after="0" w:line="200" w:lineRule="exact"/>
        <w:rPr>
          <w:rFonts w:ascii="Times New Roman" w:cs="Times New Roman" w:eastAsia="Times New Roman" w:hAnsi="Times New Roman"/>
          <w:sz w:val="18"/>
          <w:szCs w:val="18"/>
          <w:color w:val="auto"/>
        </w:rPr>
      </w:pPr>
    </w:p>
    <w:p>
      <w:pPr>
        <w:spacing w:after="0" w:line="218"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VALID OBLIGATIONS</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320" w:hanging="649"/>
        <w:spacing w:after="0" w:line="282" w:lineRule="auto"/>
        <w:tabs>
          <w:tab w:leader="none" w:pos="13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under the Plan Rules are valid, legally binding upon, validly perfected where required, and enforceable against, the parties to the Plan Rules as a matter of all relevant laws (including the laws of Australia).</w:t>
      </w:r>
    </w:p>
    <w:p>
      <w:pPr>
        <w:spacing w:after="0" w:line="161" w:lineRule="exact"/>
        <w:rPr>
          <w:rFonts w:ascii="Times New Roman" w:cs="Times New Roman" w:eastAsia="Times New Roman" w:hAnsi="Times New Roman"/>
          <w:sz w:val="18"/>
          <w:szCs w:val="18"/>
          <w:color w:val="auto"/>
        </w:rPr>
      </w:pPr>
    </w:p>
    <w:p>
      <w:pPr>
        <w:ind w:left="1320" w:hanging="649"/>
        <w:spacing w:after="0" w:line="282" w:lineRule="auto"/>
        <w:tabs>
          <w:tab w:leader="none" w:pos="13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acts, conditions or things required to be fulfilled, performed or effected in connection with the Plan Rules under the laws of any jurisdiction (other than Australia but only to the extent opined herein) have been duly fulfilled, performed and effected.</w:t>
      </w:r>
    </w:p>
    <w:p>
      <w:pPr>
        <w:spacing w:after="0" w:line="161" w:lineRule="exact"/>
        <w:rPr>
          <w:rFonts w:ascii="Times New Roman" w:cs="Times New Roman" w:eastAsia="Times New Roman" w:hAnsi="Times New Roman"/>
          <w:sz w:val="18"/>
          <w:szCs w:val="18"/>
          <w:color w:val="auto"/>
        </w:rPr>
      </w:pPr>
    </w:p>
    <w:p>
      <w:pPr>
        <w:ind w:left="1320" w:right="20" w:hanging="649"/>
        <w:spacing w:after="0" w:line="282" w:lineRule="auto"/>
        <w:tabs>
          <w:tab w:leader="none" w:pos="1320" w:val="left"/>
        </w:tabs>
        <w:numPr>
          <w:ilvl w:val="2"/>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are no provisions of the laws of any jurisdiction other than Australia that would adversely affect the opinions expressed in this Opinion Letter.</w:t>
      </w:r>
    </w:p>
    <w:p>
      <w:pPr>
        <w:spacing w:after="0" w:line="373" w:lineRule="exact"/>
        <w:rPr>
          <w:rFonts w:ascii="Times New Roman" w:cs="Times New Roman" w:eastAsia="Times New Roman" w:hAnsi="Times New Roman"/>
          <w:sz w:val="18"/>
          <w:szCs w:val="18"/>
          <w:color w:val="auto"/>
        </w:rPr>
      </w:pPr>
    </w:p>
    <w:p>
      <w:pPr>
        <w:ind w:left="660" w:hanging="651"/>
        <w:spacing w:after="0"/>
        <w:tabs>
          <w:tab w:leader="none" w:pos="6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CORPORATE MATTERS</w:t>
      </w:r>
    </w:p>
    <w:p>
      <w:pPr>
        <w:spacing w:after="0" w:line="200" w:lineRule="exact"/>
        <w:rPr>
          <w:rFonts w:ascii="Times New Roman" w:cs="Times New Roman" w:eastAsia="Times New Roman" w:hAnsi="Times New Roman"/>
          <w:sz w:val="18"/>
          <w:szCs w:val="18"/>
          <w:color w:val="auto"/>
        </w:rPr>
      </w:pPr>
    </w:p>
    <w:p>
      <w:pPr>
        <w:spacing w:after="0" w:line="245" w:lineRule="exact"/>
        <w:rPr>
          <w:rFonts w:ascii="Times New Roman" w:cs="Times New Roman" w:eastAsia="Times New Roman" w:hAnsi="Times New Roman"/>
          <w:sz w:val="18"/>
          <w:szCs w:val="18"/>
          <w:color w:val="auto"/>
        </w:rPr>
      </w:pPr>
    </w:p>
    <w:p>
      <w:pPr>
        <w:ind w:left="1300" w:hanging="643"/>
        <w:spacing w:after="0"/>
        <w:tabs>
          <w:tab w:leader="none" w:pos="130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 have been and there shall be no amendments to the Constitution.</w:t>
      </w:r>
    </w:p>
    <w:p>
      <w:pPr>
        <w:spacing w:after="0" w:line="225" w:lineRule="exact"/>
        <w:rPr>
          <w:rFonts w:ascii="Times New Roman" w:cs="Times New Roman" w:eastAsia="Times New Roman" w:hAnsi="Times New Roman"/>
          <w:sz w:val="18"/>
          <w:szCs w:val="18"/>
          <w:color w:val="auto"/>
        </w:rPr>
      </w:pPr>
    </w:p>
    <w:p>
      <w:pPr>
        <w:ind w:left="1320" w:hanging="649"/>
        <w:spacing w:after="0"/>
        <w:tabs>
          <w:tab w:leader="none" w:pos="1320" w:val="left"/>
        </w:tabs>
        <w:numPr>
          <w:ilvl w:val="2"/>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resolutions passed by the Company shall be validly taken and all statements made therein shall be true, accurate and up-to-date.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-70485</wp:posOffset>
            </wp:positionH>
            <wp:positionV relativeFrom="paragraph">
              <wp:posOffset>394335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120"/>
          </w:cols>
          <w:pgMar w:left="440" w:top="576" w:right="339" w:bottom="1440" w:gutter="0" w:footer="0" w:header="0"/>
        </w:sectPr>
      </w:pPr>
    </w:p>
    <w:bookmarkStart w:id="11" w:name="page12"/>
    <w:bookmarkEnd w:id="11"/>
    <w:p>
      <w:pPr>
        <w:ind w:left="649" w:hanging="649"/>
        <w:spacing w:after="0" w:line="282" w:lineRule="auto"/>
        <w:tabs>
          <w:tab w:leader="none" w:pos="6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Once taken, board resolutions passed by the Company, including the powers granted therein, shall not be amended or rescinded and shall remain in full force and effect.</w:t>
      </w:r>
    </w:p>
    <w:p>
      <w:pPr>
        <w:spacing w:after="0" w:line="188" w:lineRule="exact"/>
        <w:rPr>
          <w:rFonts w:ascii="Times New Roman" w:cs="Times New Roman" w:eastAsia="Times New Roman" w:hAnsi="Times New Roman"/>
          <w:sz w:val="18"/>
          <w:szCs w:val="18"/>
          <w:color w:val="auto"/>
        </w:rPr>
      </w:pPr>
    </w:p>
    <w:p>
      <w:pPr>
        <w:ind w:left="649" w:hanging="649"/>
        <w:spacing w:after="0"/>
        <w:tabs>
          <w:tab w:leader="none" w:pos="6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LTIP Shares shall be issued in accordance with the Plan Rules, Constitution and board resolutions to be passed by the Company.</w:t>
      </w:r>
    </w:p>
    <w:p>
      <w:pPr>
        <w:spacing w:after="0" w:line="225" w:lineRule="exact"/>
        <w:rPr>
          <w:rFonts w:ascii="Times New Roman" w:cs="Times New Roman" w:eastAsia="Times New Roman" w:hAnsi="Times New Roman"/>
          <w:sz w:val="18"/>
          <w:szCs w:val="18"/>
          <w:color w:val="auto"/>
        </w:rPr>
      </w:pPr>
    </w:p>
    <w:p>
      <w:pPr>
        <w:jc w:val="both"/>
        <w:ind w:left="649" w:hanging="649"/>
        <w:spacing w:after="0" w:line="266" w:lineRule="auto"/>
        <w:tabs>
          <w:tab w:leader="none" w:pos="6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 is not subject to an insolvency event as a matter of Australian law, including any bankruptcy, arrangement with creditors, reorganisation, receivership, voluntary administration, dissolution or liquidation or any similar procedure affecting the rights of creditors generally, whether under Australian law or any other law.</w:t>
      </w:r>
    </w:p>
    <w:p>
      <w:pPr>
        <w:spacing w:after="0" w:line="175" w:lineRule="exact"/>
        <w:rPr>
          <w:rFonts w:ascii="Times New Roman" w:cs="Times New Roman" w:eastAsia="Times New Roman" w:hAnsi="Times New Roman"/>
          <w:sz w:val="18"/>
          <w:szCs w:val="18"/>
          <w:color w:val="auto"/>
        </w:rPr>
      </w:pPr>
    </w:p>
    <w:p>
      <w:pPr>
        <w:ind w:left="649" w:hanging="649"/>
        <w:spacing w:after="0" w:line="282" w:lineRule="auto"/>
        <w:tabs>
          <w:tab w:leader="none" w:pos="6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all shareholders of the Company being in the same situation are being treated equally (including in relation to provision of information to shareholders by the Company).</w:t>
      </w:r>
    </w:p>
    <w:p>
      <w:pPr>
        <w:spacing w:after="0" w:line="188" w:lineRule="exact"/>
        <w:rPr>
          <w:rFonts w:ascii="Times New Roman" w:cs="Times New Roman" w:eastAsia="Times New Roman" w:hAnsi="Times New Roman"/>
          <w:sz w:val="18"/>
          <w:szCs w:val="18"/>
          <w:color w:val="auto"/>
        </w:rPr>
      </w:pPr>
    </w:p>
    <w:p>
      <w:pPr>
        <w:ind w:left="649" w:hanging="649"/>
        <w:spacing w:after="0"/>
        <w:tabs>
          <w:tab w:leader="none" w:pos="6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entry into, the execution of the Plan Rules is in the corporate interest of the Company.</w:t>
      </w:r>
    </w:p>
    <w:p>
      <w:pPr>
        <w:spacing w:after="0" w:line="252" w:lineRule="exact"/>
        <w:rPr>
          <w:rFonts w:ascii="Times New Roman" w:cs="Times New Roman" w:eastAsia="Times New Roman" w:hAnsi="Times New Roman"/>
          <w:sz w:val="18"/>
          <w:szCs w:val="18"/>
          <w:color w:val="auto"/>
        </w:rPr>
      </w:pPr>
    </w:p>
    <w:p>
      <w:pPr>
        <w:jc w:val="both"/>
        <w:ind w:left="649" w:hanging="649"/>
        <w:spacing w:after="0" w:line="266" w:lineRule="auto"/>
        <w:tabs>
          <w:tab w:leader="none" w:pos="649"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Plan Rules are entered into with bona fide commercial intent, at arm’s length and without any fraudulent intent or any intention to deprive of any benefit any other persons or parties (including creditors) or to breach or circumvent any applicable mandatory laws or regulations of any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-496570</wp:posOffset>
            </wp:positionH>
            <wp:positionV relativeFrom="paragraph">
              <wp:posOffset>363220</wp:posOffset>
            </wp:positionV>
            <wp:extent cx="713232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449"/>
          </w:cols>
          <w:pgMar w:left="1111" w:top="580" w:right="339" w:bottom="1440" w:gutter="0" w:footer="0" w:header="0"/>
        </w:sectPr>
      </w:pPr>
    </w:p>
    <w:bookmarkStart w:id="12" w:name="page13"/>
    <w:bookmarkEnd w:id="12"/>
    <w:p>
      <w:pPr>
        <w:jc w:val="right"/>
        <w:spacing w:after="0"/>
        <w:rPr>
          <w:sz w:val="20"/>
          <w:szCs w:val="20"/>
          <w:color w:val="auto"/>
        </w:rPr>
      </w:pPr>
      <w:r>
        <w:rPr>
          <w:rFonts w:ascii="Times New Roman" w:cs="Times New Roman" w:eastAsia="Times New Roman" w:hAnsi="Times New Roman"/>
          <w:sz w:val="18"/>
          <w:szCs w:val="18"/>
          <w:b w:val="1"/>
          <w:bCs w:val="1"/>
          <w:color w:val="auto"/>
        </w:rPr>
        <w:t>Exhibit 23.1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5902960</wp:posOffset>
            </wp:positionH>
            <wp:positionV relativeFrom="paragraph">
              <wp:posOffset>156845</wp:posOffset>
            </wp:positionV>
            <wp:extent cx="123444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2">
                      <a:extLst>
                        <a:ext uri="{28A0092B-C50C-407E-A947-70E740481C1C}"/>
                      </a:extLst>
                    </a:blip>
                    <a:srcRect/>
                    <a:stretch>
                      <a:fillRect/>
                    </a:stretch>
                  </pic:blipFill>
                  <pic:spPr bwMode="auto">
                    <a:xfrm>
                      <a:off x="0" y="0"/>
                      <a:ext cx="123444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CONSENT OF INDEPENDENT REGISTERED PUBLIC ACCOUNTING FIRM</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Iris Energy Limited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Sydney, NSW, Australia</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into this Registration Statement on Form S-8 of Iris Energy Limited of our report dated September 13, 2022, with respect to the audit of the consolidated financial statements of Iris Energy Limited as of June 30, 2022, 2021 and 2020 and for the years then ended, which report appears in the Annual Report on Form 20-F for the year ended June 30, 2023, of Iris Energy Limited.</w:t>
      </w:r>
    </w:p>
    <w:p>
      <w:pPr>
        <w:spacing w:after="0" w:line="335"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Armanino</w:t>
      </w:r>
      <w:r>
        <w:rPr>
          <w:rFonts w:ascii="Times New Roman" w:cs="Times New Roman" w:eastAsia="Times New Roman" w:hAnsi="Times New Roman"/>
          <w:sz w:val="29"/>
          <w:szCs w:val="29"/>
          <w:color w:val="auto"/>
          <w:vertAlign w:val="superscript"/>
        </w:rPr>
        <w:t>LLP</w:t>
      </w:r>
    </w:p>
    <w:p>
      <w:pPr>
        <w:ind w:left="5620"/>
        <w:spacing w:after="0"/>
        <w:rPr>
          <w:sz w:val="20"/>
          <w:szCs w:val="20"/>
          <w:color w:val="auto"/>
        </w:rPr>
      </w:pPr>
      <w:r>
        <w:rPr>
          <w:rFonts w:ascii="Times New Roman" w:cs="Times New Roman" w:eastAsia="Times New Roman" w:hAnsi="Times New Roman"/>
          <w:sz w:val="18"/>
          <w:szCs w:val="18"/>
          <w:color w:val="auto"/>
        </w:rPr>
        <w:t>Dallas, Texas</w:t>
      </w:r>
    </w:p>
    <w:p>
      <w:pPr>
        <w:spacing w:after="0" w:line="20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531495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206375</wp:posOffset>
            </wp:positionH>
            <wp:positionV relativeFrom="page">
              <wp:posOffset>88900</wp:posOffset>
            </wp:positionV>
            <wp:extent cx="7153275" cy="3619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4">
                      <a:extLst>
                        <a:ext uri="{28A0092B-C50C-407E-A947-70E740481C1C}"/>
                      </a:extLst>
                    </a:blip>
                    <a:srcRect/>
                    <a:stretch>
                      <a:fillRect/>
                    </a:stretch>
                  </pic:blipFill>
                  <pic:spPr bwMode="auto">
                    <a:xfrm>
                      <a:off x="0" y="0"/>
                      <a:ext cx="7153275" cy="36195"/>
                    </a:xfrm>
                    <a:prstGeom prst="rect">
                      <a:avLst/>
                    </a:prstGeom>
                    <a:noFill/>
                  </pic:spPr>
                </pic:pic>
              </a:graphicData>
            </a:graphic>
          </wp:anchor>
        </w:drawing>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40322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5">
                      <a:extLst>
                        <a:ext uri="{28A0092B-C50C-407E-A947-70E740481C1C}"/>
                      </a:extLst>
                    </a:blip>
                    <a:srcRect/>
                    <a:stretch>
                      <a:fillRect/>
                    </a:stretch>
                  </pic:blipFill>
                  <pic:spPr bwMode="auto">
                    <a:xfrm>
                      <a:off x="0" y="0"/>
                      <a:ext cx="7132320" cy="4032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b w:val="1"/>
          <w:bCs w:val="1"/>
          <w:color w:val="auto"/>
        </w:rPr>
        <w:t>Raymond Chabot Grant Thornton LLP</w:t>
      </w:r>
    </w:p>
    <w:p>
      <w:pPr>
        <w:spacing w:after="0" w:line="31"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Suite 2000</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National Bank Tower</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600 De La Gauchetière Street West</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Montréal, Quebec</w:t>
      </w:r>
    </w:p>
    <w:p>
      <w:pPr>
        <w:spacing w:after="0" w:line="9" w:lineRule="exact"/>
        <w:rPr>
          <w:sz w:val="20"/>
          <w:szCs w:val="20"/>
          <w:color w:val="auto"/>
        </w:rPr>
      </w:pPr>
    </w:p>
    <w:p>
      <w:pPr>
        <w:ind w:left="5020"/>
        <w:spacing w:after="0"/>
        <w:rPr>
          <w:sz w:val="20"/>
          <w:szCs w:val="20"/>
          <w:color w:val="auto"/>
        </w:rPr>
      </w:pPr>
      <w:r>
        <w:rPr>
          <w:rFonts w:ascii="Times New Roman" w:cs="Times New Roman" w:eastAsia="Times New Roman" w:hAnsi="Times New Roman"/>
          <w:sz w:val="18"/>
          <w:szCs w:val="18"/>
          <w:color w:val="auto"/>
        </w:rPr>
        <w:t>H3B 4L8</w:t>
      </w:r>
    </w:p>
    <w:p>
      <w:pPr>
        <w:spacing w:after="0" w:line="9" w:lineRule="exact"/>
        <w:rPr>
          <w:sz w:val="20"/>
          <w:szCs w:val="20"/>
          <w:color w:val="auto"/>
        </w:rPr>
      </w:pPr>
    </w:p>
    <w:p>
      <w:pPr>
        <w:ind w:left="5180" w:hanging="164"/>
        <w:spacing w:after="0"/>
        <w:tabs>
          <w:tab w:leader="none" w:pos="51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514-878-2691</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Consent of Independent Registered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Accounting Firm</w:t>
      </w:r>
    </w:p>
    <w:p>
      <w:pPr>
        <w:spacing w:after="0" w:line="229" w:lineRule="exact"/>
        <w:rPr>
          <w:sz w:val="20"/>
          <w:szCs w:val="20"/>
          <w:color w:val="auto"/>
        </w:rPr>
      </w:pPr>
    </w:p>
    <w:p>
      <w:pPr>
        <w:ind w:right="140"/>
        <w:spacing w:after="0" w:line="266" w:lineRule="auto"/>
        <w:rPr>
          <w:sz w:val="20"/>
          <w:szCs w:val="20"/>
          <w:color w:val="auto"/>
        </w:rPr>
      </w:pPr>
      <w:r>
        <w:rPr>
          <w:rFonts w:ascii="Times New Roman" w:cs="Times New Roman" w:eastAsia="Times New Roman" w:hAnsi="Times New Roman"/>
          <w:sz w:val="18"/>
          <w:szCs w:val="18"/>
          <w:color w:val="auto"/>
        </w:rPr>
        <w:t>We hereby consent to the incorporation by reference in this Registration Statement on Form S-8 of our report dated September 13, 2023, relating to the consolidated financial statements of Iris Energy Limited, appearing in the Annual Report on Form 20-F of Iris Energy Limited for the year ended June 30, 2023.</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Yours very truly,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 Raymond Chabot Grant Thornton LLP</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Montreal, Quebec, Canada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27,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spacing w:after="0"/>
        <w:tabs>
          <w:tab w:leader="none" w:pos="10540" w:val="left"/>
        </w:tabs>
        <w:rPr>
          <w:sz w:val="20"/>
          <w:szCs w:val="20"/>
          <w:color w:val="auto"/>
        </w:rPr>
      </w:pPr>
      <w:r>
        <w:rPr>
          <w:rFonts w:ascii="Times New Roman" w:cs="Times New Roman" w:eastAsia="Times New Roman" w:hAnsi="Times New Roman"/>
          <w:sz w:val="18"/>
          <w:szCs w:val="18"/>
          <w:color w:val="auto"/>
        </w:rPr>
        <w:t>Member of Grant Thornton International Ltd</w:t>
      </w:r>
      <w:r>
        <w:rPr>
          <w:sz w:val="20"/>
          <w:szCs w:val="20"/>
          <w:color w:val="auto"/>
        </w:rPr>
        <w:tab/>
      </w:r>
      <w:r>
        <w:rPr>
          <w:rFonts w:ascii="Times New Roman" w:cs="Times New Roman" w:eastAsia="Times New Roman" w:hAnsi="Times New Roman"/>
          <w:sz w:val="18"/>
          <w:szCs w:val="18"/>
          <w:b w:val="1"/>
          <w:bCs w:val="1"/>
          <w:color w:val="auto"/>
        </w:rPr>
        <w:t>rcgt.com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86360</wp:posOffset>
            </wp:positionV>
            <wp:extent cx="7153275" cy="209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7">
                      <a:extLst>
                        <a:ext uri="{28A0092B-C50C-407E-A947-70E740481C1C}"/>
                      </a:extLst>
                    </a:blip>
                    <a:srcRect/>
                    <a:stretch>
                      <a:fillRect/>
                    </a:stretch>
                  </pic:blipFill>
                  <pic:spPr bwMode="auto">
                    <a:xfrm>
                      <a:off x="0" y="0"/>
                      <a:ext cx="7153275" cy="20955"/>
                    </a:xfrm>
                    <a:prstGeom prst="rect">
                      <a:avLst/>
                    </a:prstGeom>
                    <a:noFill/>
                  </pic:spPr>
                </pic:pic>
              </a:graphicData>
            </a:graphic>
          </wp:anchor>
        </w:drawing>
      </w:r>
    </w:p>
    <w:p>
      <w:pPr>
        <w:sectPr>
          <w:pgSz w:w="11900" w:h="16838" w:orient="portrait"/>
          <w:cols w:equalWidth="0" w:num="1">
            <w:col w:w="11240"/>
          </w:cols>
          <w:pgMar w:left="320" w:top="279" w:right="339" w:bottom="1440" w:gutter="0" w:footer="0" w:header="0"/>
        </w:sectPr>
      </w:pPr>
    </w:p>
    <w:bookmarkStart w:id="14" w:name="page15"/>
    <w:bookmarkEnd w:id="14"/>
    <w:p>
      <w:pPr>
        <w:jc w:val="right"/>
        <w:spacing w:after="0"/>
        <w:rPr>
          <w:sz w:val="20"/>
          <w:szCs w:val="20"/>
          <w:color w:val="auto"/>
        </w:rPr>
      </w:pPr>
      <w:r>
        <w:rPr>
          <w:rFonts w:ascii="Times New Roman" w:cs="Times New Roman" w:eastAsia="Times New Roman" w:hAnsi="Times New Roman"/>
          <w:sz w:val="22"/>
          <w:szCs w:val="22"/>
          <w:b w:val="1"/>
          <w:bCs w:val="1"/>
          <w:color w:val="auto"/>
        </w:rPr>
        <w:t>Exhibit 107.1</w:t>
      </w: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Calculation of Filing Fee Tables</w:t>
      </w:r>
    </w:p>
    <w:p>
      <w:pPr>
        <w:spacing w:after="0" w:line="2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FORM S-8</w:t>
      </w:r>
    </w:p>
    <w:p>
      <w:pPr>
        <w:spacing w:after="0" w:line="3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REGISTRATION STATEMENT UNDER</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THE SECURITIES ACT OF 1933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154305</wp:posOffset>
            </wp:positionV>
            <wp:extent cx="219456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8">
                      <a:extLst>
                        <a:ext uri="{28A0092B-C50C-407E-A947-70E740481C1C}"/>
                      </a:extLst>
                    </a:blip>
                    <a:srcRect/>
                    <a:stretch>
                      <a:fillRect/>
                    </a:stretch>
                  </pic:blipFill>
                  <pic:spPr bwMode="auto">
                    <a:xfrm>
                      <a:off x="0" y="0"/>
                      <a:ext cx="2194560" cy="8255"/>
                    </a:xfrm>
                    <a:prstGeom prst="rect">
                      <a:avLst/>
                    </a:prstGeom>
                    <a:noFill/>
                  </pic:spPr>
                </pic:pic>
              </a:graphicData>
            </a:graphic>
          </wp:anchor>
        </w:drawing>
      </w: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5"/>
          <w:szCs w:val="25"/>
          <w:color w:val="auto"/>
        </w:rPr>
        <w:t>IRIS ENERGY LIMITED</w:t>
      </w:r>
    </w:p>
    <w:p>
      <w:pPr>
        <w:spacing w:after="0" w:line="3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Table 1: Newly Registered Securities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92"/>
        </w:trPr>
        <w:tc>
          <w:tcPr>
            <w:tcW w:w="40" w:type="dxa"/>
            <w:vAlign w:val="bottom"/>
            <w:tcBorders>
              <w:top w:val="single" w:sz="8" w:color="auto"/>
              <w:right w:val="single" w:sz="8" w:color="auto"/>
            </w:tcBorders>
            <w:shd w:val="clear" w:color="auto" w:fill="000000"/>
          </w:tcPr>
          <w:p>
            <w:pPr>
              <w:spacing w:after="0"/>
              <w:rPr>
                <w:sz w:val="24"/>
                <w:szCs w:val="24"/>
                <w:color w:val="auto"/>
              </w:rPr>
            </w:pPr>
          </w:p>
        </w:tc>
        <w:tc>
          <w:tcPr>
            <w:tcW w:w="1680" w:type="dxa"/>
            <w:vAlign w:val="bottom"/>
            <w:tcBorders>
              <w:top w:val="single" w:sz="8" w:color="auto"/>
              <w:right w:val="single" w:sz="8" w:color="auto"/>
            </w:tcBorders>
          </w:tcPr>
          <w:p>
            <w:pPr>
              <w:spacing w:after="0"/>
              <w:rPr>
                <w:sz w:val="24"/>
                <w:szCs w:val="24"/>
                <w:color w:val="auto"/>
              </w:rPr>
            </w:pPr>
          </w:p>
        </w:tc>
        <w:tc>
          <w:tcPr>
            <w:tcW w:w="25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Title of Securities to be</w:t>
            </w:r>
          </w:p>
        </w:tc>
        <w:tc>
          <w:tcPr>
            <w:tcW w:w="146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Amount to be</w:t>
            </w:r>
          </w:p>
        </w:tc>
        <w:tc>
          <w:tcPr>
            <w:tcW w:w="18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Proposed Maximum</w:t>
            </w:r>
          </w:p>
        </w:tc>
        <w:tc>
          <w:tcPr>
            <w:tcW w:w="1900" w:type="dxa"/>
            <w:vAlign w:val="bottom"/>
            <w:tcBorders>
              <w:top w:val="single" w:sz="8" w:color="auto"/>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Proposed Maximum</w:t>
            </w:r>
          </w:p>
        </w:tc>
        <w:tc>
          <w:tcPr>
            <w:tcW w:w="1780" w:type="dxa"/>
            <w:vAlign w:val="bottom"/>
            <w:tcBorders>
              <w:top w:val="single" w:sz="8" w:color="auto"/>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Amount of</w:t>
            </w:r>
          </w:p>
        </w:tc>
        <w:tc>
          <w:tcPr>
            <w:tcW w:w="0" w:type="dxa"/>
            <w:vAlign w:val="bottom"/>
          </w:tcPr>
          <w:p>
            <w:pPr>
              <w:spacing w:after="0"/>
              <w:rPr>
                <w:sz w:val="1"/>
                <w:szCs w:val="1"/>
                <w:color w:val="auto"/>
              </w:rPr>
            </w:pPr>
          </w:p>
        </w:tc>
      </w:tr>
      <w:tr>
        <w:trPr>
          <w:trHeight w:val="85"/>
        </w:trPr>
        <w:tc>
          <w:tcPr>
            <w:tcW w:w="40" w:type="dxa"/>
            <w:vAlign w:val="bottom"/>
            <w:tcBorders>
              <w:right w:val="single" w:sz="8" w:color="auto"/>
            </w:tcBorders>
            <w:shd w:val="clear" w:color="auto" w:fill="000000"/>
          </w:tcPr>
          <w:p>
            <w:pPr>
              <w:spacing w:after="0"/>
              <w:rPr>
                <w:sz w:val="7"/>
                <w:szCs w:val="7"/>
                <w:color w:val="auto"/>
              </w:rPr>
            </w:pPr>
          </w:p>
        </w:tc>
        <w:tc>
          <w:tcPr>
            <w:tcW w:w="16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Security Type</w:t>
            </w:r>
          </w:p>
        </w:tc>
        <w:tc>
          <w:tcPr>
            <w:tcW w:w="2580" w:type="dxa"/>
            <w:vAlign w:val="bottom"/>
            <w:tcBorders>
              <w:right w:val="single" w:sz="8" w:color="auto"/>
            </w:tcBorders>
            <w:vMerge w:val="continue"/>
          </w:tcPr>
          <w:p>
            <w:pPr>
              <w:spacing w:after="0"/>
              <w:rPr>
                <w:sz w:val="7"/>
                <w:szCs w:val="7"/>
                <w:color w:val="auto"/>
              </w:rPr>
            </w:pPr>
          </w:p>
        </w:tc>
        <w:tc>
          <w:tcPr>
            <w:tcW w:w="1460" w:type="dxa"/>
            <w:vAlign w:val="bottom"/>
            <w:tcBorders>
              <w:right w:val="single" w:sz="8" w:color="auto"/>
            </w:tcBorders>
            <w:vMerge w:val="continue"/>
          </w:tcPr>
          <w:p>
            <w:pPr>
              <w:spacing w:after="0"/>
              <w:rPr>
                <w:sz w:val="7"/>
                <w:szCs w:val="7"/>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Offering Price Per</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Aggregate Offering</w:t>
            </w:r>
          </w:p>
        </w:tc>
        <w:tc>
          <w:tcPr>
            <w:tcW w:w="178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40" w:type="dxa"/>
            <w:vAlign w:val="bottom"/>
            <w:tcBorders>
              <w:right w:val="single" w:sz="8" w:color="auto"/>
            </w:tcBorders>
            <w:shd w:val="clear" w:color="auto" w:fill="000000"/>
          </w:tcPr>
          <w:p>
            <w:pPr>
              <w:spacing w:after="0"/>
              <w:rPr>
                <w:sz w:val="11"/>
                <w:szCs w:val="11"/>
                <w:color w:val="auto"/>
              </w:rPr>
            </w:pPr>
          </w:p>
        </w:tc>
        <w:tc>
          <w:tcPr>
            <w:tcW w:w="1680" w:type="dxa"/>
            <w:vAlign w:val="bottom"/>
            <w:tcBorders>
              <w:right w:val="single" w:sz="8" w:color="auto"/>
            </w:tcBorders>
            <w:vMerge w:val="continue"/>
          </w:tcPr>
          <w:p>
            <w:pPr>
              <w:spacing w:after="0"/>
              <w:rPr>
                <w:sz w:val="11"/>
                <w:szCs w:val="11"/>
                <w:color w:val="auto"/>
              </w:rPr>
            </w:pPr>
          </w:p>
        </w:tc>
        <w:tc>
          <w:tcPr>
            <w:tcW w:w="25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8"/>
              </w:rPr>
              <w:t>Registered</w:t>
            </w:r>
          </w:p>
        </w:tc>
        <w:tc>
          <w:tcPr>
            <w:tcW w:w="1460" w:type="dxa"/>
            <w:vAlign w:val="bottom"/>
            <w:tcBorders>
              <w:right w:val="single" w:sz="8" w:color="auto"/>
            </w:tcBorders>
            <w:vMerge w:val="restart"/>
          </w:tcPr>
          <w:p>
            <w:pPr>
              <w:jc w:val="center"/>
              <w:spacing w:after="0" w:line="312" w:lineRule="exact"/>
              <w:rPr>
                <w:sz w:val="20"/>
                <w:szCs w:val="20"/>
                <w:color w:val="auto"/>
              </w:rPr>
            </w:pPr>
            <w:r>
              <w:rPr>
                <w:rFonts w:ascii="Times New Roman" w:cs="Times New Roman" w:eastAsia="Times New Roman" w:hAnsi="Times New Roman"/>
                <w:sz w:val="18"/>
                <w:szCs w:val="18"/>
                <w:color w:val="auto"/>
                <w:w w:val="96"/>
              </w:rPr>
              <w:t>Registered</w:t>
            </w:r>
            <w:r>
              <w:rPr>
                <w:rFonts w:ascii="Times New Roman" w:cs="Times New Roman" w:eastAsia="Times New Roman" w:hAnsi="Times New Roman"/>
                <w:sz w:val="29"/>
                <w:szCs w:val="29"/>
                <w:color w:val="auto"/>
                <w:w w:val="96"/>
                <w:vertAlign w:val="superscript"/>
              </w:rPr>
              <w:t>(1)</w:t>
            </w:r>
          </w:p>
        </w:tc>
        <w:tc>
          <w:tcPr>
            <w:tcW w:w="1800" w:type="dxa"/>
            <w:vAlign w:val="bottom"/>
            <w:tcBorders>
              <w:right w:val="single" w:sz="8" w:color="auto"/>
            </w:tcBorders>
            <w:vMerge w:val="continue"/>
          </w:tcPr>
          <w:p>
            <w:pPr>
              <w:spacing w:after="0"/>
              <w:rPr>
                <w:sz w:val="11"/>
                <w:szCs w:val="11"/>
                <w:color w:val="auto"/>
              </w:rPr>
            </w:pPr>
          </w:p>
        </w:tc>
        <w:tc>
          <w:tcPr>
            <w:tcW w:w="1900" w:type="dxa"/>
            <w:vAlign w:val="bottom"/>
            <w:tcBorders>
              <w:right w:val="single" w:sz="8" w:color="auto"/>
            </w:tcBorders>
            <w:vMerge w:val="continue"/>
          </w:tcPr>
          <w:p>
            <w:pPr>
              <w:spacing w:after="0"/>
              <w:rPr>
                <w:sz w:val="11"/>
                <w:szCs w:val="11"/>
                <w:color w:val="auto"/>
              </w:rPr>
            </w:pPr>
          </w:p>
        </w:tc>
        <w:tc>
          <w:tcPr>
            <w:tcW w:w="178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Registration Fee</w:t>
            </w:r>
          </w:p>
        </w:tc>
        <w:tc>
          <w:tcPr>
            <w:tcW w:w="0" w:type="dxa"/>
            <w:vAlign w:val="bottom"/>
          </w:tcPr>
          <w:p>
            <w:pPr>
              <w:spacing w:after="0"/>
              <w:rPr>
                <w:sz w:val="1"/>
                <w:szCs w:val="1"/>
                <w:color w:val="auto"/>
              </w:rPr>
            </w:pPr>
          </w:p>
        </w:tc>
      </w:tr>
      <w:tr>
        <w:trPr>
          <w:trHeight w:val="180"/>
        </w:trPr>
        <w:tc>
          <w:tcPr>
            <w:tcW w:w="40" w:type="dxa"/>
            <w:vAlign w:val="bottom"/>
            <w:tcBorders>
              <w:right w:val="single" w:sz="8" w:color="auto"/>
            </w:tcBorders>
            <w:shd w:val="clear" w:color="auto" w:fill="000000"/>
          </w:tcPr>
          <w:p>
            <w:pPr>
              <w:spacing w:after="0"/>
              <w:rPr>
                <w:sz w:val="15"/>
                <w:szCs w:val="15"/>
                <w:color w:val="auto"/>
              </w:rPr>
            </w:pPr>
          </w:p>
        </w:tc>
        <w:tc>
          <w:tcPr>
            <w:tcW w:w="1680" w:type="dxa"/>
            <w:vAlign w:val="bottom"/>
            <w:tcBorders>
              <w:right w:val="single" w:sz="8" w:color="auto"/>
            </w:tcBorders>
          </w:tcPr>
          <w:p>
            <w:pPr>
              <w:spacing w:after="0"/>
              <w:rPr>
                <w:sz w:val="15"/>
                <w:szCs w:val="15"/>
                <w:color w:val="auto"/>
              </w:rPr>
            </w:pPr>
          </w:p>
        </w:tc>
        <w:tc>
          <w:tcPr>
            <w:tcW w:w="2580" w:type="dxa"/>
            <w:vAlign w:val="bottom"/>
            <w:tcBorders>
              <w:right w:val="single" w:sz="8" w:color="auto"/>
            </w:tcBorders>
            <w:vMerge w:val="continue"/>
          </w:tcPr>
          <w:p>
            <w:pPr>
              <w:spacing w:after="0"/>
              <w:rPr>
                <w:sz w:val="15"/>
                <w:szCs w:val="15"/>
                <w:color w:val="auto"/>
              </w:rPr>
            </w:pPr>
          </w:p>
        </w:tc>
        <w:tc>
          <w:tcPr>
            <w:tcW w:w="1460" w:type="dxa"/>
            <w:vAlign w:val="bottom"/>
            <w:tcBorders>
              <w:right w:val="single" w:sz="8" w:color="auto"/>
            </w:tcBorders>
            <w:vMerge w:val="continue"/>
          </w:tcPr>
          <w:p>
            <w:pPr>
              <w:spacing w:after="0"/>
              <w:rPr>
                <w:sz w:val="15"/>
                <w:szCs w:val="15"/>
                <w:color w:val="auto"/>
              </w:rPr>
            </w:pPr>
          </w:p>
        </w:tc>
        <w:tc>
          <w:tcPr>
            <w:tcW w:w="18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rPr>
              <w:t>Share</w:t>
            </w:r>
          </w:p>
        </w:tc>
        <w:tc>
          <w:tcPr>
            <w:tcW w:w="1900" w:type="dxa"/>
            <w:vAlign w:val="bottom"/>
            <w:tcBorders>
              <w:right w:val="single" w:sz="8" w:color="auto"/>
            </w:tcBorders>
            <w:vMerge w:val="restart"/>
          </w:tcPr>
          <w:p>
            <w:pPr>
              <w:jc w:val="center"/>
              <w:spacing w:after="0"/>
              <w:rPr>
                <w:sz w:val="20"/>
                <w:szCs w:val="20"/>
                <w:color w:val="auto"/>
              </w:rPr>
            </w:pPr>
            <w:r>
              <w:rPr>
                <w:rFonts w:ascii="Times New Roman" w:cs="Times New Roman" w:eastAsia="Times New Roman" w:hAnsi="Times New Roman"/>
                <w:sz w:val="18"/>
                <w:szCs w:val="18"/>
                <w:color w:val="auto"/>
                <w:w w:val="97"/>
              </w:rPr>
              <w:t>Price</w:t>
            </w:r>
          </w:p>
        </w:tc>
        <w:tc>
          <w:tcPr>
            <w:tcW w:w="1780" w:type="dxa"/>
            <w:vAlign w:val="bottom"/>
            <w:tcBorders>
              <w:right w:val="single" w:sz="8" w:color="auto"/>
            </w:tcBorders>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54"/>
        </w:trPr>
        <w:tc>
          <w:tcPr>
            <w:tcW w:w="40" w:type="dxa"/>
            <w:vAlign w:val="bottom"/>
            <w:tcBorders>
              <w:right w:val="single" w:sz="8" w:color="auto"/>
            </w:tcBorders>
            <w:shd w:val="clear" w:color="auto" w:fill="000000"/>
          </w:tcPr>
          <w:p>
            <w:pPr>
              <w:spacing w:after="0"/>
              <w:rPr>
                <w:sz w:val="4"/>
                <w:szCs w:val="4"/>
                <w:color w:val="auto"/>
              </w:rPr>
            </w:pPr>
          </w:p>
        </w:tc>
        <w:tc>
          <w:tcPr>
            <w:tcW w:w="1680" w:type="dxa"/>
            <w:vAlign w:val="bottom"/>
            <w:tcBorders>
              <w:right w:val="single" w:sz="8" w:color="auto"/>
            </w:tcBorders>
          </w:tcPr>
          <w:p>
            <w:pPr>
              <w:spacing w:after="0"/>
              <w:rPr>
                <w:sz w:val="4"/>
                <w:szCs w:val="4"/>
                <w:color w:val="auto"/>
              </w:rPr>
            </w:pPr>
          </w:p>
        </w:tc>
        <w:tc>
          <w:tcPr>
            <w:tcW w:w="2580" w:type="dxa"/>
            <w:vAlign w:val="bottom"/>
            <w:tcBorders>
              <w:right w:val="single" w:sz="8" w:color="auto"/>
            </w:tcBorders>
          </w:tcPr>
          <w:p>
            <w:pPr>
              <w:spacing w:after="0"/>
              <w:rPr>
                <w:sz w:val="4"/>
                <w:szCs w:val="4"/>
                <w:color w:val="auto"/>
              </w:rPr>
            </w:pPr>
          </w:p>
        </w:tc>
        <w:tc>
          <w:tcPr>
            <w:tcW w:w="1460" w:type="dxa"/>
            <w:vAlign w:val="bottom"/>
            <w:tcBorders>
              <w:right w:val="single" w:sz="8" w:color="auto"/>
            </w:tcBorders>
          </w:tcPr>
          <w:p>
            <w:pPr>
              <w:spacing w:after="0"/>
              <w:rPr>
                <w:sz w:val="4"/>
                <w:szCs w:val="4"/>
                <w:color w:val="auto"/>
              </w:rPr>
            </w:pPr>
          </w:p>
        </w:tc>
        <w:tc>
          <w:tcPr>
            <w:tcW w:w="1800" w:type="dxa"/>
            <w:vAlign w:val="bottom"/>
            <w:tcBorders>
              <w:right w:val="single" w:sz="8" w:color="auto"/>
            </w:tcBorders>
            <w:vMerge w:val="continue"/>
          </w:tcPr>
          <w:p>
            <w:pPr>
              <w:spacing w:after="0"/>
              <w:rPr>
                <w:sz w:val="4"/>
                <w:szCs w:val="4"/>
                <w:color w:val="auto"/>
              </w:rPr>
            </w:pPr>
          </w:p>
        </w:tc>
        <w:tc>
          <w:tcPr>
            <w:tcW w:w="1900" w:type="dxa"/>
            <w:vAlign w:val="bottom"/>
            <w:tcBorders>
              <w:right w:val="single" w:sz="8" w:color="auto"/>
            </w:tcBorders>
            <w:vMerge w:val="continue"/>
          </w:tcPr>
          <w:p>
            <w:pPr>
              <w:spacing w:after="0"/>
              <w:rPr>
                <w:sz w:val="4"/>
                <w:szCs w:val="4"/>
                <w:color w:val="auto"/>
              </w:rPr>
            </w:pPr>
          </w:p>
        </w:tc>
        <w:tc>
          <w:tcPr>
            <w:tcW w:w="178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74"/>
        </w:trPr>
        <w:tc>
          <w:tcPr>
            <w:tcW w:w="40" w:type="dxa"/>
            <w:vAlign w:val="bottom"/>
            <w:tcBorders>
              <w:bottom w:val="single" w:sz="8" w:color="auto"/>
              <w:right w:val="single" w:sz="8" w:color="auto"/>
            </w:tcBorders>
            <w:shd w:val="clear" w:color="auto" w:fill="000000"/>
          </w:tcPr>
          <w:p>
            <w:pPr>
              <w:spacing w:after="0"/>
              <w:rPr>
                <w:sz w:val="6"/>
                <w:szCs w:val="6"/>
                <w:color w:val="auto"/>
              </w:rPr>
            </w:pPr>
          </w:p>
        </w:tc>
        <w:tc>
          <w:tcPr>
            <w:tcW w:w="1680" w:type="dxa"/>
            <w:vAlign w:val="bottom"/>
            <w:tcBorders>
              <w:bottom w:val="single" w:sz="8" w:color="auto"/>
              <w:right w:val="single" w:sz="8" w:color="auto"/>
            </w:tcBorders>
          </w:tcPr>
          <w:p>
            <w:pPr>
              <w:spacing w:after="0"/>
              <w:rPr>
                <w:sz w:val="6"/>
                <w:szCs w:val="6"/>
                <w:color w:val="auto"/>
              </w:rPr>
            </w:pPr>
          </w:p>
        </w:tc>
        <w:tc>
          <w:tcPr>
            <w:tcW w:w="2580" w:type="dxa"/>
            <w:vAlign w:val="bottom"/>
            <w:tcBorders>
              <w:bottom w:val="single" w:sz="8" w:color="auto"/>
              <w:right w:val="single" w:sz="8" w:color="auto"/>
            </w:tcBorders>
          </w:tcPr>
          <w:p>
            <w:pPr>
              <w:spacing w:after="0"/>
              <w:rPr>
                <w:sz w:val="6"/>
                <w:szCs w:val="6"/>
                <w:color w:val="auto"/>
              </w:rPr>
            </w:pPr>
          </w:p>
        </w:tc>
        <w:tc>
          <w:tcPr>
            <w:tcW w:w="1460" w:type="dxa"/>
            <w:vAlign w:val="bottom"/>
            <w:tcBorders>
              <w:bottom w:val="single" w:sz="8" w:color="auto"/>
              <w:right w:val="single" w:sz="8" w:color="auto"/>
            </w:tcBorders>
          </w:tcPr>
          <w:p>
            <w:pPr>
              <w:spacing w:after="0"/>
              <w:rPr>
                <w:sz w:val="6"/>
                <w:szCs w:val="6"/>
                <w:color w:val="auto"/>
              </w:rPr>
            </w:pPr>
          </w:p>
        </w:tc>
        <w:tc>
          <w:tcPr>
            <w:tcW w:w="1800" w:type="dxa"/>
            <w:vAlign w:val="bottom"/>
            <w:tcBorders>
              <w:bottom w:val="single" w:sz="8" w:color="auto"/>
              <w:right w:val="single" w:sz="8" w:color="auto"/>
            </w:tcBorders>
          </w:tcPr>
          <w:p>
            <w:pPr>
              <w:spacing w:after="0"/>
              <w:rPr>
                <w:sz w:val="6"/>
                <w:szCs w:val="6"/>
                <w:color w:val="auto"/>
              </w:rPr>
            </w:pPr>
          </w:p>
        </w:tc>
        <w:tc>
          <w:tcPr>
            <w:tcW w:w="1900" w:type="dxa"/>
            <w:vAlign w:val="bottom"/>
            <w:tcBorders>
              <w:bottom w:val="single" w:sz="8" w:color="auto"/>
              <w:right w:val="single" w:sz="8" w:color="auto"/>
            </w:tcBorders>
          </w:tcPr>
          <w:p>
            <w:pPr>
              <w:spacing w:after="0"/>
              <w:rPr>
                <w:sz w:val="6"/>
                <w:szCs w:val="6"/>
                <w:color w:val="auto"/>
              </w:rPr>
            </w:pPr>
          </w:p>
        </w:tc>
        <w:tc>
          <w:tcPr>
            <w:tcW w:w="1780" w:type="dxa"/>
            <w:vAlign w:val="bottom"/>
            <w:tcBorders>
              <w:bottom w:val="single" w:sz="8" w:color="auto"/>
              <w:right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70"/>
        </w:trPr>
        <w:tc>
          <w:tcPr>
            <w:tcW w:w="40" w:type="dxa"/>
            <w:vAlign w:val="bottom"/>
            <w:tcBorders>
              <w:right w:val="single" w:sz="8" w:color="auto"/>
            </w:tcBorders>
          </w:tcPr>
          <w:p>
            <w:pPr>
              <w:spacing w:after="0"/>
              <w:rPr>
                <w:sz w:val="23"/>
                <w:szCs w:val="23"/>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Ordinary shares, as</w:t>
            </w:r>
          </w:p>
        </w:tc>
        <w:tc>
          <w:tcPr>
            <w:tcW w:w="25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2023 Long-Term Incentive Plan</w:t>
            </w:r>
          </w:p>
        </w:tc>
        <w:tc>
          <w:tcPr>
            <w:tcW w:w="1460" w:type="dxa"/>
            <w:vAlign w:val="bottom"/>
            <w:tcBorders>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color w:val="auto"/>
                <w:w w:val="95"/>
              </w:rPr>
              <w:t>3,000,000</w:t>
            </w:r>
            <w:r>
              <w:rPr>
                <w:rFonts w:ascii="Times New Roman" w:cs="Times New Roman" w:eastAsia="Times New Roman" w:hAnsi="Times New Roman"/>
                <w:sz w:val="29"/>
                <w:szCs w:val="29"/>
                <w:color w:val="auto"/>
                <w:w w:val="95"/>
                <w:vertAlign w:val="superscript"/>
              </w:rPr>
              <w:t>(2)</w:t>
            </w:r>
          </w:p>
        </w:tc>
        <w:tc>
          <w:tcPr>
            <w:tcW w:w="1800" w:type="dxa"/>
            <w:vAlign w:val="bottom"/>
            <w:tcBorders>
              <w:right w:val="single" w:sz="8" w:color="auto"/>
            </w:tcBorders>
          </w:tcPr>
          <w:p>
            <w:pPr>
              <w:jc w:val="center"/>
              <w:spacing w:after="0" w:line="270" w:lineRule="exact"/>
              <w:rPr>
                <w:sz w:val="20"/>
                <w:szCs w:val="20"/>
                <w:color w:val="auto"/>
              </w:rPr>
            </w:pPr>
            <w:r>
              <w:rPr>
                <w:rFonts w:ascii="Times New Roman" w:cs="Times New Roman" w:eastAsia="Times New Roman" w:hAnsi="Times New Roman"/>
                <w:sz w:val="18"/>
                <w:szCs w:val="18"/>
                <w:color w:val="auto"/>
                <w:w w:val="91"/>
              </w:rPr>
              <w:t>$12.79</w:t>
            </w:r>
            <w:r>
              <w:rPr>
                <w:rFonts w:ascii="Times New Roman" w:cs="Times New Roman" w:eastAsia="Times New Roman" w:hAnsi="Times New Roman"/>
                <w:sz w:val="29"/>
                <w:szCs w:val="29"/>
                <w:color w:val="auto"/>
                <w:w w:val="91"/>
                <w:vertAlign w:val="superscript"/>
              </w:rPr>
              <w:t>(3)</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$38,370,000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$5,663.41</w:t>
            </w:r>
          </w:p>
        </w:tc>
        <w:tc>
          <w:tcPr>
            <w:tcW w:w="0" w:type="dxa"/>
            <w:vAlign w:val="bottom"/>
          </w:tcPr>
          <w:p>
            <w:pPr>
              <w:spacing w:after="0"/>
              <w:rPr>
                <w:sz w:val="1"/>
                <w:szCs w:val="1"/>
                <w:color w:val="auto"/>
              </w:rPr>
            </w:pPr>
          </w:p>
        </w:tc>
      </w:tr>
      <w:tr>
        <w:trPr>
          <w:trHeight w:val="238"/>
        </w:trPr>
        <w:tc>
          <w:tcPr>
            <w:tcW w:w="40" w:type="dxa"/>
            <w:vAlign w:val="bottom"/>
            <w:tcBorders>
              <w:right w:val="single" w:sz="8" w:color="auto"/>
            </w:tcBorders>
          </w:tcPr>
          <w:p>
            <w:pPr>
              <w:spacing w:after="0"/>
              <w:rPr>
                <w:sz w:val="20"/>
                <w:szCs w:val="20"/>
                <w:color w:val="auto"/>
              </w:rPr>
            </w:pPr>
          </w:p>
        </w:tc>
        <w:tc>
          <w:tcPr>
            <w:tcW w:w="16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par value</w:t>
            </w:r>
          </w:p>
        </w:tc>
        <w:tc>
          <w:tcPr>
            <w:tcW w:w="2580" w:type="dxa"/>
            <w:vAlign w:val="bottom"/>
            <w:tcBorders>
              <w:right w:val="single" w:sz="8" w:color="auto"/>
            </w:tcBorders>
          </w:tcPr>
          <w:p>
            <w:pPr>
              <w:spacing w:after="0"/>
              <w:rPr>
                <w:sz w:val="20"/>
                <w:szCs w:val="20"/>
                <w:color w:val="auto"/>
              </w:rPr>
            </w:pPr>
          </w:p>
        </w:tc>
        <w:tc>
          <w:tcPr>
            <w:tcW w:w="1460" w:type="dxa"/>
            <w:vAlign w:val="bottom"/>
            <w:tcBorders>
              <w:right w:val="single" w:sz="8" w:color="auto"/>
            </w:tcBorders>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900" w:type="dxa"/>
            <w:vAlign w:val="bottom"/>
            <w:tcBorders>
              <w:right w:val="single" w:sz="8" w:color="auto"/>
            </w:tcBorders>
          </w:tcPr>
          <w:p>
            <w:pPr>
              <w:spacing w:after="0"/>
              <w:rPr>
                <w:sz w:val="20"/>
                <w:szCs w:val="20"/>
                <w:color w:val="auto"/>
              </w:rPr>
            </w:pPr>
          </w:p>
        </w:tc>
        <w:tc>
          <w:tcPr>
            <w:tcW w:w="17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59"/>
        </w:trPr>
        <w:tc>
          <w:tcPr>
            <w:tcW w:w="40" w:type="dxa"/>
            <w:vAlign w:val="bottom"/>
            <w:tcBorders>
              <w:right w:val="single" w:sz="8" w:color="auto"/>
            </w:tcBorders>
          </w:tcPr>
          <w:p>
            <w:pPr>
              <w:spacing w:after="0"/>
              <w:rPr>
                <w:sz w:val="5"/>
                <w:szCs w:val="5"/>
                <w:color w:val="auto"/>
              </w:rPr>
            </w:pPr>
          </w:p>
        </w:tc>
        <w:tc>
          <w:tcPr>
            <w:tcW w:w="1680" w:type="dxa"/>
            <w:vAlign w:val="bottom"/>
            <w:tcBorders>
              <w:bottom w:val="single" w:sz="8" w:color="auto"/>
              <w:right w:val="single" w:sz="8" w:color="auto"/>
            </w:tcBorders>
          </w:tcPr>
          <w:p>
            <w:pPr>
              <w:spacing w:after="0"/>
              <w:rPr>
                <w:sz w:val="5"/>
                <w:szCs w:val="5"/>
                <w:color w:val="auto"/>
              </w:rPr>
            </w:pPr>
          </w:p>
        </w:tc>
        <w:tc>
          <w:tcPr>
            <w:tcW w:w="2580" w:type="dxa"/>
            <w:vAlign w:val="bottom"/>
            <w:tcBorders>
              <w:bottom w:val="single" w:sz="8" w:color="auto"/>
              <w:right w:val="single" w:sz="8" w:color="auto"/>
            </w:tcBorders>
          </w:tcPr>
          <w:p>
            <w:pPr>
              <w:spacing w:after="0"/>
              <w:rPr>
                <w:sz w:val="5"/>
                <w:szCs w:val="5"/>
                <w:color w:val="auto"/>
              </w:rPr>
            </w:pPr>
          </w:p>
        </w:tc>
        <w:tc>
          <w:tcPr>
            <w:tcW w:w="1460" w:type="dxa"/>
            <w:vAlign w:val="bottom"/>
            <w:tcBorders>
              <w:bottom w:val="single" w:sz="8" w:color="auto"/>
              <w:right w:val="single" w:sz="8" w:color="auto"/>
            </w:tcBorders>
          </w:tcPr>
          <w:p>
            <w:pPr>
              <w:spacing w:after="0"/>
              <w:rPr>
                <w:sz w:val="5"/>
                <w:szCs w:val="5"/>
                <w:color w:val="auto"/>
              </w:rPr>
            </w:pPr>
          </w:p>
        </w:tc>
        <w:tc>
          <w:tcPr>
            <w:tcW w:w="1800" w:type="dxa"/>
            <w:vAlign w:val="bottom"/>
            <w:tcBorders>
              <w:bottom w:val="single" w:sz="8" w:color="auto"/>
              <w:right w:val="single" w:sz="8" w:color="auto"/>
            </w:tcBorders>
          </w:tcPr>
          <w:p>
            <w:pPr>
              <w:spacing w:after="0"/>
              <w:rPr>
                <w:sz w:val="5"/>
                <w:szCs w:val="5"/>
                <w:color w:val="auto"/>
              </w:rPr>
            </w:pPr>
          </w:p>
        </w:tc>
        <w:tc>
          <w:tcPr>
            <w:tcW w:w="1900" w:type="dxa"/>
            <w:vAlign w:val="bottom"/>
            <w:tcBorders>
              <w:bottom w:val="single" w:sz="8" w:color="auto"/>
              <w:right w:val="single" w:sz="8" w:color="auto"/>
            </w:tcBorders>
          </w:tcPr>
          <w:p>
            <w:pPr>
              <w:spacing w:after="0"/>
              <w:rPr>
                <w:sz w:val="5"/>
                <w:szCs w:val="5"/>
                <w:color w:val="auto"/>
              </w:rPr>
            </w:pPr>
          </w:p>
        </w:tc>
        <w:tc>
          <w:tcPr>
            <w:tcW w:w="178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440"/>
        </w:trPr>
        <w:tc>
          <w:tcPr>
            <w:tcW w:w="40" w:type="dxa"/>
            <w:vAlign w:val="bottom"/>
            <w:tcBorders>
              <w:right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580" w:type="dxa"/>
            <w:vAlign w:val="bottom"/>
            <w:tcBorders>
              <w:right w:val="single" w:sz="8" w:color="auto"/>
            </w:tcBorders>
          </w:tcPr>
          <w:p>
            <w:pPr>
              <w:ind w:left="240"/>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46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5"/>
              </w:rPr>
              <w:t>3,000,000</w:t>
            </w:r>
            <w:r>
              <w:rPr>
                <w:rFonts w:ascii="Times New Roman" w:cs="Times New Roman" w:eastAsia="Times New Roman" w:hAnsi="Times New Roman"/>
                <w:sz w:val="29"/>
                <w:szCs w:val="29"/>
                <w:color w:val="auto"/>
                <w:w w:val="95"/>
                <w:vertAlign w:val="superscript"/>
              </w:rPr>
              <w:t>(2)</w:t>
            </w:r>
          </w:p>
        </w:tc>
        <w:tc>
          <w:tcPr>
            <w:tcW w:w="18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1"/>
              </w:rPr>
              <w:t>$12.79</w:t>
            </w:r>
            <w:r>
              <w:rPr>
                <w:rFonts w:ascii="Times New Roman" w:cs="Times New Roman" w:eastAsia="Times New Roman" w:hAnsi="Times New Roman"/>
                <w:sz w:val="29"/>
                <w:szCs w:val="29"/>
                <w:color w:val="auto"/>
                <w:w w:val="91"/>
                <w:vertAlign w:val="superscript"/>
              </w:rPr>
              <w:t>(3)</w:t>
            </w:r>
          </w:p>
        </w:tc>
        <w:tc>
          <w:tcPr>
            <w:tcW w:w="190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$38,370,000</w:t>
            </w:r>
          </w:p>
        </w:tc>
        <w:tc>
          <w:tcPr>
            <w:tcW w:w="1780" w:type="dxa"/>
            <w:vAlign w:val="bottom"/>
            <w:tcBorders>
              <w:right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$5,663.41</w:t>
            </w:r>
          </w:p>
        </w:tc>
        <w:tc>
          <w:tcPr>
            <w:tcW w:w="0" w:type="dxa"/>
            <w:vAlign w:val="bottom"/>
          </w:tcPr>
          <w:p>
            <w:pPr>
              <w:spacing w:after="0"/>
              <w:rPr>
                <w:sz w:val="1"/>
                <w:szCs w:val="1"/>
                <w:color w:val="auto"/>
              </w:rPr>
            </w:pPr>
          </w:p>
        </w:tc>
      </w:tr>
      <w:tr>
        <w:trPr>
          <w:trHeight w:val="120"/>
        </w:trPr>
        <w:tc>
          <w:tcPr>
            <w:tcW w:w="40" w:type="dxa"/>
            <w:vAlign w:val="bottom"/>
            <w:tcBorders>
              <w:right w:val="single" w:sz="8" w:color="auto"/>
            </w:tcBorders>
          </w:tcPr>
          <w:p>
            <w:pPr>
              <w:spacing w:after="0"/>
              <w:rPr>
                <w:sz w:val="10"/>
                <w:szCs w:val="10"/>
                <w:color w:val="auto"/>
              </w:rPr>
            </w:pPr>
          </w:p>
        </w:tc>
        <w:tc>
          <w:tcPr>
            <w:tcW w:w="1680" w:type="dxa"/>
            <w:vAlign w:val="bottom"/>
            <w:tcBorders>
              <w:bottom w:val="single" w:sz="8" w:color="auto"/>
            </w:tcBorders>
          </w:tcPr>
          <w:p>
            <w:pPr>
              <w:spacing w:after="0"/>
              <w:rPr>
                <w:sz w:val="10"/>
                <w:szCs w:val="10"/>
                <w:color w:val="auto"/>
              </w:rPr>
            </w:pPr>
          </w:p>
        </w:tc>
        <w:tc>
          <w:tcPr>
            <w:tcW w:w="2580" w:type="dxa"/>
            <w:vAlign w:val="bottom"/>
            <w:tcBorders>
              <w:bottom w:val="single" w:sz="8" w:color="auto"/>
              <w:right w:val="single" w:sz="8" w:color="auto"/>
            </w:tcBorders>
          </w:tcPr>
          <w:p>
            <w:pPr>
              <w:spacing w:after="0"/>
              <w:rPr>
                <w:sz w:val="10"/>
                <w:szCs w:val="10"/>
                <w:color w:val="auto"/>
              </w:rPr>
            </w:pPr>
          </w:p>
        </w:tc>
        <w:tc>
          <w:tcPr>
            <w:tcW w:w="1460" w:type="dxa"/>
            <w:vAlign w:val="bottom"/>
            <w:tcBorders>
              <w:bottom w:val="single" w:sz="8" w:color="auto"/>
              <w:right w:val="single" w:sz="8" w:color="auto"/>
            </w:tcBorders>
          </w:tcPr>
          <w:p>
            <w:pPr>
              <w:spacing w:after="0"/>
              <w:rPr>
                <w:sz w:val="10"/>
                <w:szCs w:val="10"/>
                <w:color w:val="auto"/>
              </w:rPr>
            </w:pPr>
          </w:p>
        </w:tc>
        <w:tc>
          <w:tcPr>
            <w:tcW w:w="1800" w:type="dxa"/>
            <w:vAlign w:val="bottom"/>
            <w:tcBorders>
              <w:bottom w:val="single" w:sz="8" w:color="auto"/>
              <w:right w:val="single" w:sz="8" w:color="auto"/>
            </w:tcBorders>
          </w:tcPr>
          <w:p>
            <w:pPr>
              <w:spacing w:after="0"/>
              <w:rPr>
                <w:sz w:val="10"/>
                <w:szCs w:val="10"/>
                <w:color w:val="auto"/>
              </w:rPr>
            </w:pPr>
          </w:p>
        </w:tc>
        <w:tc>
          <w:tcPr>
            <w:tcW w:w="1900" w:type="dxa"/>
            <w:vAlign w:val="bottom"/>
            <w:tcBorders>
              <w:bottom w:val="single" w:sz="8" w:color="auto"/>
              <w:right w:val="single" w:sz="8" w:color="auto"/>
            </w:tcBorders>
          </w:tcPr>
          <w:p>
            <w:pPr>
              <w:spacing w:after="0"/>
              <w:rPr>
                <w:sz w:val="10"/>
                <w:szCs w:val="10"/>
                <w:color w:val="auto"/>
              </w:rPr>
            </w:pPr>
          </w:p>
        </w:tc>
        <w:tc>
          <w:tcPr>
            <w:tcW w:w="1780" w:type="dxa"/>
            <w:vAlign w:val="bottom"/>
            <w:tcBorders>
              <w:bottom w:val="single" w:sz="8" w:color="auto"/>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25" w:lineRule="exact"/>
        <w:rPr>
          <w:sz w:val="20"/>
          <w:szCs w:val="20"/>
          <w:color w:val="auto"/>
        </w:rPr>
      </w:pPr>
    </w:p>
    <w:p>
      <w:pPr>
        <w:ind w:left="660" w:right="160" w:hanging="328"/>
        <w:spacing w:after="0" w:line="261"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Pursuant to Rule 416(a) promulgated under the Securities Act of 1933, as amended (the “Securities Act”), this Registration Statement shall also cover any additional ordinary shares, no par value (“Shares”), of Iris Energy Limited (doing business as IREN) (the “Company”) that become issuable under the Company’s 2023 Long-Term Incentive Plan (the “2023 LTIP”) by reason of any share dividend, share split, recapitalization or other similar transaction effected without receipt of consideration that increases the number of outstanding Shares.</w:t>
      </w:r>
    </w:p>
    <w:p>
      <w:pPr>
        <w:spacing w:after="0" w:line="179"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issuable upon the vesting and settlement of restricted share units (“RSUs”) outstanding under the 2022 LTIP.</w:t>
      </w:r>
    </w:p>
    <w:p>
      <w:pPr>
        <w:spacing w:after="0" w:line="225" w:lineRule="exact"/>
        <w:rPr>
          <w:rFonts w:ascii="Times New Roman" w:cs="Times New Roman" w:eastAsia="Times New Roman" w:hAnsi="Times New Roman"/>
          <w:sz w:val="18"/>
          <w:szCs w:val="18"/>
          <w:color w:val="auto"/>
        </w:rPr>
      </w:pPr>
    </w:p>
    <w:p>
      <w:pPr>
        <w:ind w:left="660" w:right="60" w:hanging="328"/>
        <w:spacing w:after="0" w:line="282" w:lineRule="auto"/>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Estimated in accordance with Rule 457(c) of the Securities Act solely for the purpose of calculating the registration fee on the basis of the average of the high and low price of $12.79 per Share on June 24, 2024 for RSUs granted under the 2023 LTIP.</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decimal"/>
      <w:start w:val="1"/>
    </w:lvl>
  </w:abstractNum>
  <w:abstractNum w:abstractNumId="1">
    <w:nsid w:val="507ED7AB"/>
    <w:multiLevelType w:val="hybridMultilevel"/>
    <w:lvl w:ilvl="0">
      <w:lvlJc w:val="left"/>
      <w:lvlText w:val="%1."/>
      <w:numFmt w:val="decimal"/>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1."/>
      <w:numFmt w:val="decimal"/>
      <w:start w:val="4"/>
    </w:lvl>
  </w:abstractNum>
  <w:abstractNum w:abstractNumId="4">
    <w:nsid w:val="79E2A9E3"/>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abstractNum>
  <w:abstractNum w:abstractNumId="5">
    <w:nsid w:val="7545E146"/>
    <w:multiLevelType w:val="hybridMultilevel"/>
    <w:lvl w:ilvl="0">
      <w:lvlJc w:val="left"/>
      <w:lvlText w:val="%1."/>
      <w:numFmt w:val="decimal"/>
      <w:start w:val="1"/>
    </w:lvl>
    <w:lvl w:ilvl="1">
      <w:lvlJc w:val="left"/>
      <w:lvlText w:val="(%2)"/>
      <w:numFmt w:val="lowerLetter"/>
      <w:start w:val="2"/>
    </w:lvl>
    <w:lvl w:ilvl="2">
      <w:lvlJc w:val="left"/>
      <w:lvlText w:val="(%3)"/>
      <w:numFmt w:val="lowerLetter"/>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2"/>
    </w:lvl>
  </w:abstractNum>
  <w:abstractNum w:abstractNumId="7">
    <w:nsid w:val="5BD062C2"/>
    <w:multiLevelType w:val="hybridMultilevel"/>
    <w:lvl w:ilvl="0">
      <w:lvlJc w:val="left"/>
      <w:lvlText w:val="(%1)"/>
      <w:numFmt w:val="lowerLetter"/>
      <w:start w:val="3"/>
    </w:lvl>
  </w:abstractNum>
  <w:abstractNum w:abstractNumId="8">
    <w:nsid w:val="12200854"/>
    <w:multiLevelType w:val="hybridMultilevel"/>
    <w:lvl w:ilvl="0">
      <w:lvlJc w:val="left"/>
      <w:lvlText w:val="T"/>
      <w:numFmt w:val="bullet"/>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29" Type="http://schemas.openxmlformats.org/officeDocument/2006/relationships/image" Target="media/image7.png"/><Relationship Id="rId31" Type="http://schemas.openxmlformats.org/officeDocument/2006/relationships/image" Target="media/image8.png"/><Relationship Id="rId32" Type="http://schemas.openxmlformats.org/officeDocument/2006/relationships/image" Target="media/image9.png"/><Relationship Id="rId33" Type="http://schemas.openxmlformats.org/officeDocument/2006/relationships/image" Target="media/image10.png"/><Relationship Id="rId34" Type="http://schemas.openxmlformats.org/officeDocument/2006/relationships/image" Target="media/image11.png"/><Relationship Id="rId35" Type="http://schemas.openxmlformats.org/officeDocument/2006/relationships/image" Target="media/image12.jpeg"/><Relationship Id="rId36" Type="http://schemas.openxmlformats.org/officeDocument/2006/relationships/image" Target="media/image13.png"/><Relationship Id="rId37" Type="http://schemas.openxmlformats.org/officeDocument/2006/relationships/image" Target="media/image14.png"/><Relationship Id="rId38" Type="http://schemas.openxmlformats.org/officeDocument/2006/relationships/image" Target="media/image15.png"/><Relationship Id="rId39" Type="http://schemas.openxmlformats.org/officeDocument/2006/relationships/image" Target="media/image16.png"/><Relationship Id="rId40" Type="http://schemas.openxmlformats.org/officeDocument/2006/relationships/image" Target="media/image17.png"/><Relationship Id="rId41" Type="http://schemas.openxmlformats.org/officeDocument/2006/relationships/image" Target="media/image18.png"/><Relationship Id="rId42" Type="http://schemas.openxmlformats.org/officeDocument/2006/relationships/image" Target="media/image19.jpeg"/><Relationship Id="rId43" Type="http://schemas.openxmlformats.org/officeDocument/2006/relationships/image" Target="media/image20.png"/><Relationship Id="rId44" Type="http://schemas.openxmlformats.org/officeDocument/2006/relationships/image" Target="media/image21.png"/><Relationship Id="rId45" Type="http://schemas.openxmlformats.org/officeDocument/2006/relationships/image" Target="media/image22.png"/><Relationship Id="rId46" Type="http://schemas.openxmlformats.org/officeDocument/2006/relationships/image" Target="media/image23.png"/><Relationship Id="rId47" Type="http://schemas.openxmlformats.org/officeDocument/2006/relationships/image" Target="media/image24.png"/><Relationship Id="rId48" Type="http://schemas.openxmlformats.org/officeDocument/2006/relationships/image" Target="media/image25.png"/><Relationship Id="rId14" Type="http://schemas.openxmlformats.org/officeDocument/2006/relationships/hyperlink" Target="https://www.sec.gov/Archives/edgar/data/1878848/000095010323009768/dp195992_s8.htm" TargetMode="External"/><Relationship Id="rId15" Type="http://schemas.openxmlformats.org/officeDocument/2006/relationships/hyperlink" Target="https://www.sec.gov/ix?doc=/Archives/edgar/data/0001878848/000114036123043816/brhc20058647_20f.htm" TargetMode="External"/><Relationship Id="rId16" Type="http://schemas.openxmlformats.org/officeDocument/2006/relationships/hyperlink" Target="https://www.sec.gov/Archives/edgar/data/1878848/000114036123034881/brhc20056018_6k.htm" TargetMode="External"/><Relationship Id="rId17" Type="http://schemas.openxmlformats.org/officeDocument/2006/relationships/hyperlink" Target="https://www.sec.gov/Archives/edgar/data/1878848/000114036123039183/brhc20057412_6k.htm" TargetMode="External"/><Relationship Id="rId18" Type="http://schemas.openxmlformats.org/officeDocument/2006/relationships/hyperlink" Target="https://www.sec.gov/Archives/edgar/data/1878848/000114036123041550/brhc20058156_6k.htm" TargetMode="External"/><Relationship Id="rId19" Type="http://schemas.openxmlformats.org/officeDocument/2006/relationships/hyperlink" Target="https://www.sec.gov/Archives/edgar/data/1878848/000114036123047243/ef20012126_6k.htm" TargetMode="External"/><Relationship Id="rId20" Type="http://schemas.openxmlformats.org/officeDocument/2006/relationships/hyperlink" Target="https://www.sec.gov/Archives/edgar/data/1878848/000114036123055324/ef20015516_6k.htm" TargetMode="External"/><Relationship Id="rId21" Type="http://schemas.openxmlformats.org/officeDocument/2006/relationships/hyperlink" Target="https://www.sec.gov/Archives/edgar/data/1878848/000114036123056563/ef20016217_6k.htm" TargetMode="External"/><Relationship Id="rId22" Type="http://schemas.openxmlformats.org/officeDocument/2006/relationships/hyperlink" Target="https://www.sec.gov/Archives/edgar/data/1878848/000114036123057724/ef20016735_6k.htm" TargetMode="External"/><Relationship Id="rId23" Type="http://schemas.openxmlformats.org/officeDocument/2006/relationships/hyperlink" Target="https://www.sec.gov/Archives/edgar/data/1878848/000114036124002189/ef20018887_6k.htm" TargetMode="External"/><Relationship Id="rId24" Type="http://schemas.openxmlformats.org/officeDocument/2006/relationships/hyperlink" Target="https://www.sec.gov/Archives/edgar/data/1878848/000114036124007666/ef20021677_6k.htm" TargetMode="External"/><Relationship Id="rId25" Type="http://schemas.openxmlformats.org/officeDocument/2006/relationships/hyperlink" Target="https://www.sec.gov/Archives/edgar/data/1878848/000114036124008183/ef20015356_6k.htm" TargetMode="External"/><Relationship Id="rId26" Type="http://schemas.openxmlformats.org/officeDocument/2006/relationships/hyperlink" Target="https://www.sec.gov/Archives/edgar/data/1878848/000114036124014505/ny20024712x2_6k.htm" TargetMode="External"/><Relationship Id="rId27" Type="http://schemas.openxmlformats.org/officeDocument/2006/relationships/hyperlink" Target="https://www.sec.gov/Archives/edgar/data/1878848/000114036124026268/ef20027345_6k.htm" TargetMode="External"/><Relationship Id="rId28" Type="http://schemas.openxmlformats.org/officeDocument/2006/relationships/hyperlink" Target="https://www.sec.gov/Archives/edgar/data/1878848/000114036121038024/ny20000275x11_8a12b.htm" TargetMode="External"/><Relationship Id="rId30" Type="http://schemas.openxmlformats.org/officeDocument/2006/relationships/hyperlink" Target="https://www.sec.gov/Archives/edgar/data/1878848/000114036121039254/ny20000275x13_ex4-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2024-06-27T08:58:36Z</dcterms:created>
  <dcterms:modified xsi:type="dcterms:W3CDTF">2024-06-27T08:58:36Z</dcterms:modified>
</cp:coreProperties>
</file>