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IREN Limited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no par value (the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09/23/2026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17,863,909.00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17,863,909.00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17,863,909.00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percentages reported in this Schedule 13G are based upon 394,058,648 Shares outstanding as of August 14, 2026 (according to the issuer's Form 10-K as filed with the Securities and Exchange Commission on August 27, 2026). Except as described in the preceding sentence, all Shares for the holdings of the reporting persons reported in this Schedule 13G are as of the opening of the market on September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14,152,102.00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14,152,102.00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14,152,102.00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Group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17,863,909.00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17,863,909.00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17,863,909.00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Advisors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824,029.00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824,029.00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824,029.00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Advisors Holdings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824,029.00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824,029.00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824,029.00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824,029.00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824,029.00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824,029.00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Kenneth Griffin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18,687,938.00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18,687,938.00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18,687,938.00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48"/>
        <w:gridCol w:w="8902"/>
        <w:gridCol w:w="155"/>
      </w:tblGrid>
      <w:tr>
        <w:trPr/>
        <w:tc>
          <w:tcPr>
            <w:tcW w:w="1148" w:type="dxa"/>
            <w:tcBorders/>
            <w:vAlign w:val="center"/>
          </w:tcPr>
          <w:p>
            <w:pPr>
              <w:pStyle w:val="TableContents"/>
              <w:bidi w:val="0"/>
              <w:spacing w:before="0" w:after="283"/>
              <w:jc w:val="left"/>
              <w:rPr/>
            </w:pPr>
            <w:r>
              <w:rPr/>
              <w:t>Item 1.</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issuer: </w:t>
            </w:r>
          </w:p>
          <w:p>
            <w:pPr>
              <w:pStyle w:val="TableContents"/>
              <w:bidi w:val="0"/>
              <w:spacing w:before="0" w:after="0"/>
              <w:jc w:val="left"/>
              <w:rPr/>
            </w:pPr>
            <w:r>
              <w:rPr/>
              <w:t>IREN Limited</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Level 5, 55 Market Street, Sydney, Australia NSW 2000</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2.</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jointly filed by Citadel Securities GP LLC ("CSGP"), Citadel Securities LLC ("Citadel Securities"), Citadel Securities Group LP ("CALC4"), Citadel Advisors LLC ("Citadel Advisors"), Citadel Advisors Holdings LP ("CAH"), Citadel GP LLC ("CGP"), and Mr. Kenneth Griffin (collectively with CSGP, Citadel Securities, CALC4, Citadel Advisors, CAH, and CGP, the "Reporting Persons") with respect to the Shares of the above-named issuer held of record by Citadel Securities, Citadel Multi-Asset Fund (Ireland) Designated Activity Company, an Ireland company ("CMI"), Citadel Securities Principal Strategies LLC, a Delaware limited liability company ("CSP"), and CRBU Holdings LLC, a Delaware limited liability company ("CRBH"). Such owned Shares may include other instruments exercisable for or convertible into Shares. CALC4 is the non-member manager of Citadel Securities, CSP and CRBH. CSGP is the general partner of CALC4. Citadel Advisors is the portfolio manager for CMI. CAH is the sole member of Citadel Advisors. CGP is the general partner of CAH. Mr. Griffin is the President and Chief Executive Officer of CGP, and owns a controlling interest in CGP and CSGP.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each of the Reporting Persons is 830 Brickell Plaza, Miami, Florida 33131.</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jc w:val="left"/>
              <w:rPr/>
            </w:pPr>
            <w:r>
              <w:rPr/>
              <w:t xml:space="preserve">Citizenship: </w:t>
            </w:r>
          </w:p>
          <w:p>
            <w:pPr>
              <w:pStyle w:val="TableContents"/>
              <w:bidi w:val="0"/>
              <w:spacing w:before="0" w:after="0"/>
              <w:jc w:val="left"/>
              <w:rPr/>
            </w:pPr>
            <w:r>
              <w:rPr/>
              <w:t>Each of CSGP, Citadel Securities, Citadel Advisors, and CGP is organized as a limited liability company under the laws of the State of Delaware. Each of CALC4 and CAH is organized as a limited partnership under the laws of the State of Delaware. Mr. Griffin is a U.S. citizen.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no par value (the "Shares")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3.</w:t>
            </w:r>
          </w:p>
        </w:tc>
        <w:tc>
          <w:tcPr>
            <w:tcW w:w="890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(f)</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(g)</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(h)</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(j)</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(k)</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9057" w:type="dxa"/>
            <w:gridSpan w:val="2"/>
            <w:tcBorders/>
            <w:vAlign w:val="center"/>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4.</w:t>
            </w:r>
          </w:p>
        </w:tc>
        <w:tc>
          <w:tcPr>
            <w:tcW w:w="890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 Citadel Securities LLC may be deemed to beneficially own 14,152,102 Shares. 2. Each of Citadel Securities Group LP and Citadel Securities GP LLC may be deemed to beneficially own 17,863,909 Shares. 3. Each of Citadel Advisors LLC, Citadel Advisors Holdings LP and Citadel GP LLC may be deemed to beneficially own 824,029 Shares. 4. Mr. Griffin may be deemed to beneficially own 18,687,938 Shares.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 The number of Shares that Citadel Securities LLC may be deemed to beneficially own constitutes 3.6% of the Shares outstanding. 2. The number of Shares that each of Citadel Securities Group LP and Citadel Securities GP LLC may be deemed to beneficially own constitutes 4.5% of the Shares outstanding. 3. The number of Shares that each of Citadel Advisors LLC, Citadel Advisors Holdings LP and Citadel GP LLC may be deemed to beneficially own constitutes 0.2% of the Shares outstanding. 4. The number of Shares that Mr. Griffin may be deemed to beneficially own constitutes 4.7% of the Shares outstanding.  %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Citadel Securities LLC: 0 2. Each of Citadel Securities Group LP and Citadel Securities GP LLC: 0 3. Each of Citadel Advisors LLC, Citadel Advisors Holdings LP and Citadel GP LLC: 0 4. Mr. Griffin: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Citadel Securities LLC: 14,152,102 2. Each of Citadel Securities Group LP and Citadel Securities GP LLC: 17,863,909 3. Each of Citadel Advisors LLC, Citadel Advisors Holdings LP and Citadel GP LLC: 824,029 4. Mr. Griffin: 18,687,938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Citadel Securities LLC: 0 2. Each of Citadel Securities Group LP and Citadel Securities GP LLC: 0 3. Each of Citadel Advisors LLC, Citadel Advisors Holdings LP and Citadel GP LLC: 0 4. Mr. Griffin: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Citadel Securities LLC: 14,152,102 2. Each of Citadel Securities Group LP and Citadel Securities GP LLC: 17,863,909 3. Each of Citadel Advisors LLC, Citadel Advisors Holdings LP and Citadel GP LLC: 824,029 4. Mr. Griffin: 18,687,938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5.</w:t>
            </w:r>
          </w:p>
        </w:tc>
        <w:tc>
          <w:tcPr>
            <w:tcW w:w="890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6.</w:t>
            </w:r>
          </w:p>
        </w:tc>
        <w:tc>
          <w:tcPr>
            <w:tcW w:w="890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7.</w:t>
            </w:r>
          </w:p>
        </w:tc>
        <w:tc>
          <w:tcPr>
            <w:tcW w:w="890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8.</w:t>
            </w:r>
          </w:p>
        </w:tc>
        <w:tc>
          <w:tcPr>
            <w:tcW w:w="890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9.</w:t>
            </w:r>
          </w:p>
        </w:tc>
        <w:tc>
          <w:tcPr>
            <w:tcW w:w="890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712" w:type="dxa"/>
        <w:jc w:val="left"/>
        <w:tblInd w:w="0" w:type="dxa"/>
        <w:tblLayout w:type="fixed"/>
        <w:tblCellMar>
          <w:top w:w="28" w:type="dxa"/>
          <w:left w:w="28" w:type="dxa"/>
          <w:bottom w:w="28" w:type="dxa"/>
          <w:right w:w="28" w:type="dxa"/>
        </w:tblCellMar>
      </w:tblPr>
      <w:tblGrid>
        <w:gridCol w:w="2856"/>
        <w:gridCol w:w="2856"/>
      </w:tblGrid>
      <w:tr>
        <w:trPr/>
        <w:tc>
          <w:tcPr>
            <w:tcW w:w="2856" w:type="dxa"/>
            <w:tcBorders/>
            <w:vAlign w:val="center"/>
          </w:tcPr>
          <w:p>
            <w:pPr>
              <w:pStyle w:val="TableContents"/>
              <w:bidi w:val="0"/>
              <w:spacing w:before="0" w:after="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0"/>
                    <w:jc w:val="left"/>
                    <w:rPr/>
                  </w:pPr>
                  <w:r>
                    <w:rPr/>
                    <w:t>Citadel Securities GP LLC</w:t>
                  </w:r>
                </w:p>
              </w:tc>
            </w:tr>
          </w:tbl>
          <w:p>
            <w:pPr>
              <w:pStyle w:val="TableContents"/>
              <w:bidi w:val="0"/>
              <w:spacing w:before="0" w:after="283"/>
              <w:jc w:val="left"/>
              <w:rPr/>
            </w:pPr>
            <w:r>
              <w:rPr/>
            </w:r>
          </w:p>
        </w:tc>
        <w:tc>
          <w:tcPr>
            <w:tcW w:w="28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Citadel Securities LLC</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Citadel Securities Group LP</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Citadel Advisors LLC</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Citadel Advisors Holdings LP</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3696" w:type="dxa"/>
        <w:jc w:val="left"/>
        <w:tblInd w:w="0" w:type="dxa"/>
        <w:tblLayout w:type="fixed"/>
        <w:tblCellMar>
          <w:top w:w="28" w:type="dxa"/>
          <w:left w:w="28" w:type="dxa"/>
          <w:bottom w:w="28" w:type="dxa"/>
          <w:right w:w="28" w:type="dxa"/>
        </w:tblCellMar>
      </w:tblPr>
      <w:tblGrid>
        <w:gridCol w:w="1848"/>
        <w:gridCol w:w="1848"/>
      </w:tblGrid>
      <w:tr>
        <w:trPr/>
        <w:tc>
          <w:tcPr>
            <w:tcW w:w="1848" w:type="dxa"/>
            <w:tcBorders/>
            <w:vAlign w:val="center"/>
          </w:tcPr>
          <w:p>
            <w:pPr>
              <w:pStyle w:val="TableContents"/>
              <w:bidi w:val="0"/>
              <w:spacing w:before="0" w:after="0"/>
              <w:jc w:val="left"/>
              <w:rPr/>
            </w:pPr>
            <w:r>
              <w:rPr/>
              <w:t> </w:t>
            </w:r>
          </w:p>
          <w:tbl>
            <w:tblPr>
              <w:tblW w:w="1741" w:type="dxa"/>
              <w:jc w:val="left"/>
              <w:tblInd w:w="0" w:type="dxa"/>
              <w:tblLayout w:type="fixed"/>
              <w:tblCellMar>
                <w:top w:w="28" w:type="dxa"/>
                <w:left w:w="28" w:type="dxa"/>
                <w:bottom w:w="28" w:type="dxa"/>
                <w:right w:w="28" w:type="dxa"/>
              </w:tblCellMar>
            </w:tblPr>
            <w:tblGrid>
              <w:gridCol w:w="1741"/>
            </w:tblGrid>
            <w:tr>
              <w:trPr/>
              <w:tc>
                <w:tcPr>
                  <w:tcW w:w="1741" w:type="dxa"/>
                  <w:tcBorders/>
                  <w:vAlign w:val="center"/>
                </w:tcPr>
                <w:p>
                  <w:pPr>
                    <w:pStyle w:val="TableContents"/>
                    <w:bidi w:val="0"/>
                    <w:spacing w:before="0" w:after="0"/>
                    <w:jc w:val="left"/>
                    <w:rPr/>
                  </w:pPr>
                  <w:r>
                    <w:rPr/>
                    <w:t>Citadel GP LLC</w:t>
                  </w:r>
                </w:p>
              </w:tc>
            </w:tr>
          </w:tbl>
          <w:p>
            <w:pPr>
              <w:pStyle w:val="TableContents"/>
              <w:bidi w:val="0"/>
              <w:spacing w:before="0" w:after="283"/>
              <w:jc w:val="left"/>
              <w:rPr/>
            </w:pPr>
            <w:r>
              <w:rPr/>
            </w:r>
          </w:p>
        </w:tc>
        <w:tc>
          <w:tcPr>
            <w:tcW w:w="18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Kenneth Griffin</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07"/>
        <w:gridCol w:w="4498"/>
      </w:tblGrid>
      <w:tr>
        <w:trPr/>
        <w:tc>
          <w:tcPr>
            <w:tcW w:w="57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4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Seth Levy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Allakos Inc. on October 13, 2023.</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283"/>
              <w:jc w:val="center"/>
              <w:rPr>
                <w:b/>
              </w:rPr>
            </w:pPr>
            <w:r>
              <w:rPr>
                <w:b/>
              </w:rPr>
              <w:t xml:space="preserve">Exhibit Information </w:t>
            </w:r>
          </w:p>
        </w:tc>
      </w:tr>
      <w:tr>
        <w:trPr/>
        <w:tc>
          <w:tcPr>
            <w:tcW w:w="3706" w:type="dxa"/>
            <w:tcBorders/>
            <w:vAlign w:val="center"/>
          </w:tcPr>
          <w:p>
            <w:pPr>
              <w:pStyle w:val="TableContents"/>
              <w:bidi w:val="0"/>
              <w:spacing w:before="0" w:after="283"/>
              <w:jc w:val="left"/>
              <w:rPr/>
            </w:pPr>
            <w:r>
              <w:rPr/>
              <w:t>Exhibit 99.1 - Joint Filing Agreement</w:t>
            </w:r>
          </w:p>
        </w:tc>
      </w:tr>
    </w:tbl>
    <w:p>
      <w:pPr>
        <w:pStyle w:val="TextBody"/>
        <w:bidi w:val="0"/>
        <w:spacing w:before="0" w:after="0"/>
        <w:ind w:left="0" w:right="0" w:hanging="0"/>
        <w:jc w:val="right"/>
        <w:rPr>
          <w:rFonts w:ascii="Times New Roman;Times;Serif" w:hAnsi="Times New Roman;Times;Serif"/>
          <w:b/>
          <w:i w:val="false"/>
          <w:caps w:val="false"/>
          <w:smallCaps w:val="false"/>
          <w:sz w:val="20"/>
          <w:u w:val="single"/>
        </w:rPr>
      </w:pPr>
      <w:bookmarkStart w:id="40" w:name="tm2626697d1_ex99-1.htm"/>
      <w:bookmarkStart w:id="41" w:name="kstm2626697d1_ex991"/>
      <w:bookmarkEnd w:id="40"/>
      <w:bookmarkEnd w:id="41"/>
      <w:r>
        <w:rPr>
          <w:rFonts w:ascii="Times New Roman;Times;Serif" w:hAnsi="Times New Roman;Times;Serif"/>
          <w:b/>
          <w:i w:val="false"/>
          <w:caps w:val="false"/>
          <w:smallCaps w:val="false"/>
          <w:sz w:val="20"/>
          <w:u w:val="single"/>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agree that the Statement on Schedule 13G filed herewith (and any amendments thereto), relating to the Shares, is being filed jointly with the Securities and Exchange Commission pursuant to Rule 13d-1(c) under the Securities Exchange Act of 1934, as amended, on behalf of each of the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counterparts and each of such counterparts taken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30, 2026.</w:t>
      </w:r>
    </w:p>
    <w:p>
      <w:pPr>
        <w:pStyle w:val="TextBody"/>
        <w:bidi w:val="0"/>
        <w:spacing w:before="0" w:after="0"/>
        <w:ind w:left="0" w:right="0" w:hanging="0"/>
        <w:jc w:val="left"/>
        <w:rPr>
          <w:caps w:val="false"/>
          <w:smallCaps w:val="false"/>
        </w:rPr>
      </w:pPr>
      <w:r>
        <w:rPr>
          <w:caps w:val="false"/>
          <w:smallCaps w:val="false"/>
        </w:rPr>
        <w:t> </w:t>
      </w:r>
    </w:p>
    <w:tbl>
      <w:tblPr>
        <w:tblW w:w="6608" w:type="dxa"/>
        <w:jc w:val="left"/>
        <w:tblInd w:w="0" w:type="dxa"/>
        <w:tblLayout w:type="fixed"/>
        <w:tblCellMar>
          <w:top w:w="0" w:type="dxa"/>
          <w:left w:w="0" w:type="dxa"/>
          <w:bottom w:w="0" w:type="dxa"/>
          <w:right w:w="0" w:type="dxa"/>
        </w:tblCellMar>
      </w:tblPr>
      <w:tblGrid>
        <w:gridCol w:w="364"/>
        <w:gridCol w:w="2820"/>
        <w:gridCol w:w="75"/>
        <w:gridCol w:w="365"/>
        <w:gridCol w:w="2984"/>
      </w:tblGrid>
      <w:tr>
        <w:trPr/>
        <w:tc>
          <w:tcPr>
            <w:tcW w:w="31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CITADEL SECURITIES LLC</w:t>
            </w:r>
          </w:p>
        </w:tc>
        <w:tc>
          <w:tcPr>
            <w:tcW w:w="75"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CITADEL ADVISORS LLC</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8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Authorized Signatory</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Authorized Signatory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1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CITADEL SECURITIES GROUP LP</w:t>
            </w:r>
          </w:p>
        </w:tc>
        <w:tc>
          <w:tcPr>
            <w:tcW w:w="75"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CITADEL ADVISORS HOLDINGS LP</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8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Authorized Signatory</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Authorized Signatory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1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CITADEL SECURITIES GP LLC</w:t>
            </w:r>
          </w:p>
        </w:tc>
        <w:tc>
          <w:tcPr>
            <w:tcW w:w="75"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CITADEL GP LLC</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8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Authorized Signatory</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Authorized Signatory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3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KENNETH GRIFFIN</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pPr>
            <w:r>
              <w:rPr/>
              <w:t> </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8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Seth Levy</w:t>
            </w:r>
          </w:p>
        </w:tc>
      </w:tr>
      <w:tr>
        <w:trPr/>
        <w:tc>
          <w:tcPr>
            <w:tcW w:w="364"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attorney-in-fact</w:t>
            </w:r>
            <w:r>
              <w:rPr>
                <w:rFonts w:ascii="Times New Roman;Times;Serif" w:hAnsi="Times New Roman;Times;Serif"/>
                <w:position w:val="7"/>
                <w:sz w:val="16"/>
                <w:sz w:val="20"/>
                <w:u w:val="single"/>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u w:val="single"/>
              </w:rPr>
            </w:pPr>
            <w:r>
              <w:rPr>
                <w:rFonts w:ascii="Times New Roman;Times;Serif" w:hAnsi="Times New Roman;Times;Serif"/>
                <w:position w:val="7"/>
                <w:sz w:val="16"/>
                <w:sz w:val="20"/>
                <w:u w:val="single"/>
              </w:rPr>
              <w:t>*</w:t>
            </w:r>
          </w:p>
        </w:tc>
        <w:tc>
          <w:tcPr>
            <w:tcW w:w="10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Seth Levy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Allakos Inc. on October 13,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checked.jpg"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2393</Words>
  <Characters>12456</Characters>
  <CharactersWithSpaces>14772</CharactersWithSpaces>
  <Paragraphs>560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