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198755</wp:posOffset>
            </wp:positionH>
            <wp:positionV relativeFrom="page">
              <wp:posOffset>617855</wp:posOffset>
            </wp:positionV>
            <wp:extent cx="715200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2005" cy="7620"/>
                    </a:xfrm>
                    <a:prstGeom prst="rect">
                      <a:avLst/>
                    </a:prstGeom>
                    <a:noFill/>
                  </pic:spPr>
                </pic:pic>
              </a:graphicData>
            </a:graphic>
          </wp:anchor>
        </w:drawing>
        <w:drawing>
          <wp:anchor simplePos="0" relativeHeight="251657728" behindDoc="1" locked="0" layoutInCell="0" allowOverlap="1">
            <wp:simplePos x="0" y="0"/>
            <wp:positionH relativeFrom="page">
              <wp:posOffset>198755</wp:posOffset>
            </wp:positionH>
            <wp:positionV relativeFrom="page">
              <wp:posOffset>640080</wp:posOffset>
            </wp:positionV>
            <wp:extent cx="715200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2005" cy="7620"/>
                    </a:xfrm>
                    <a:prstGeom prst="rect">
                      <a:avLst/>
                    </a:prstGeom>
                    <a:noFill/>
                  </pic:spPr>
                </pic:pic>
              </a:graphicData>
            </a:graphic>
          </wp:anchor>
        </w:drawing>
        <w:t>UNITED STATES</w:t>
      </w:r>
    </w:p>
    <w:p>
      <w:pPr>
        <w:spacing w:after="0" w:line="3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1"/>
          <w:szCs w:val="21"/>
          <w:b w:val="1"/>
          <w:bCs w:val="1"/>
          <w:color w:val="auto"/>
        </w:rPr>
        <w:t>SECURITIES AND EXCHANGE COMMISSION</w:t>
      </w:r>
    </w:p>
    <w:p>
      <w:pPr>
        <w:spacing w:after="0" w:line="1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16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8"/>
          <w:szCs w:val="28"/>
          <w:b w:val="1"/>
          <w:bCs w:val="1"/>
          <w:color w:val="auto"/>
        </w:rPr>
        <w:t>FORM 6-K</w:t>
      </w:r>
    </w:p>
    <w:p>
      <w:pPr>
        <w:spacing w:after="0" w:line="20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5"/>
          <w:szCs w:val="15"/>
          <w:b w:val="1"/>
          <w:bCs w:val="1"/>
          <w:color w:val="auto"/>
        </w:rPr>
        <w:t>REPORT OF FOREIGN PRIVATE ISSUER</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5"/>
          <w:szCs w:val="15"/>
          <w:b w:val="1"/>
          <w:bCs w:val="1"/>
          <w:color w:val="auto"/>
        </w:rPr>
        <w:t>PURSUANT TO SECTION 13A-16 OR 15D-16</w:t>
      </w:r>
    </w:p>
    <w:p>
      <w:pPr>
        <w:spacing w:after="0" w:line="1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5"/>
          <w:szCs w:val="15"/>
          <w:b w:val="1"/>
          <w:bCs w:val="1"/>
          <w:color w:val="auto"/>
        </w:rPr>
        <w:t>UNDER THE SECURITIES EXCHANGE ACT OF 1934</w:t>
      </w:r>
    </w:p>
    <w:p>
      <w:pPr>
        <w:spacing w:after="0" w:line="18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5"/>
          <w:szCs w:val="15"/>
          <w:b w:val="1"/>
          <w:bCs w:val="1"/>
          <w:color w:val="auto"/>
        </w:rPr>
        <w:t>For the month of December 2024</w:t>
      </w:r>
    </w:p>
    <w:p>
      <w:pPr>
        <w:spacing w:after="0" w:line="198"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5"/>
          <w:szCs w:val="15"/>
          <w:b w:val="1"/>
          <w:bCs w:val="1"/>
          <w:color w:val="auto"/>
        </w:rPr>
        <w:t>Commission File Number: 001-41072</w:t>
      </w:r>
    </w:p>
    <w:p>
      <w:pPr>
        <w:spacing w:after="0" w:line="184"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7"/>
          <w:szCs w:val="37"/>
          <w:b w:val="1"/>
          <w:bCs w:val="1"/>
          <w:color w:val="auto"/>
        </w:rPr>
        <w:t>IREN Limited</w:t>
      </w:r>
    </w:p>
    <w:p>
      <w:pPr>
        <w:spacing w:after="0" w:line="4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5"/>
          <w:szCs w:val="15"/>
          <w:b w:val="1"/>
          <w:bCs w:val="1"/>
          <w:color w:val="auto"/>
        </w:rPr>
        <w:t>(Translation of registrant’s name into English)</w:t>
      </w:r>
    </w:p>
    <w:p>
      <w:pPr>
        <w:spacing w:after="0" w:line="17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5"/>
          <w:szCs w:val="15"/>
          <w:b w:val="1"/>
          <w:bCs w:val="1"/>
          <w:color w:val="auto"/>
        </w:rPr>
        <w:t>Level 6, 55 Market Street</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5"/>
          <w:szCs w:val="15"/>
          <w:b w:val="1"/>
          <w:bCs w:val="1"/>
          <w:color w:val="auto"/>
        </w:rPr>
        <w:t>Sydney, NSW 2000 Australia</w:t>
      </w:r>
    </w:p>
    <w:p>
      <w:pPr>
        <w:spacing w:after="0" w:line="1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5"/>
          <w:szCs w:val="15"/>
          <w:b w:val="1"/>
          <w:bCs w:val="1"/>
          <w:color w:val="auto"/>
        </w:rPr>
        <w:t>+61 2 7906 8301</w:t>
      </w:r>
    </w:p>
    <w:p>
      <w:pPr>
        <w:spacing w:after="0" w:line="1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5"/>
          <w:szCs w:val="15"/>
          <w:b w:val="1"/>
          <w:bCs w:val="1"/>
          <w:color w:val="auto"/>
        </w:rPr>
        <w:t>(Address of principal executive office)</w:t>
      </w:r>
    </w:p>
    <w:p>
      <w:pPr>
        <w:spacing w:after="0" w:line="184"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Indicate by check mark whether the registrant files or will file annual reports under cover of Form 20-F or Form 40-F.</w:t>
      </w:r>
    </w:p>
    <w:p>
      <w:pPr>
        <w:spacing w:after="0" w:line="198" w:lineRule="exact"/>
        <w:rPr>
          <w:sz w:val="24"/>
          <w:szCs w:val="24"/>
          <w:color w:val="auto"/>
        </w:rPr>
      </w:pPr>
    </w:p>
    <w:p>
      <w:pPr>
        <w:ind w:left="4760"/>
        <w:spacing w:after="0"/>
        <w:rPr>
          <w:sz w:val="20"/>
          <w:szCs w:val="20"/>
          <w:color w:val="auto"/>
        </w:rPr>
      </w:pPr>
      <w:r>
        <w:rPr>
          <w:rFonts w:ascii="Times New Roman" w:cs="Times New Roman" w:eastAsia="Times New Roman" w:hAnsi="Times New Roman"/>
          <w:sz w:val="15"/>
          <w:szCs w:val="15"/>
          <w:color w:val="auto"/>
        </w:rPr>
        <w:t xml:space="preserve">Form 20-F </w:t>
      </w:r>
      <w:r>
        <w:rPr>
          <w:rFonts w:ascii="Wingdings" w:cs="Wingdings" w:eastAsia="Wingdings" w:hAnsi="Wingdings"/>
          <w:sz w:val="15"/>
          <w:szCs w:val="15"/>
          <w:b w:val="1"/>
          <w:bCs w:val="1"/>
          <w:color w:val="auto"/>
        </w:rPr>
        <w:t>x</w:t>
      </w:r>
      <w:r>
        <w:rPr>
          <w:rFonts w:ascii="Times New Roman" w:cs="Times New Roman" w:eastAsia="Times New Roman" w:hAnsi="Times New Roman"/>
          <w:sz w:val="15"/>
          <w:szCs w:val="15"/>
          <w:color w:val="auto"/>
        </w:rPr>
        <w:t xml:space="preserve"> Form 40-F </w:t>
      </w:r>
      <w:r>
        <w:rPr>
          <w:rFonts w:ascii="Wingdings" w:cs="Wingdings" w:eastAsia="Wingdings" w:hAnsi="Wingdings"/>
          <w:sz w:val="15"/>
          <w:szCs w:val="15"/>
          <w:b w:val="1"/>
          <w:bCs w:val="1"/>
          <w:color w:val="auto"/>
        </w:rPr>
        <w:t>o</w:t>
      </w:r>
    </w:p>
    <w:p>
      <w:pPr>
        <w:spacing w:after="0" w:line="198"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 xml:space="preserve">Indicate by check mark if the registrant is submitting the Form 6-K in paper as permitted by Regulation S-T Rule 101(b)(1): </w:t>
      </w:r>
      <w:r>
        <w:rPr>
          <w:rFonts w:ascii="Wingdings" w:cs="Wingdings" w:eastAsia="Wingdings" w:hAnsi="Wingdings"/>
          <w:sz w:val="15"/>
          <w:szCs w:val="15"/>
          <w:b w:val="1"/>
          <w:bCs w:val="1"/>
          <w:color w:val="auto"/>
        </w:rPr>
        <w:t>o</w:t>
      </w:r>
    </w:p>
    <w:p>
      <w:pPr>
        <w:spacing w:after="0" w:line="198"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 xml:space="preserve">Indicate by check mark if the registrant is submitting the Form 6-K in paper as permitted by Regulation S-T Rule 101(b)(7): </w:t>
      </w:r>
      <w:r>
        <w:rPr>
          <w:rFonts w:ascii="Wingdings" w:cs="Wingdings" w:eastAsia="Wingdings" w:hAnsi="Wingdings"/>
          <w:sz w:val="15"/>
          <w:szCs w:val="15"/>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164465</wp:posOffset>
            </wp:positionV>
            <wp:extent cx="715200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200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186690</wp:posOffset>
            </wp:positionV>
            <wp:extent cx="715200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2005" cy="7620"/>
                    </a:xfrm>
                    <a:prstGeom prst="rect">
                      <a:avLst/>
                    </a:prstGeom>
                    <a:noFill/>
                  </pic:spPr>
                </pic:pic>
              </a:graphicData>
            </a:graphic>
          </wp:anchor>
        </w:drawing>
      </w:r>
    </w:p>
    <w:p>
      <w:pPr>
        <w:sectPr>
          <w:pgSz w:w="11900" w:h="16838" w:orient="portrait"/>
          <w:cols w:equalWidth="0" w:num="1">
            <w:col w:w="10139"/>
          </w:cols>
          <w:pgMar w:left="320" w:top="1088" w:right="1440" w:bottom="1440" w:gutter="0" w:footer="0" w:header="0"/>
        </w:sectPr>
      </w:pPr>
    </w:p>
    <w:bookmarkStart w:id="1" w:name="page2"/>
    <w:bookmarkEnd w:id="1"/>
    <w:p>
      <w:pPr>
        <w:jc w:val="center"/>
        <w:ind w:right="-119"/>
        <w:spacing w:after="0"/>
        <w:rPr>
          <w:sz w:val="20"/>
          <w:szCs w:val="20"/>
          <w:color w:val="auto"/>
        </w:rPr>
      </w:pPr>
      <w:r>
        <w:rPr>
          <w:rFonts w:ascii="Times New Roman" w:cs="Times New Roman" w:eastAsia="Times New Roman" w:hAnsi="Times New Roman"/>
          <w:sz w:val="15"/>
          <w:szCs w:val="15"/>
          <w:b w:val="1"/>
          <w:bCs w:val="1"/>
          <w:color w:val="auto"/>
        </w:rPr>
        <w:t>EXPLANATORY NOTE</w:t>
      </w:r>
    </w:p>
    <w:p>
      <w:pPr>
        <w:spacing w:after="0" w:line="202" w:lineRule="exact"/>
        <w:rPr>
          <w:sz w:val="20"/>
          <w:szCs w:val="20"/>
          <w:color w:val="auto"/>
        </w:rPr>
      </w:pPr>
    </w:p>
    <w:p>
      <w:pPr>
        <w:spacing w:after="0" w:line="295" w:lineRule="auto"/>
        <w:rPr>
          <w:sz w:val="20"/>
          <w:szCs w:val="20"/>
          <w:color w:val="auto"/>
        </w:rPr>
      </w:pPr>
      <w:r>
        <w:rPr>
          <w:rFonts w:ascii="Times New Roman" w:cs="Times New Roman" w:eastAsia="Times New Roman" w:hAnsi="Times New Roman"/>
          <w:sz w:val="15"/>
          <w:szCs w:val="15"/>
          <w:color w:val="auto"/>
        </w:rPr>
        <w:t>On December 6, 2024, IREN Limited (the “Company”) released a monthly investor update regarding its results of operations for November 2024 and provided a business update. A copy of the Company’s investor update is furnished hereto as Exhibit 99.1.</w:t>
      </w:r>
    </w:p>
    <w:p>
      <w:pPr>
        <w:sectPr>
          <w:pgSz w:w="11900" w:h="16838" w:orient="portrait"/>
          <w:cols w:equalWidth="0" w:num="1">
            <w:col w:w="11120"/>
          </w:cols>
          <w:pgMar w:left="320" w:top="1001" w:right="4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3"/>
        </w:trPr>
        <w:tc>
          <w:tcPr>
            <w:tcW w:w="2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360" w:type="dxa"/>
            <w:vAlign w:val="bottom"/>
          </w:tcPr>
          <w:p>
            <w:pPr>
              <w:ind w:left="3120"/>
              <w:spacing w:after="0"/>
              <w:rPr>
                <w:sz w:val="20"/>
                <w:szCs w:val="20"/>
                <w:color w:val="auto"/>
              </w:rPr>
            </w:pPr>
            <w:r>
              <w:rPr>
                <w:rFonts w:ascii="Times New Roman" w:cs="Times New Roman" w:eastAsia="Times New Roman" w:hAnsi="Times New Roman"/>
                <w:sz w:val="15"/>
                <w:szCs w:val="15"/>
                <w:b w:val="1"/>
                <w:bCs w:val="1"/>
                <w:color w:val="auto"/>
              </w:rPr>
              <w:t>EXHIBIT INDEX</w:t>
            </w:r>
          </w:p>
        </w:tc>
      </w:tr>
      <w:tr>
        <w:trPr>
          <w:trHeight w:val="398"/>
        </w:trPr>
        <w:tc>
          <w:tcPr>
            <w:tcW w:w="280" w:type="dxa"/>
            <w:vAlign w:val="bottom"/>
          </w:tcPr>
          <w:p>
            <w:pPr>
              <w:spacing w:after="0"/>
              <w:rPr>
                <w:sz w:val="24"/>
                <w:szCs w:val="24"/>
                <w:color w:val="auto"/>
              </w:rPr>
            </w:pPr>
          </w:p>
        </w:tc>
        <w:tc>
          <w:tcPr>
            <w:tcW w:w="1620" w:type="dxa"/>
            <w:vAlign w:val="bottom"/>
            <w:gridSpan w:val="2"/>
          </w:tcPr>
          <w:p>
            <w:pPr>
              <w:jc w:val="center"/>
              <w:ind w:right="380"/>
              <w:spacing w:after="0"/>
              <w:rPr>
                <w:sz w:val="20"/>
                <w:szCs w:val="20"/>
                <w:color w:val="auto"/>
              </w:rPr>
            </w:pPr>
            <w:r>
              <w:rPr>
                <w:rFonts w:ascii="Times New Roman" w:cs="Times New Roman" w:eastAsia="Times New Roman" w:hAnsi="Times New Roman"/>
                <w:sz w:val="15"/>
                <w:szCs w:val="15"/>
                <w:b w:val="1"/>
                <w:bCs w:val="1"/>
                <w:color w:val="auto"/>
              </w:rPr>
              <w:t>Exhibit</w:t>
            </w:r>
          </w:p>
        </w:tc>
        <w:tc>
          <w:tcPr>
            <w:tcW w:w="9360" w:type="dxa"/>
            <w:vAlign w:val="bottom"/>
          </w:tcPr>
          <w:p>
            <w:pPr>
              <w:spacing w:after="0"/>
              <w:rPr>
                <w:sz w:val="24"/>
                <w:szCs w:val="24"/>
                <w:color w:val="auto"/>
              </w:rPr>
            </w:pPr>
          </w:p>
        </w:tc>
      </w:tr>
      <w:tr>
        <w:trPr>
          <w:trHeight w:val="203"/>
        </w:trPr>
        <w:tc>
          <w:tcPr>
            <w:tcW w:w="280" w:type="dxa"/>
            <w:vAlign w:val="bottom"/>
          </w:tcPr>
          <w:p>
            <w:pPr>
              <w:spacing w:after="0"/>
              <w:rPr>
                <w:sz w:val="17"/>
                <w:szCs w:val="17"/>
                <w:color w:val="auto"/>
              </w:rPr>
            </w:pPr>
          </w:p>
        </w:tc>
        <w:tc>
          <w:tcPr>
            <w:tcW w:w="1620" w:type="dxa"/>
            <w:vAlign w:val="bottom"/>
            <w:gridSpan w:val="2"/>
          </w:tcPr>
          <w:p>
            <w:pPr>
              <w:jc w:val="center"/>
              <w:ind w:right="380"/>
              <w:spacing w:after="0"/>
              <w:rPr>
                <w:sz w:val="20"/>
                <w:szCs w:val="20"/>
                <w:color w:val="auto"/>
              </w:rPr>
            </w:pPr>
            <w:r>
              <w:rPr>
                <w:rFonts w:ascii="Times New Roman" w:cs="Times New Roman" w:eastAsia="Times New Roman" w:hAnsi="Times New Roman"/>
                <w:sz w:val="15"/>
                <w:szCs w:val="15"/>
                <w:b w:val="1"/>
                <w:bCs w:val="1"/>
                <w:color w:val="auto"/>
              </w:rPr>
              <w:t>No.</w:t>
            </w:r>
          </w:p>
        </w:tc>
        <w:tc>
          <w:tcPr>
            <w:tcW w:w="9360" w:type="dxa"/>
            <w:vAlign w:val="bottom"/>
          </w:tcPr>
          <w:p>
            <w:pPr>
              <w:ind w:left="4300"/>
              <w:spacing w:after="0"/>
              <w:rPr>
                <w:sz w:val="20"/>
                <w:szCs w:val="20"/>
                <w:color w:val="auto"/>
              </w:rPr>
            </w:pPr>
            <w:r>
              <w:rPr>
                <w:rFonts w:ascii="Times New Roman" w:cs="Times New Roman" w:eastAsia="Times New Roman" w:hAnsi="Times New Roman"/>
                <w:sz w:val="15"/>
                <w:szCs w:val="15"/>
                <w:b w:val="1"/>
                <w:bCs w:val="1"/>
                <w:color w:val="auto"/>
              </w:rPr>
              <w:t>Description</w:t>
            </w:r>
          </w:p>
        </w:tc>
      </w:tr>
      <w:tr>
        <w:trPr>
          <w:trHeight w:val="23"/>
        </w:trPr>
        <w:tc>
          <w:tcPr>
            <w:tcW w:w="2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360" w:type="dxa"/>
            <w:vAlign w:val="bottom"/>
            <w:tcBorders>
              <w:bottom w:val="single" w:sz="8" w:color="auto"/>
            </w:tcBorders>
          </w:tcPr>
          <w:p>
            <w:pPr>
              <w:spacing w:after="0"/>
              <w:rPr>
                <w:sz w:val="2"/>
                <w:szCs w:val="2"/>
                <w:color w:val="auto"/>
              </w:rPr>
            </w:pPr>
          </w:p>
        </w:tc>
      </w:tr>
      <w:tr>
        <w:trPr>
          <w:trHeight w:val="350"/>
        </w:trPr>
        <w:tc>
          <w:tcPr>
            <w:tcW w:w="2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5"/>
                <w:szCs w:val="15"/>
                <w:color w:val="0000FF"/>
                <w:w w:val="98"/>
              </w:rPr>
              <w:t>99.</w:t>
            </w:r>
            <w:r>
              <w:rPr>
                <w:rFonts w:ascii="Times New Roman" w:cs="Times New Roman" w:eastAsia="Times New Roman" w:hAnsi="Times New Roman"/>
                <w:sz w:val="15"/>
                <w:szCs w:val="15"/>
                <w:u w:val="single" w:color="auto"/>
                <w:color w:val="0000FF"/>
                <w:w w:val="98"/>
              </w:rPr>
              <w:t>1</w:t>
            </w: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360" w:type="dxa"/>
            <w:vAlign w:val="bottom"/>
          </w:tcPr>
          <w:p>
            <w:pPr>
              <w:spacing w:after="0"/>
              <w:rPr>
                <w:sz w:val="20"/>
                <w:szCs w:val="20"/>
                <w:color w:val="auto"/>
              </w:rPr>
            </w:pPr>
            <w:r>
              <w:rPr>
                <w:rFonts w:ascii="Times New Roman" w:cs="Times New Roman" w:eastAsia="Times New Roman" w:hAnsi="Times New Roman"/>
                <w:sz w:val="15"/>
                <w:szCs w:val="15"/>
                <w:color w:val="auto"/>
              </w:rPr>
              <w:t>IREN Limited, November 2024 Monthly Investor Update, dated December 6, 2024</w:t>
            </w:r>
          </w:p>
        </w:tc>
      </w:tr>
    </w:tbl>
    <w:p>
      <w:pPr>
        <w:sectPr>
          <w:pgSz w:w="11900" w:h="16838" w:orient="portrait"/>
          <w:cols w:equalWidth="0" w:num="1">
            <w:col w:w="11260"/>
          </w:cols>
          <w:pgMar w:left="320" w:top="1001" w:right="31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5"/>
          <w:szCs w:val="15"/>
          <w:b w:val="1"/>
          <w:bCs w:val="1"/>
          <w:color w:val="auto"/>
        </w:rPr>
        <w:t>SIGNATURES</w:t>
      </w:r>
    </w:p>
    <w:p>
      <w:pPr>
        <w:spacing w:after="0" w:line="202" w:lineRule="exact"/>
        <w:rPr>
          <w:sz w:val="20"/>
          <w:szCs w:val="20"/>
          <w:color w:val="auto"/>
        </w:rPr>
      </w:pPr>
    </w:p>
    <w:p>
      <w:pPr>
        <w:ind w:right="260"/>
        <w:spacing w:after="0" w:line="295" w:lineRule="auto"/>
        <w:rPr>
          <w:sz w:val="20"/>
          <w:szCs w:val="20"/>
          <w:color w:val="auto"/>
        </w:rPr>
      </w:pPr>
      <w:r>
        <w:rPr>
          <w:rFonts w:ascii="Times New Roman" w:cs="Times New Roman" w:eastAsia="Times New Roman" w:hAnsi="Times New Roman"/>
          <w:sz w:val="15"/>
          <w:szCs w:val="15"/>
          <w:color w:val="auto"/>
        </w:rPr>
        <w:t>Pursuant to the requirements of the Securities Exchange Act of 1934, as amended,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460" w:type="dxa"/>
            <w:vAlign w:val="bottom"/>
          </w:tcPr>
          <w:p>
            <w:pPr>
              <w:spacing w:after="0"/>
              <w:rPr>
                <w:sz w:val="17"/>
                <w:szCs w:val="17"/>
                <w:color w:val="auto"/>
              </w:rPr>
            </w:pPr>
          </w:p>
        </w:tc>
        <w:tc>
          <w:tcPr>
            <w:tcW w:w="7780" w:type="dxa"/>
            <w:vAlign w:val="bottom"/>
            <w:gridSpan w:val="2"/>
          </w:tcPr>
          <w:p>
            <w:pPr>
              <w:ind w:left="1940"/>
              <w:spacing w:after="0"/>
              <w:rPr>
                <w:sz w:val="20"/>
                <w:szCs w:val="20"/>
                <w:color w:val="auto"/>
              </w:rPr>
            </w:pPr>
            <w:r>
              <w:rPr>
                <w:rFonts w:ascii="Times New Roman" w:cs="Times New Roman" w:eastAsia="Times New Roman" w:hAnsi="Times New Roman"/>
                <w:sz w:val="15"/>
                <w:szCs w:val="15"/>
                <w:b w:val="1"/>
                <w:bCs w:val="1"/>
                <w:color w:val="auto"/>
              </w:rPr>
              <w:t>IREN Limited</w:t>
            </w:r>
          </w:p>
        </w:tc>
      </w:tr>
      <w:tr>
        <w:trPr>
          <w:trHeight w:val="428"/>
        </w:trPr>
        <w:tc>
          <w:tcPr>
            <w:tcW w:w="3460" w:type="dxa"/>
            <w:vAlign w:val="bottom"/>
          </w:tcPr>
          <w:p>
            <w:pPr>
              <w:spacing w:after="0"/>
              <w:rPr>
                <w:sz w:val="20"/>
                <w:szCs w:val="20"/>
                <w:color w:val="auto"/>
              </w:rPr>
            </w:pPr>
            <w:r>
              <w:rPr>
                <w:rFonts w:ascii="Times New Roman" w:cs="Times New Roman" w:eastAsia="Times New Roman" w:hAnsi="Times New Roman"/>
                <w:sz w:val="15"/>
                <w:szCs w:val="15"/>
                <w:color w:val="auto"/>
              </w:rPr>
              <w:t>Date: December 6, 2024</w:t>
            </w:r>
          </w:p>
        </w:tc>
        <w:tc>
          <w:tcPr>
            <w:tcW w:w="2380" w:type="dxa"/>
            <w:vAlign w:val="bottom"/>
          </w:tcPr>
          <w:p>
            <w:pPr>
              <w:ind w:left="1940"/>
              <w:spacing w:after="0"/>
              <w:rPr>
                <w:sz w:val="20"/>
                <w:szCs w:val="20"/>
                <w:color w:val="auto"/>
              </w:rPr>
            </w:pPr>
            <w:r>
              <w:rPr>
                <w:rFonts w:ascii="Times New Roman" w:cs="Times New Roman" w:eastAsia="Times New Roman" w:hAnsi="Times New Roman"/>
                <w:sz w:val="15"/>
                <w:szCs w:val="15"/>
                <w:color w:val="auto"/>
              </w:rPr>
              <w:t>By:</w:t>
            </w:r>
          </w:p>
        </w:tc>
        <w:tc>
          <w:tcPr>
            <w:tcW w:w="54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/s/ Daniel Roberts</w:t>
            </w:r>
          </w:p>
        </w:tc>
      </w:tr>
      <w:tr>
        <w:trPr>
          <w:trHeight w:val="186"/>
        </w:trPr>
        <w:tc>
          <w:tcPr>
            <w:tcW w:w="346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54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Daniel Roberts</w:t>
            </w:r>
          </w:p>
        </w:tc>
      </w:tr>
      <w:tr>
        <w:trPr>
          <w:trHeight w:val="199"/>
        </w:trPr>
        <w:tc>
          <w:tcPr>
            <w:tcW w:w="346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54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Co-Chief Executive Officer and Director</w:t>
            </w:r>
          </w:p>
        </w:tc>
      </w:tr>
    </w:tbl>
    <w:p>
      <w:pPr>
        <w:sectPr>
          <w:pgSz w:w="11900" w:h="16838" w:orient="portrait"/>
          <w:cols w:equalWidth="0" w:num="1">
            <w:col w:w="11240"/>
          </w:cols>
          <w:pgMar w:left="320" w:top="1001" w:right="339" w:bottom="1440"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323850</wp:posOffset>
            </wp:positionV>
            <wp:extent cx="7090410" cy="101752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90410" cy="101752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2024-12-06T06:01:53Z</dcterms:created>
  <dcterms:modified xsi:type="dcterms:W3CDTF">2024-12-06T06:01:53Z</dcterms:modified>
</cp:coreProperties>
</file>