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598868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88685" cy="1651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137160</wp:posOffset>
            </wp:positionV>
            <wp:extent cx="59886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88685" cy="8255"/>
                    </a:xfrm>
                    <a:prstGeom prst="rect">
                      <a:avLst/>
                    </a:prstGeom>
                    <a:noFill/>
                  </pic:spPr>
                </pic:pic>
              </a:graphicData>
            </a:graphic>
          </wp:anchor>
        </w:drawing>
      </w:r>
    </w:p>
    <w:p>
      <w:pPr>
        <w:sectPr>
          <w:pgSz w:w="11900" w:h="16838" w:orient="portrait"/>
          <w:cols w:equalWidth="0" w:num="1">
            <w:col w:w="9239"/>
          </w:cols>
          <w:pgMar w:left="1220" w:top="220" w:right="1440" w:bottom="1440" w:gutter="0" w:footer="0" w:header="0"/>
        </w:sectPr>
      </w:pPr>
    </w:p>
    <w:p>
      <w:pPr>
        <w:spacing w:after="0" w:line="200" w:lineRule="exact"/>
        <w:rPr>
          <w:sz w:val="24"/>
          <w:szCs w:val="24"/>
          <w:color w:val="auto"/>
        </w:rPr>
      </w:pPr>
    </w:p>
    <w:p>
      <w:pPr>
        <w:spacing w:after="0" w:line="229" w:lineRule="exact"/>
        <w:rPr>
          <w:sz w:val="24"/>
          <w:szCs w:val="24"/>
          <w:color w:val="auto"/>
        </w:rPr>
      </w:pPr>
    </w:p>
    <w:p>
      <w:pPr>
        <w:jc w:val="center"/>
        <w:ind w:right="-140"/>
        <w:spacing w:after="0"/>
        <w:rPr>
          <w:sz w:val="20"/>
          <w:szCs w:val="20"/>
          <w:color w:val="auto"/>
        </w:rPr>
      </w:pPr>
      <w:r>
        <w:rPr>
          <w:rFonts w:ascii="Arial" w:cs="Arial" w:eastAsia="Arial" w:hAnsi="Arial"/>
          <w:sz w:val="24"/>
          <w:szCs w:val="24"/>
          <w:color w:val="auto"/>
        </w:rPr>
        <w:t>UNITED STATES</w:t>
      </w:r>
    </w:p>
    <w:p>
      <w:pPr>
        <w:spacing w:after="0" w:line="36" w:lineRule="exact"/>
        <w:rPr>
          <w:sz w:val="24"/>
          <w:szCs w:val="24"/>
          <w:color w:val="auto"/>
        </w:rPr>
      </w:pPr>
    </w:p>
    <w:p>
      <w:pPr>
        <w:jc w:val="center"/>
        <w:ind w:right="-140"/>
        <w:spacing w:after="0"/>
        <w:rPr>
          <w:sz w:val="20"/>
          <w:szCs w:val="20"/>
          <w:color w:val="auto"/>
        </w:rPr>
      </w:pPr>
      <w:r>
        <w:rPr>
          <w:rFonts w:ascii="Arial" w:cs="Arial" w:eastAsia="Arial" w:hAnsi="Arial"/>
          <w:sz w:val="24"/>
          <w:szCs w:val="24"/>
          <w:color w:val="auto"/>
        </w:rPr>
        <w:t>SECURITIES AND EXCHANGE COMMISSION</w:t>
      </w:r>
    </w:p>
    <w:p>
      <w:pPr>
        <w:spacing w:after="0" w:line="4" w:lineRule="exact"/>
        <w:rPr>
          <w:sz w:val="24"/>
          <w:szCs w:val="24"/>
          <w:color w:val="auto"/>
        </w:rPr>
      </w:pPr>
    </w:p>
    <w:p>
      <w:pPr>
        <w:jc w:val="center"/>
        <w:ind w:right="-200"/>
        <w:spacing w:after="0"/>
        <w:rPr>
          <w:sz w:val="20"/>
          <w:szCs w:val="20"/>
          <w:color w:val="auto"/>
        </w:rPr>
      </w:pPr>
      <w:r>
        <w:rPr>
          <w:rFonts w:ascii="Arial" w:cs="Arial" w:eastAsia="Arial" w:hAnsi="Arial"/>
          <w:sz w:val="21"/>
          <w:szCs w:val="21"/>
          <w:color w:val="auto"/>
        </w:rPr>
        <w:t>Washington, D.C. 20549</w:t>
      </w:r>
    </w:p>
    <w:p>
      <w:pPr>
        <w:spacing w:after="0" w:line="152" w:lineRule="exact"/>
        <w:rPr>
          <w:sz w:val="24"/>
          <w:szCs w:val="24"/>
          <w:color w:val="auto"/>
        </w:rPr>
      </w:pPr>
    </w:p>
    <w:p>
      <w:pPr>
        <w:jc w:val="center"/>
        <w:ind w:right="-200"/>
        <w:spacing w:after="0"/>
        <w:rPr>
          <w:sz w:val="20"/>
          <w:szCs w:val="20"/>
          <w:color w:val="auto"/>
        </w:rPr>
      </w:pPr>
      <w:r>
        <w:rPr>
          <w:rFonts w:ascii="Arial" w:cs="Arial" w:eastAsia="Arial" w:hAnsi="Arial"/>
          <w:sz w:val="28"/>
          <w:szCs w:val="28"/>
          <w:b w:val="1"/>
          <w:bCs w:val="1"/>
          <w:color w:val="auto"/>
        </w:rPr>
        <w:t>SCHEDULE 14A</w:t>
      </w:r>
    </w:p>
    <w:p>
      <w:pPr>
        <w:spacing w:after="0" w:line="204" w:lineRule="exact"/>
        <w:rPr>
          <w:sz w:val="24"/>
          <w:szCs w:val="24"/>
          <w:color w:val="auto"/>
        </w:rPr>
      </w:pPr>
    </w:p>
    <w:p>
      <w:pPr>
        <w:jc w:val="center"/>
        <w:ind w:right="-160"/>
        <w:spacing w:after="0"/>
        <w:rPr>
          <w:sz w:val="20"/>
          <w:szCs w:val="20"/>
          <w:color w:val="auto"/>
        </w:rPr>
      </w:pPr>
      <w:r>
        <w:rPr>
          <w:rFonts w:ascii="Arial" w:cs="Arial" w:eastAsia="Arial" w:hAnsi="Arial"/>
          <w:sz w:val="17"/>
          <w:szCs w:val="17"/>
          <w:color w:val="auto"/>
        </w:rPr>
        <w:t>Proxy Statement Pursuant to Section 14(a) of</w:t>
      </w:r>
    </w:p>
    <w:p>
      <w:pPr>
        <w:spacing w:after="0" w:line="17" w:lineRule="exact"/>
        <w:rPr>
          <w:sz w:val="24"/>
          <w:szCs w:val="24"/>
          <w:color w:val="auto"/>
        </w:rPr>
      </w:pPr>
    </w:p>
    <w:p>
      <w:pPr>
        <w:jc w:val="center"/>
        <w:ind w:right="-200"/>
        <w:spacing w:after="0"/>
        <w:rPr>
          <w:sz w:val="20"/>
          <w:szCs w:val="20"/>
          <w:color w:val="auto"/>
        </w:rPr>
      </w:pPr>
      <w:r>
        <w:rPr>
          <w:rFonts w:ascii="Arial" w:cs="Arial" w:eastAsia="Arial" w:hAnsi="Arial"/>
          <w:sz w:val="17"/>
          <w:szCs w:val="17"/>
          <w:color w:val="auto"/>
        </w:rPr>
        <w:t>the Securities Exchange Act of 1934 (Amendment No.      )</w:t>
      </w:r>
    </w:p>
    <w:p>
      <w:pPr>
        <w:spacing w:after="0" w:line="90" w:lineRule="exact"/>
        <w:rPr>
          <w:sz w:val="24"/>
          <w:szCs w:val="24"/>
          <w:color w:val="auto"/>
        </w:rPr>
      </w:pPr>
    </w:p>
    <w:p>
      <w:pPr>
        <w:ind w:left="340" w:hanging="331"/>
        <w:spacing w:after="0"/>
        <w:tabs>
          <w:tab w:leader="none" w:pos="3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Filed by the Registrant</w:t>
      </w:r>
    </w:p>
    <w:p>
      <w:pPr>
        <w:spacing w:after="0" w:line="66" w:lineRule="exact"/>
        <w:rPr>
          <w:sz w:val="24"/>
          <w:szCs w:val="24"/>
          <w:color w:val="auto"/>
        </w:rPr>
      </w:pPr>
    </w:p>
    <w:p>
      <w:pPr>
        <w:spacing w:after="0" w:line="196" w:lineRule="exact"/>
        <w:tabs>
          <w:tab w:leader="none" w:pos="320" w:val="left"/>
        </w:tabs>
        <w:rPr>
          <w:sz w:val="20"/>
          <w:szCs w:val="20"/>
          <w:color w:val="auto"/>
        </w:rPr>
      </w:pPr>
      <w:r>
        <w:rPr>
          <w:rFonts w:ascii="Arial" w:cs="Arial" w:eastAsia="Arial" w:hAnsi="Arial"/>
          <w:sz w:val="17"/>
          <w:szCs w:val="17"/>
          <w:color w:val="auto"/>
        </w:rPr>
        <w:t> </w:t>
      </w:r>
      <w:r>
        <w:rPr>
          <w:rFonts w:ascii="MS PGothic" w:cs="MS PGothic" w:eastAsia="MS PGothic" w:hAnsi="MS PGothic"/>
          <w:sz w:val="17"/>
          <w:szCs w:val="17"/>
          <w:color w:val="auto"/>
        </w:rPr>
        <w:t>☐</w:t>
      </w:r>
      <w:r>
        <w:rPr>
          <w:rFonts w:ascii="Arial" w:cs="Arial" w:eastAsia="Arial" w:hAnsi="Arial"/>
          <w:sz w:val="17"/>
          <w:szCs w:val="17"/>
          <w:color w:val="auto"/>
        </w:rPr>
        <w:tab/>
        <w:t>Filed by a Party other than the Registrant</w:t>
      </w:r>
    </w:p>
    <w:p>
      <w:pPr>
        <w:spacing w:after="0" w:line="185"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66" w:lineRule="exact"/>
        <w:rPr>
          <w:sz w:val="24"/>
          <w:szCs w:val="24"/>
          <w:color w:val="auto"/>
        </w:rPr>
      </w:pPr>
    </w:p>
    <w:p>
      <w:pPr>
        <w:spacing w:after="0" w:line="196" w:lineRule="exact"/>
        <w:tabs>
          <w:tab w:leader="none" w:pos="320" w:val="left"/>
        </w:tabs>
        <w:rPr>
          <w:sz w:val="20"/>
          <w:szCs w:val="20"/>
          <w:color w:val="auto"/>
        </w:rPr>
      </w:pPr>
      <w:r>
        <w:rPr>
          <w:rFonts w:ascii="Arial" w:cs="Arial" w:eastAsia="Arial" w:hAnsi="Arial"/>
          <w:sz w:val="17"/>
          <w:szCs w:val="17"/>
          <w:color w:val="auto"/>
        </w:rPr>
        <w:t> </w:t>
      </w:r>
      <w:r>
        <w:rPr>
          <w:rFonts w:ascii="MS PGothic" w:cs="MS PGothic" w:eastAsia="MS PGothic" w:hAnsi="MS PGothic"/>
          <w:sz w:val="17"/>
          <w:szCs w:val="17"/>
          <w:color w:val="auto"/>
        </w:rPr>
        <w:t>☐</w:t>
      </w:r>
      <w:r>
        <w:rPr>
          <w:rFonts w:ascii="Arial" w:cs="Arial" w:eastAsia="Arial" w:hAnsi="Arial"/>
          <w:sz w:val="17"/>
          <w:szCs w:val="17"/>
          <w:color w:val="auto"/>
        </w:rPr>
        <w:tab/>
        <w:t>Preliminary Proxy Statement</w:t>
      </w:r>
    </w:p>
    <w:p>
      <w:pPr>
        <w:spacing w:after="0" w:line="106" w:lineRule="exact"/>
        <w:rPr>
          <w:sz w:val="24"/>
          <w:szCs w:val="24"/>
          <w:color w:val="auto"/>
        </w:rPr>
      </w:pPr>
    </w:p>
    <w:p>
      <w:pPr>
        <w:spacing w:after="0" w:line="196" w:lineRule="exact"/>
        <w:tabs>
          <w:tab w:leader="none" w:pos="320" w:val="left"/>
        </w:tabs>
        <w:rPr>
          <w:sz w:val="20"/>
          <w:szCs w:val="20"/>
          <w:color w:val="auto"/>
        </w:rPr>
      </w:pPr>
      <w:r>
        <w:rPr>
          <w:rFonts w:ascii="Arial" w:cs="Arial" w:eastAsia="Arial" w:hAnsi="Arial"/>
          <w:sz w:val="17"/>
          <w:szCs w:val="17"/>
          <w:color w:val="auto"/>
        </w:rPr>
        <w:t> </w:t>
      </w:r>
      <w:r>
        <w:rPr>
          <w:rFonts w:ascii="MS PGothic" w:cs="MS PGothic" w:eastAsia="MS PGothic" w:hAnsi="MS PGothic"/>
          <w:sz w:val="17"/>
          <w:szCs w:val="17"/>
          <w:color w:val="auto"/>
        </w:rPr>
        <w:t>☐</w:t>
      </w:r>
      <w:r>
        <w:rPr>
          <w:rFonts w:ascii="Arial" w:cs="Arial" w:eastAsia="Arial" w:hAnsi="Arial"/>
          <w:sz w:val="17"/>
          <w:szCs w:val="17"/>
          <w:color w:val="auto"/>
        </w:rPr>
        <w:tab/>
        <w:t>Confidential, for Use of the Commission Only (as permitted by Rule 14a-6(e)(2))</w:t>
      </w:r>
    </w:p>
    <w:p>
      <w:pPr>
        <w:spacing w:after="0" w:line="146" w:lineRule="exact"/>
        <w:rPr>
          <w:sz w:val="24"/>
          <w:szCs w:val="24"/>
          <w:color w:val="auto"/>
        </w:rPr>
      </w:pPr>
    </w:p>
    <w:p>
      <w:pPr>
        <w:ind w:left="340" w:hanging="331"/>
        <w:spacing w:after="0"/>
        <w:tabs>
          <w:tab w:leader="none" w:pos="34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66" w:lineRule="exact"/>
        <w:rPr>
          <w:sz w:val="24"/>
          <w:szCs w:val="24"/>
          <w:color w:val="auto"/>
        </w:rPr>
      </w:pPr>
    </w:p>
    <w:p>
      <w:pPr>
        <w:spacing w:after="0" w:line="196" w:lineRule="exact"/>
        <w:tabs>
          <w:tab w:leader="none" w:pos="320" w:val="left"/>
        </w:tabs>
        <w:rPr>
          <w:sz w:val="20"/>
          <w:szCs w:val="20"/>
          <w:color w:val="auto"/>
        </w:rPr>
      </w:pPr>
      <w:r>
        <w:rPr>
          <w:rFonts w:ascii="Arial" w:cs="Arial" w:eastAsia="Arial" w:hAnsi="Arial"/>
          <w:sz w:val="17"/>
          <w:szCs w:val="17"/>
          <w:color w:val="auto"/>
        </w:rPr>
        <w:t> </w:t>
      </w:r>
      <w:r>
        <w:rPr>
          <w:rFonts w:ascii="MS PGothic" w:cs="MS PGothic" w:eastAsia="MS PGothic" w:hAnsi="MS PGothic"/>
          <w:sz w:val="17"/>
          <w:szCs w:val="17"/>
          <w:color w:val="auto"/>
        </w:rPr>
        <w:t>☐</w:t>
      </w:r>
      <w:r>
        <w:rPr>
          <w:rFonts w:ascii="Arial" w:cs="Arial" w:eastAsia="Arial" w:hAnsi="Arial"/>
          <w:sz w:val="17"/>
          <w:szCs w:val="17"/>
          <w:color w:val="auto"/>
        </w:rPr>
        <w:tab/>
        <w:t>Definitive Additional Materials</w:t>
      </w:r>
    </w:p>
    <w:p>
      <w:pPr>
        <w:spacing w:after="0" w:line="106" w:lineRule="exact"/>
        <w:rPr>
          <w:sz w:val="24"/>
          <w:szCs w:val="24"/>
          <w:color w:val="auto"/>
        </w:rPr>
      </w:pPr>
    </w:p>
    <w:p>
      <w:pPr>
        <w:spacing w:after="0" w:line="196" w:lineRule="exact"/>
        <w:tabs>
          <w:tab w:leader="none" w:pos="320" w:val="left"/>
        </w:tabs>
        <w:rPr>
          <w:sz w:val="20"/>
          <w:szCs w:val="20"/>
          <w:color w:val="auto"/>
        </w:rPr>
      </w:pPr>
      <w:r>
        <w:rPr>
          <w:rFonts w:ascii="Arial" w:cs="Arial" w:eastAsia="Arial" w:hAnsi="Arial"/>
          <w:sz w:val="17"/>
          <w:szCs w:val="17"/>
          <w:color w:val="auto"/>
        </w:rPr>
        <w:t> </w:t>
      </w:r>
      <w:r>
        <w:rPr>
          <w:rFonts w:ascii="MS PGothic" w:cs="MS PGothic" w:eastAsia="MS PGothic" w:hAnsi="MS PGothic"/>
          <w:sz w:val="17"/>
          <w:szCs w:val="17"/>
          <w:color w:val="auto"/>
        </w:rPr>
        <w:t>☐</w:t>
      </w:r>
      <w:r>
        <w:rPr>
          <w:rFonts w:ascii="Arial" w:cs="Arial" w:eastAsia="Arial" w:hAnsi="Arial"/>
          <w:sz w:val="17"/>
          <w:szCs w:val="17"/>
          <w:color w:val="auto"/>
        </w:rPr>
        <w:tab/>
        <w:t>Soliciting Material Pursuant to §240.14a-12</w:t>
      </w:r>
    </w:p>
    <w:p>
      <w:pPr>
        <w:spacing w:after="0" w:line="243" w:lineRule="exact"/>
        <w:rPr>
          <w:sz w:val="24"/>
          <w:szCs w:val="24"/>
          <w:color w:val="auto"/>
        </w:rPr>
      </w:pPr>
    </w:p>
    <w:p>
      <w:pPr>
        <w:jc w:val="center"/>
        <w:ind w:right="-200"/>
        <w:spacing w:after="0"/>
        <w:rPr>
          <w:sz w:val="20"/>
          <w:szCs w:val="20"/>
          <w:color w:val="auto"/>
        </w:rPr>
      </w:pPr>
      <w:r>
        <w:rPr>
          <w:rFonts w:ascii="Arial" w:cs="Arial" w:eastAsia="Arial" w:hAnsi="Arial"/>
          <w:sz w:val="35"/>
          <w:szCs w:val="35"/>
          <w:b w:val="1"/>
          <w:bCs w:val="1"/>
          <w:color w:val="auto"/>
        </w:rPr>
        <w:t>IREN Limited</w:t>
      </w:r>
    </w:p>
    <w:p>
      <w:pPr>
        <w:spacing w:after="0" w:line="134" w:lineRule="exact"/>
        <w:rPr>
          <w:sz w:val="24"/>
          <w:szCs w:val="24"/>
          <w:color w:val="auto"/>
        </w:rPr>
      </w:pPr>
    </w:p>
    <w:p>
      <w:pPr>
        <w:jc w:val="center"/>
        <w:ind w:right="-160"/>
        <w:spacing w:after="0"/>
        <w:rPr>
          <w:sz w:val="20"/>
          <w:szCs w:val="20"/>
          <w:color w:val="auto"/>
        </w:rPr>
      </w:pPr>
      <w:r>
        <w:rPr>
          <w:rFonts w:ascii="Arial" w:cs="Arial" w:eastAsia="Arial" w:hAnsi="Arial"/>
          <w:sz w:val="16"/>
          <w:szCs w:val="16"/>
          <w:color w:val="auto"/>
        </w:rPr>
        <w:t>(Name of Registrant as Specified in its Charter)</w:t>
      </w:r>
    </w:p>
    <w:p>
      <w:pPr>
        <w:spacing w:after="0" w:line="13" w:lineRule="exact"/>
        <w:rPr>
          <w:sz w:val="24"/>
          <w:szCs w:val="24"/>
          <w:color w:val="auto"/>
        </w:rPr>
      </w:pPr>
    </w:p>
    <w:p>
      <w:pPr>
        <w:jc w:val="center"/>
        <w:ind w:right="-100"/>
        <w:spacing w:after="0"/>
        <w:rPr>
          <w:sz w:val="20"/>
          <w:szCs w:val="20"/>
          <w:color w:val="auto"/>
        </w:rPr>
      </w:pPr>
      <w:r>
        <w:rPr>
          <w:rFonts w:ascii="Arial" w:cs="Arial" w:eastAsia="Arial" w:hAnsi="Arial"/>
          <w:sz w:val="16"/>
          <w:szCs w:val="16"/>
          <w:color w:val="auto"/>
        </w:rPr>
        <w:t> </w:t>
      </w:r>
    </w:p>
    <w:p>
      <w:pPr>
        <w:jc w:val="center"/>
        <w:ind w:right="-20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99"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106" w:lineRule="exact"/>
        <w:rPr>
          <w:sz w:val="24"/>
          <w:szCs w:val="24"/>
          <w:color w:val="auto"/>
        </w:rPr>
      </w:pPr>
    </w:p>
    <w:p>
      <w:pPr>
        <w:ind w:left="340" w:hanging="331"/>
        <w:spacing w:after="0"/>
        <w:tabs>
          <w:tab w:leader="none" w:pos="3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66" w:lineRule="exact"/>
        <w:rPr>
          <w:sz w:val="24"/>
          <w:szCs w:val="24"/>
          <w:color w:val="auto"/>
        </w:rPr>
      </w:pPr>
    </w:p>
    <w:p>
      <w:pPr>
        <w:spacing w:after="0" w:line="196" w:lineRule="exact"/>
        <w:tabs>
          <w:tab w:leader="none" w:pos="320" w:val="left"/>
        </w:tabs>
        <w:rPr>
          <w:sz w:val="20"/>
          <w:szCs w:val="20"/>
          <w:color w:val="auto"/>
        </w:rPr>
      </w:pPr>
      <w:r>
        <w:rPr>
          <w:rFonts w:ascii="Arial" w:cs="Arial" w:eastAsia="Arial" w:hAnsi="Arial"/>
          <w:sz w:val="17"/>
          <w:szCs w:val="17"/>
          <w:color w:val="auto"/>
        </w:rPr>
        <w:t> </w:t>
      </w:r>
      <w:r>
        <w:rPr>
          <w:rFonts w:ascii="MS PGothic" w:cs="MS PGothic" w:eastAsia="MS PGothic" w:hAnsi="MS PGothic"/>
          <w:sz w:val="17"/>
          <w:szCs w:val="17"/>
          <w:color w:val="auto"/>
        </w:rPr>
        <w:t>☐</w:t>
      </w:r>
      <w:r>
        <w:rPr>
          <w:rFonts w:ascii="Arial" w:cs="Arial" w:eastAsia="Arial" w:hAnsi="Arial"/>
          <w:sz w:val="17"/>
          <w:szCs w:val="17"/>
          <w:color w:val="auto"/>
        </w:rPr>
        <w:tab/>
        <w:t>Fee paid previously with preliminary materials.</w:t>
      </w:r>
    </w:p>
    <w:p>
      <w:pPr>
        <w:spacing w:after="0" w:line="106" w:lineRule="exact"/>
        <w:rPr>
          <w:sz w:val="24"/>
          <w:szCs w:val="24"/>
          <w:color w:val="auto"/>
        </w:rPr>
      </w:pPr>
    </w:p>
    <w:p>
      <w:pPr>
        <w:spacing w:after="0" w:line="196" w:lineRule="exact"/>
        <w:tabs>
          <w:tab w:leader="none" w:pos="320" w:val="left"/>
        </w:tabs>
        <w:rPr>
          <w:sz w:val="20"/>
          <w:szCs w:val="20"/>
          <w:color w:val="auto"/>
        </w:rPr>
      </w:pPr>
      <w:r>
        <w:rPr>
          <w:rFonts w:ascii="Arial" w:cs="Arial" w:eastAsia="Arial" w:hAnsi="Arial"/>
          <w:sz w:val="17"/>
          <w:szCs w:val="17"/>
          <w:color w:val="auto"/>
        </w:rPr>
        <w:t> </w:t>
      </w:r>
      <w:r>
        <w:rPr>
          <w:rFonts w:ascii="MS PGothic" w:cs="MS PGothic" w:eastAsia="MS PGothic" w:hAnsi="MS PGothic"/>
          <w:sz w:val="17"/>
          <w:szCs w:val="17"/>
          <w:color w:val="auto"/>
        </w:rPr>
        <w:t>☐</w:t>
      </w:r>
      <w:r>
        <w:rPr>
          <w:rFonts w:ascii="Arial" w:cs="Arial" w:eastAsia="Arial" w:hAnsi="Arial"/>
          <w:sz w:val="17"/>
          <w:szCs w:val="17"/>
          <w:color w:val="auto"/>
        </w:rPr>
        <w:tab/>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-393065</wp:posOffset>
            </wp:positionH>
            <wp:positionV relativeFrom="paragraph">
              <wp:posOffset>361315</wp:posOffset>
            </wp:positionV>
            <wp:extent cx="678688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86880" cy="1651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144780</wp:posOffset>
            </wp:positionV>
            <wp:extent cx="59886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8868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203200</wp:posOffset>
            </wp:positionV>
            <wp:extent cx="5988685"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88685" cy="16510"/>
                    </a:xfrm>
                    <a:prstGeom prst="rect">
                      <a:avLst/>
                    </a:prstGeom>
                    <a:noFill/>
                  </pic:spPr>
                </pic:pic>
              </a:graphicData>
            </a:graphic>
          </wp:anchor>
        </w:drawing>
      </w:r>
    </w:p>
    <w:p>
      <w:pPr>
        <w:sectPr>
          <w:pgSz w:w="11900" w:h="16838" w:orient="portrait"/>
          <w:cols w:equalWidth="0" w:num="1">
            <w:col w:w="9239"/>
          </w:cols>
          <w:pgMar w:left="1220" w:top="220"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95885</wp:posOffset>
            </wp:positionV>
            <wp:extent cx="7186295" cy="51320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295" cy="5132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560" w:right="1499"/>
        <w:spacing w:after="0" w:line="251" w:lineRule="auto"/>
        <w:rPr>
          <w:sz w:val="20"/>
          <w:szCs w:val="20"/>
          <w:color w:val="auto"/>
        </w:rPr>
      </w:pPr>
      <w:r>
        <w:rPr>
          <w:rFonts w:ascii="Times New Roman" w:cs="Times New Roman" w:eastAsia="Times New Roman" w:hAnsi="Times New Roman"/>
          <w:sz w:val="62"/>
          <w:szCs w:val="62"/>
          <w:color w:val="003551"/>
        </w:rPr>
        <w:t>Notice of Annual General Meeting &amp; Proxy Statement</w:t>
      </w:r>
    </w:p>
    <w:p>
      <w:pPr>
        <w:spacing w:after="0" w:line="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8"/>
          <w:szCs w:val="28"/>
          <w:i w:val="1"/>
          <w:iCs w:val="1"/>
          <w:color w:val="003551"/>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1109980</wp:posOffset>
            </wp:positionV>
            <wp:extent cx="678688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10139"/>
          </w:cols>
          <w:pgMar w:left="320" w:top="115"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2484120</wp:posOffset>
            </wp:positionH>
            <wp:positionV relativeFrom="paragraph">
              <wp:posOffset>95885</wp:posOffset>
            </wp:positionV>
            <wp:extent cx="1189355" cy="6235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89355" cy="623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740"/>
        <w:spacing w:after="0"/>
        <w:rPr>
          <w:sz w:val="20"/>
          <w:szCs w:val="20"/>
          <w:color w:val="auto"/>
        </w:rPr>
      </w:pPr>
      <w:r>
        <w:rPr>
          <w:rFonts w:ascii="Arial" w:cs="Arial" w:eastAsia="Arial" w:hAnsi="Arial"/>
          <w:sz w:val="17"/>
          <w:szCs w:val="17"/>
          <w:color w:val="003551"/>
        </w:rPr>
        <w:t> </w:t>
      </w:r>
    </w:p>
    <w:p>
      <w:pPr>
        <w:spacing w:after="0" w:line="200" w:lineRule="exact"/>
        <w:rPr>
          <w:sz w:val="20"/>
          <w:szCs w:val="20"/>
          <w:color w:val="auto"/>
        </w:rPr>
      </w:pPr>
    </w:p>
    <w:p>
      <w:pPr>
        <w:spacing w:after="0" w:line="246" w:lineRule="exact"/>
        <w:rPr>
          <w:sz w:val="20"/>
          <w:szCs w:val="20"/>
          <w:color w:val="auto"/>
        </w:rPr>
      </w:pPr>
    </w:p>
    <w:p>
      <w:pPr>
        <w:ind w:left="740"/>
        <w:spacing w:after="0"/>
        <w:rPr>
          <w:sz w:val="20"/>
          <w:szCs w:val="20"/>
          <w:color w:val="auto"/>
        </w:rPr>
      </w:pPr>
      <w:r>
        <w:rPr>
          <w:rFonts w:ascii="Arial" w:cs="Arial" w:eastAsia="Arial" w:hAnsi="Arial"/>
          <w:sz w:val="17"/>
          <w:szCs w:val="17"/>
          <w:color w:val="003551"/>
        </w:rPr>
        <w:t>Dear Shareholder:</w:t>
      </w:r>
    </w:p>
    <w:p>
      <w:pPr>
        <w:spacing w:after="0" w:line="104" w:lineRule="exact"/>
        <w:rPr>
          <w:sz w:val="20"/>
          <w:szCs w:val="20"/>
          <w:color w:val="auto"/>
        </w:rPr>
      </w:pPr>
    </w:p>
    <w:p>
      <w:pPr>
        <w:ind w:left="740" w:right="920"/>
        <w:spacing w:after="0" w:line="263" w:lineRule="auto"/>
        <w:rPr>
          <w:sz w:val="20"/>
          <w:szCs w:val="20"/>
          <w:color w:val="auto"/>
        </w:rPr>
      </w:pPr>
      <w:r>
        <w:rPr>
          <w:rFonts w:ascii="Arial" w:cs="Arial" w:eastAsia="Arial" w:hAnsi="Arial"/>
          <w:sz w:val="17"/>
          <w:szCs w:val="17"/>
          <w:color w:val="003551"/>
        </w:rPr>
        <w:t>On behalf of the Board of Directors (the “</w:t>
      </w:r>
      <w:r>
        <w:rPr>
          <w:rFonts w:ascii="Arial" w:cs="Arial" w:eastAsia="Arial" w:hAnsi="Arial"/>
          <w:sz w:val="17"/>
          <w:szCs w:val="17"/>
          <w:b w:val="1"/>
          <w:bCs w:val="1"/>
          <w:color w:val="003551"/>
        </w:rPr>
        <w:t>Board</w:t>
      </w:r>
      <w:r>
        <w:rPr>
          <w:rFonts w:ascii="Arial" w:cs="Arial" w:eastAsia="Arial" w:hAnsi="Arial"/>
          <w:sz w:val="17"/>
          <w:szCs w:val="17"/>
          <w:color w:val="003551"/>
        </w:rPr>
        <w:t>”), it is my pleasure to invite you to the 2025 Annual General Meeting (“</w:t>
      </w:r>
      <w:r>
        <w:rPr>
          <w:rFonts w:ascii="Arial" w:cs="Arial" w:eastAsia="Arial" w:hAnsi="Arial"/>
          <w:sz w:val="17"/>
          <w:szCs w:val="17"/>
          <w:b w:val="1"/>
          <w:bCs w:val="1"/>
          <w:color w:val="003551"/>
        </w:rPr>
        <w:t>AGM</w:t>
      </w:r>
      <w:r>
        <w:rPr>
          <w:rFonts w:ascii="Arial" w:cs="Arial" w:eastAsia="Arial" w:hAnsi="Arial"/>
          <w:sz w:val="17"/>
          <w:szCs w:val="17"/>
          <w:color w:val="003551"/>
        </w:rPr>
        <w:t>”) of IREN Limited (“</w:t>
      </w:r>
      <w:r>
        <w:rPr>
          <w:rFonts w:ascii="Arial" w:cs="Arial" w:eastAsia="Arial" w:hAnsi="Arial"/>
          <w:sz w:val="17"/>
          <w:szCs w:val="17"/>
          <w:b w:val="1"/>
          <w:bCs w:val="1"/>
          <w:color w:val="003551"/>
        </w:rPr>
        <w:t>IREN</w:t>
      </w:r>
      <w:r>
        <w:rPr>
          <w:rFonts w:ascii="Arial" w:cs="Arial" w:eastAsia="Arial" w:hAnsi="Arial"/>
          <w:sz w:val="17"/>
          <w:szCs w:val="17"/>
          <w:color w:val="003551"/>
        </w:rPr>
        <w:t>”, “</w:t>
      </w:r>
      <w:r>
        <w:rPr>
          <w:rFonts w:ascii="Arial" w:cs="Arial" w:eastAsia="Arial" w:hAnsi="Arial"/>
          <w:sz w:val="17"/>
          <w:szCs w:val="17"/>
          <w:b w:val="1"/>
          <w:bCs w:val="1"/>
          <w:color w:val="003551"/>
        </w:rPr>
        <w:t>we</w:t>
      </w:r>
      <w:r>
        <w:rPr>
          <w:rFonts w:ascii="Arial" w:cs="Arial" w:eastAsia="Arial" w:hAnsi="Arial"/>
          <w:sz w:val="17"/>
          <w:szCs w:val="17"/>
          <w:color w:val="003551"/>
        </w:rPr>
        <w:t>”, “</w:t>
      </w:r>
      <w:r>
        <w:rPr>
          <w:rFonts w:ascii="Arial" w:cs="Arial" w:eastAsia="Arial" w:hAnsi="Arial"/>
          <w:sz w:val="17"/>
          <w:szCs w:val="17"/>
          <w:b w:val="1"/>
          <w:bCs w:val="1"/>
          <w:color w:val="003551"/>
        </w:rPr>
        <w:t>our</w:t>
      </w:r>
      <w:r>
        <w:rPr>
          <w:rFonts w:ascii="Arial" w:cs="Arial" w:eastAsia="Arial" w:hAnsi="Arial"/>
          <w:sz w:val="17"/>
          <w:szCs w:val="17"/>
          <w:color w:val="003551"/>
        </w:rPr>
        <w:t>”), which will be held virtually at 3:30pm on November 19, 2025 (ET) at www.virtualshareholdermeeting.com/IREN2025</w:t>
      </w:r>
    </w:p>
    <w:p>
      <w:pPr>
        <w:spacing w:after="0" w:line="201"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551"/>
        </w:rPr>
        <w:t>Further Information</w:t>
      </w:r>
    </w:p>
    <w:p>
      <w:pPr>
        <w:spacing w:after="0" w:line="45" w:lineRule="exact"/>
        <w:rPr>
          <w:sz w:val="20"/>
          <w:szCs w:val="20"/>
          <w:color w:val="auto"/>
        </w:rPr>
      </w:pPr>
    </w:p>
    <w:p>
      <w:pPr>
        <w:ind w:left="740"/>
        <w:spacing w:after="0"/>
        <w:rPr>
          <w:sz w:val="20"/>
          <w:szCs w:val="20"/>
          <w:color w:val="auto"/>
        </w:rPr>
      </w:pPr>
      <w:r>
        <w:rPr>
          <w:rFonts w:ascii="Arial" w:cs="Arial" w:eastAsia="Arial" w:hAnsi="Arial"/>
          <w:sz w:val="17"/>
          <w:szCs w:val="17"/>
          <w:color w:val="003551"/>
        </w:rPr>
        <w:t>Please find enclosed:</w:t>
      </w:r>
    </w:p>
    <w:p>
      <w:pPr>
        <w:spacing w:after="0" w:line="98" w:lineRule="exact"/>
        <w:rPr>
          <w:sz w:val="20"/>
          <w:szCs w:val="20"/>
          <w:color w:val="auto"/>
        </w:rPr>
      </w:pPr>
    </w:p>
    <w:p>
      <w:pPr>
        <w:ind w:left="1420" w:right="1420" w:hanging="333"/>
        <w:spacing w:after="0" w:line="286" w:lineRule="auto"/>
        <w:tabs>
          <w:tab w:leader="none" w:pos="1420" w:val="left"/>
        </w:tabs>
        <w:numPr>
          <w:ilvl w:val="0"/>
          <w:numId w:val="4"/>
        </w:numPr>
        <w:rPr>
          <w:rFonts w:ascii="Arial" w:cs="Arial" w:eastAsia="Arial" w:hAnsi="Arial"/>
          <w:sz w:val="17"/>
          <w:szCs w:val="17"/>
          <w:color w:val="003551"/>
        </w:rPr>
      </w:pPr>
      <w:r>
        <w:rPr>
          <w:rFonts w:ascii="Arial" w:cs="Arial" w:eastAsia="Arial" w:hAnsi="Arial"/>
          <w:sz w:val="17"/>
          <w:szCs w:val="17"/>
          <w:color w:val="003551"/>
        </w:rPr>
        <w:t>the notice of meeting for this year’s AGM (the “</w:t>
      </w:r>
      <w:r>
        <w:rPr>
          <w:rFonts w:ascii="Arial" w:cs="Arial" w:eastAsia="Arial" w:hAnsi="Arial"/>
          <w:sz w:val="17"/>
          <w:szCs w:val="17"/>
          <w:b w:val="1"/>
          <w:bCs w:val="1"/>
          <w:color w:val="003551"/>
        </w:rPr>
        <w:t>Notice of Meeting</w:t>
      </w:r>
      <w:r>
        <w:rPr>
          <w:rFonts w:ascii="Arial" w:cs="Arial" w:eastAsia="Arial" w:hAnsi="Arial"/>
          <w:sz w:val="17"/>
          <w:szCs w:val="17"/>
          <w:color w:val="003551"/>
        </w:rPr>
        <w:t>”), being the two pages immediately following this letter;</w:t>
      </w:r>
    </w:p>
    <w:p>
      <w:pPr>
        <w:spacing w:after="0" w:line="33" w:lineRule="exact"/>
        <w:rPr>
          <w:rFonts w:ascii="Arial" w:cs="Arial" w:eastAsia="Arial" w:hAnsi="Arial"/>
          <w:sz w:val="17"/>
          <w:szCs w:val="17"/>
          <w:color w:val="003551"/>
        </w:rPr>
      </w:pPr>
    </w:p>
    <w:p>
      <w:pPr>
        <w:ind w:left="1420" w:right="960" w:hanging="333"/>
        <w:spacing w:after="0" w:line="293" w:lineRule="auto"/>
        <w:tabs>
          <w:tab w:leader="none" w:pos="1420" w:val="left"/>
        </w:tabs>
        <w:numPr>
          <w:ilvl w:val="0"/>
          <w:numId w:val="4"/>
        </w:numPr>
        <w:rPr>
          <w:rFonts w:ascii="Arial" w:cs="Arial" w:eastAsia="Arial" w:hAnsi="Arial"/>
          <w:sz w:val="17"/>
          <w:szCs w:val="17"/>
          <w:color w:val="003551"/>
        </w:rPr>
      </w:pPr>
      <w:r>
        <w:rPr>
          <w:rFonts w:ascii="Arial" w:cs="Arial" w:eastAsia="Arial" w:hAnsi="Arial"/>
          <w:sz w:val="17"/>
          <w:szCs w:val="17"/>
          <w:color w:val="003551"/>
        </w:rPr>
        <w:t>the proxy statement that contains important details concerning IREN, the AGM and the matters being considered at the AGM (the “</w:t>
      </w:r>
      <w:r>
        <w:rPr>
          <w:rFonts w:ascii="Arial" w:cs="Arial" w:eastAsia="Arial" w:hAnsi="Arial"/>
          <w:sz w:val="17"/>
          <w:szCs w:val="17"/>
          <w:b w:val="1"/>
          <w:bCs w:val="1"/>
          <w:color w:val="003551"/>
        </w:rPr>
        <w:t>Proxy Statement</w:t>
      </w:r>
      <w:r>
        <w:rPr>
          <w:rFonts w:ascii="Arial" w:cs="Arial" w:eastAsia="Arial" w:hAnsi="Arial"/>
          <w:sz w:val="17"/>
          <w:szCs w:val="17"/>
          <w:color w:val="003551"/>
        </w:rPr>
        <w:t>”); and</w:t>
      </w:r>
    </w:p>
    <w:p>
      <w:pPr>
        <w:spacing w:after="0" w:line="20" w:lineRule="exact"/>
        <w:rPr>
          <w:rFonts w:ascii="Arial" w:cs="Arial" w:eastAsia="Arial" w:hAnsi="Arial"/>
          <w:sz w:val="17"/>
          <w:szCs w:val="17"/>
          <w:color w:val="003551"/>
        </w:rPr>
      </w:pPr>
    </w:p>
    <w:p>
      <w:pPr>
        <w:ind w:left="1420" w:hanging="333"/>
        <w:spacing w:after="0"/>
        <w:tabs>
          <w:tab w:leader="none" w:pos="1420" w:val="left"/>
        </w:tabs>
        <w:numPr>
          <w:ilvl w:val="0"/>
          <w:numId w:val="4"/>
        </w:numPr>
        <w:rPr>
          <w:rFonts w:ascii="Arial" w:cs="Arial" w:eastAsia="Arial" w:hAnsi="Arial"/>
          <w:sz w:val="17"/>
          <w:szCs w:val="17"/>
          <w:color w:val="003551"/>
        </w:rPr>
      </w:pPr>
      <w:r>
        <w:rPr>
          <w:rFonts w:ascii="Arial" w:cs="Arial" w:eastAsia="Arial" w:hAnsi="Arial"/>
          <w:sz w:val="17"/>
          <w:szCs w:val="17"/>
          <w:color w:val="003551"/>
        </w:rPr>
        <w:t>a proxy card or a voting instruction form.</w:t>
      </w:r>
    </w:p>
    <w:p>
      <w:pPr>
        <w:spacing w:after="0" w:line="132" w:lineRule="exact"/>
        <w:rPr>
          <w:sz w:val="20"/>
          <w:szCs w:val="20"/>
          <w:color w:val="auto"/>
        </w:rPr>
      </w:pPr>
    </w:p>
    <w:p>
      <w:pPr>
        <w:ind w:left="740"/>
        <w:spacing w:after="0"/>
        <w:rPr>
          <w:sz w:val="20"/>
          <w:szCs w:val="20"/>
          <w:color w:val="auto"/>
        </w:rPr>
      </w:pPr>
      <w:r>
        <w:rPr>
          <w:rFonts w:ascii="Arial" w:cs="Arial" w:eastAsia="Arial" w:hAnsi="Arial"/>
          <w:sz w:val="17"/>
          <w:szCs w:val="17"/>
          <w:color w:val="003551"/>
        </w:rPr>
        <w:t>This information can also be accessed online at www.proxyvote.com.</w:t>
      </w:r>
    </w:p>
    <w:p>
      <w:pPr>
        <w:spacing w:after="0" w:line="253"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551"/>
        </w:rPr>
        <w:t>Items of Business</w:t>
      </w:r>
    </w:p>
    <w:p>
      <w:pPr>
        <w:spacing w:after="0" w:line="15" w:lineRule="exact"/>
        <w:rPr>
          <w:sz w:val="20"/>
          <w:szCs w:val="20"/>
          <w:color w:val="auto"/>
        </w:rPr>
      </w:pPr>
    </w:p>
    <w:p>
      <w:pPr>
        <w:ind w:left="740" w:right="1460"/>
        <w:spacing w:after="0" w:line="263" w:lineRule="auto"/>
        <w:rPr>
          <w:sz w:val="20"/>
          <w:szCs w:val="20"/>
          <w:color w:val="auto"/>
        </w:rPr>
      </w:pPr>
      <w:r>
        <w:rPr>
          <w:rFonts w:ascii="Arial" w:cs="Arial" w:eastAsia="Arial" w:hAnsi="Arial"/>
          <w:sz w:val="17"/>
          <w:szCs w:val="17"/>
          <w:color w:val="003551"/>
        </w:rPr>
        <w:t>The items of business to be dealt with at the AGM are set out in the Notice of Meeting and further information can be found in the Proxy Statement, each accompanying this letter.</w:t>
      </w:r>
    </w:p>
    <w:p>
      <w:pPr>
        <w:spacing w:after="0" w:line="53" w:lineRule="exact"/>
        <w:rPr>
          <w:sz w:val="20"/>
          <w:szCs w:val="20"/>
          <w:color w:val="auto"/>
        </w:rPr>
      </w:pPr>
    </w:p>
    <w:p>
      <w:pPr>
        <w:ind w:left="740" w:right="740"/>
        <w:spacing w:after="0" w:line="283" w:lineRule="auto"/>
        <w:rPr>
          <w:sz w:val="20"/>
          <w:szCs w:val="20"/>
          <w:color w:val="auto"/>
        </w:rPr>
      </w:pPr>
      <w:r>
        <w:rPr>
          <w:rFonts w:ascii="Arial" w:cs="Arial" w:eastAsia="Arial" w:hAnsi="Arial"/>
          <w:sz w:val="17"/>
          <w:szCs w:val="17"/>
          <w:color w:val="003551"/>
        </w:rPr>
        <w:t>Please read these documents carefully to understand the resolutions which IREN’s shareholders are being asked to approve at the AGM.</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551"/>
        </w:rPr>
        <w:t>How to Attend and Vote</w:t>
      </w:r>
    </w:p>
    <w:p>
      <w:pPr>
        <w:spacing w:after="0" w:line="15" w:lineRule="exact"/>
        <w:rPr>
          <w:sz w:val="20"/>
          <w:szCs w:val="20"/>
          <w:color w:val="auto"/>
        </w:rPr>
      </w:pPr>
    </w:p>
    <w:p>
      <w:pPr>
        <w:ind w:left="740" w:right="1000"/>
        <w:spacing w:after="0" w:line="263" w:lineRule="auto"/>
        <w:rPr>
          <w:sz w:val="20"/>
          <w:szCs w:val="20"/>
          <w:color w:val="auto"/>
        </w:rPr>
      </w:pPr>
      <w:r>
        <w:rPr>
          <w:rFonts w:ascii="Arial" w:cs="Arial" w:eastAsia="Arial" w:hAnsi="Arial"/>
          <w:sz w:val="17"/>
          <w:szCs w:val="17"/>
          <w:color w:val="003551"/>
        </w:rPr>
        <w:t>We encourage IREN’s shareholders to participate in the AGM online, by visiting the Virtual Shareholder Meeting platform via the web link below, on a smartphone, tablet or computer.</w:t>
      </w:r>
    </w:p>
    <w:p>
      <w:pPr>
        <w:spacing w:after="0" w:line="80" w:lineRule="exact"/>
        <w:rPr>
          <w:sz w:val="20"/>
          <w:szCs w:val="20"/>
          <w:color w:val="auto"/>
        </w:rPr>
      </w:pPr>
    </w:p>
    <w:p>
      <w:pPr>
        <w:ind w:left="740"/>
        <w:spacing w:after="0"/>
        <w:rPr>
          <w:sz w:val="20"/>
          <w:szCs w:val="20"/>
          <w:color w:val="auto"/>
        </w:rPr>
      </w:pPr>
      <w:r>
        <w:rPr>
          <w:rFonts w:ascii="Arial" w:cs="Arial" w:eastAsia="Arial" w:hAnsi="Arial"/>
          <w:sz w:val="17"/>
          <w:szCs w:val="17"/>
          <w:color w:val="003551"/>
        </w:rPr>
        <w:t>www.virtualshareholdermeeting.com/IREN2025</w:t>
      </w:r>
    </w:p>
    <w:p>
      <w:pPr>
        <w:spacing w:after="0" w:line="145" w:lineRule="exact"/>
        <w:rPr>
          <w:sz w:val="20"/>
          <w:szCs w:val="20"/>
          <w:color w:val="auto"/>
        </w:rPr>
      </w:pPr>
    </w:p>
    <w:p>
      <w:pPr>
        <w:ind w:left="740"/>
        <w:spacing w:after="0"/>
        <w:rPr>
          <w:sz w:val="20"/>
          <w:szCs w:val="20"/>
          <w:color w:val="auto"/>
        </w:rPr>
      </w:pPr>
      <w:r>
        <w:rPr>
          <w:rFonts w:ascii="Arial" w:cs="Arial" w:eastAsia="Arial" w:hAnsi="Arial"/>
          <w:sz w:val="17"/>
          <w:szCs w:val="17"/>
          <w:color w:val="003551"/>
        </w:rPr>
        <w:t>Information on how to log on, ask questions and vote online is set out in the attached Notice of Meeting.</w:t>
      </w:r>
    </w:p>
    <w:p>
      <w:pPr>
        <w:spacing w:after="0" w:line="106" w:lineRule="exact"/>
        <w:rPr>
          <w:sz w:val="20"/>
          <w:szCs w:val="20"/>
          <w:color w:val="auto"/>
        </w:rPr>
      </w:pPr>
    </w:p>
    <w:p>
      <w:pPr>
        <w:ind w:left="740" w:right="860"/>
        <w:spacing w:after="0" w:line="251" w:lineRule="auto"/>
        <w:rPr>
          <w:sz w:val="20"/>
          <w:szCs w:val="20"/>
          <w:color w:val="auto"/>
        </w:rPr>
      </w:pPr>
      <w:r>
        <w:rPr>
          <w:rFonts w:ascii="Arial" w:cs="Arial" w:eastAsia="Arial" w:hAnsi="Arial"/>
          <w:sz w:val="17"/>
          <w:szCs w:val="17"/>
          <w:color w:val="003551"/>
        </w:rPr>
        <w:t>As detailed in the Notice of Meeting and the Proxy Statement, in order to vote, you must either attend the AGM via the online web link or by lodging your proxy or direct vote prior to the AGM. If you vote by proxy, you must submit your proxy card no later than November 18, 2025 11:59pm (ET). Instructions on how to lodge your proxy online are in the enclosed Notice of Meeting, the proxy card or voting instruction form and at www.proxyvote.com.</w:t>
      </w:r>
    </w:p>
    <w:p>
      <w:pPr>
        <w:spacing w:after="0" w:line="212"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551"/>
        </w:rPr>
        <w:t>Board Recommendations</w:t>
      </w:r>
    </w:p>
    <w:p>
      <w:pPr>
        <w:spacing w:after="0" w:line="15" w:lineRule="exact"/>
        <w:rPr>
          <w:sz w:val="20"/>
          <w:szCs w:val="20"/>
          <w:color w:val="auto"/>
        </w:rPr>
      </w:pPr>
    </w:p>
    <w:p>
      <w:pPr>
        <w:jc w:val="both"/>
        <w:ind w:left="740" w:right="840"/>
        <w:spacing w:after="0" w:line="252" w:lineRule="auto"/>
        <w:rPr>
          <w:sz w:val="20"/>
          <w:szCs w:val="20"/>
          <w:color w:val="auto"/>
        </w:rPr>
      </w:pPr>
      <w:r>
        <w:rPr>
          <w:rFonts w:ascii="Arial" w:cs="Arial" w:eastAsia="Arial" w:hAnsi="Arial"/>
          <w:sz w:val="17"/>
          <w:szCs w:val="17"/>
          <w:color w:val="003551"/>
        </w:rPr>
        <w:t xml:space="preserve">The Board unanimously recommends that you vote </w:t>
      </w:r>
      <w:r>
        <w:rPr>
          <w:rFonts w:ascii="Arial" w:cs="Arial" w:eastAsia="Arial" w:hAnsi="Arial"/>
          <w:sz w:val="17"/>
          <w:szCs w:val="17"/>
          <w:b w:val="1"/>
          <w:bCs w:val="1"/>
          <w:color w:val="003551"/>
        </w:rPr>
        <w:t>IN FAVOUR</w:t>
      </w:r>
      <w:r>
        <w:rPr>
          <w:rFonts w:ascii="Arial" w:cs="Arial" w:eastAsia="Arial" w:hAnsi="Arial"/>
          <w:sz w:val="17"/>
          <w:szCs w:val="17"/>
          <w:color w:val="003551"/>
        </w:rPr>
        <w:t xml:space="preserve"> of the resolutions being proposed at the AGM on which you are entitled to vote and that you vote for </w:t>
      </w:r>
      <w:r>
        <w:rPr>
          <w:rFonts w:ascii="Arial" w:cs="Arial" w:eastAsia="Arial" w:hAnsi="Arial"/>
          <w:sz w:val="17"/>
          <w:szCs w:val="17"/>
          <w:b w:val="1"/>
          <w:bCs w:val="1"/>
          <w:color w:val="003551"/>
        </w:rPr>
        <w:t>EVERY YEAR</w:t>
      </w:r>
      <w:r>
        <w:rPr>
          <w:rFonts w:ascii="Arial" w:cs="Arial" w:eastAsia="Arial" w:hAnsi="Arial"/>
          <w:sz w:val="17"/>
          <w:szCs w:val="17"/>
          <w:color w:val="003551"/>
        </w:rPr>
        <w:t xml:space="preserve"> in relation to the advisory vote on the frequency of future advisory votes on executive compensation.</w:t>
      </w:r>
    </w:p>
    <w:p>
      <w:pPr>
        <w:spacing w:after="0" w:line="62" w:lineRule="exact"/>
        <w:rPr>
          <w:sz w:val="20"/>
          <w:szCs w:val="20"/>
          <w:color w:val="auto"/>
        </w:rPr>
      </w:pPr>
    </w:p>
    <w:p>
      <w:pPr>
        <w:ind w:left="740" w:right="980"/>
        <w:spacing w:after="0" w:line="283" w:lineRule="auto"/>
        <w:rPr>
          <w:sz w:val="20"/>
          <w:szCs w:val="20"/>
          <w:color w:val="auto"/>
        </w:rPr>
      </w:pPr>
      <w:r>
        <w:rPr>
          <w:rFonts w:ascii="Arial" w:cs="Arial" w:eastAsia="Arial" w:hAnsi="Arial"/>
          <w:sz w:val="17"/>
          <w:szCs w:val="17"/>
          <w:color w:val="003551"/>
        </w:rPr>
        <w:t>The Board and management team look forward to welcoming you to the AGM. Please contact me if you have any questions at AGM@iren.com. Thank you for your continued support.</w:t>
      </w:r>
    </w:p>
    <w:p>
      <w:pPr>
        <w:spacing w:after="0" w:line="375" w:lineRule="exact"/>
        <w:rPr>
          <w:sz w:val="20"/>
          <w:szCs w:val="20"/>
          <w:color w:val="auto"/>
        </w:rPr>
      </w:pPr>
    </w:p>
    <w:p>
      <w:pPr>
        <w:jc w:val="right"/>
        <w:ind w:right="740"/>
        <w:spacing w:after="0"/>
        <w:rPr>
          <w:sz w:val="20"/>
          <w:szCs w:val="20"/>
          <w:color w:val="auto"/>
        </w:rPr>
      </w:pPr>
      <w:r>
        <w:rPr>
          <w:rFonts w:ascii="Arial" w:cs="Arial" w:eastAsia="Arial" w:hAnsi="Arial"/>
          <w:sz w:val="17"/>
          <w:szCs w:val="17"/>
          <w:b w:val="1"/>
          <w:bCs w:val="1"/>
          <w:color w:val="003551"/>
        </w:rPr>
        <w:t>David Bartholomew</w:t>
      </w:r>
    </w:p>
    <w:p>
      <w:pPr>
        <w:spacing w:after="0" w:line="19" w:lineRule="exact"/>
        <w:rPr>
          <w:sz w:val="20"/>
          <w:szCs w:val="20"/>
          <w:color w:val="auto"/>
        </w:rPr>
      </w:pPr>
    </w:p>
    <w:p>
      <w:pPr>
        <w:jc w:val="right"/>
        <w:ind w:right="740"/>
        <w:spacing w:after="0"/>
        <w:rPr>
          <w:sz w:val="20"/>
          <w:szCs w:val="20"/>
          <w:color w:val="auto"/>
        </w:rPr>
      </w:pPr>
      <w:r>
        <w:rPr>
          <w:rFonts w:ascii="Arial" w:cs="Arial" w:eastAsia="Arial" w:hAnsi="Arial"/>
          <w:sz w:val="17"/>
          <w:szCs w:val="17"/>
          <w:color w:val="003551"/>
        </w:rPr>
        <w:t>Independent Non-Executive Chair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5935980</wp:posOffset>
            </wp:positionH>
            <wp:positionV relativeFrom="paragraph">
              <wp:posOffset>133985</wp:posOffset>
            </wp:positionV>
            <wp:extent cx="540385" cy="6318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220345</wp:posOffset>
            </wp:positionV>
            <wp:extent cx="678688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700"/>
          </w:cols>
          <w:pgMar w:left="840" w:top="115" w:right="1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640"/>
        <w:spacing w:after="0"/>
        <w:rPr>
          <w:sz w:val="20"/>
          <w:szCs w:val="20"/>
          <w:color w:val="auto"/>
        </w:rPr>
      </w:pPr>
      <w:r>
        <w:rPr>
          <w:rFonts w:ascii="Arial" w:cs="Arial" w:eastAsia="Arial" w:hAnsi="Arial"/>
          <w:sz w:val="18"/>
          <w:szCs w:val="18"/>
          <w:b w:val="1"/>
          <w:bCs w:val="1"/>
          <w:i w:val="1"/>
          <w:iCs w:val="1"/>
          <w:color w:val="003551"/>
        </w:rPr>
        <w:t>IREN Limited (ACN 629 842 799)</w:t>
      </w:r>
    </w:p>
    <w:p>
      <w:pPr>
        <w:spacing w:after="0" w:line="19" w:lineRule="exact"/>
        <w:rPr>
          <w:sz w:val="20"/>
          <w:szCs w:val="20"/>
          <w:color w:val="auto"/>
        </w:rPr>
      </w:pPr>
    </w:p>
    <w:p>
      <w:pPr>
        <w:ind w:left="3960"/>
        <w:spacing w:after="0"/>
        <w:rPr>
          <w:sz w:val="20"/>
          <w:szCs w:val="20"/>
          <w:color w:val="auto"/>
        </w:rPr>
      </w:pPr>
      <w:r>
        <w:rPr>
          <w:rFonts w:ascii="Arial" w:cs="Arial" w:eastAsia="Arial" w:hAnsi="Arial"/>
          <w:sz w:val="18"/>
          <w:szCs w:val="18"/>
          <w:b w:val="1"/>
          <w:bCs w:val="1"/>
          <w:i w:val="1"/>
          <w:iCs w:val="1"/>
          <w:color w:val="003551"/>
        </w:rPr>
        <w:t>Level 6, 55 Market Street</w:t>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b w:val="1"/>
          <w:bCs w:val="1"/>
          <w:i w:val="1"/>
          <w:iCs w:val="1"/>
          <w:color w:val="003551"/>
        </w:rPr>
        <w:t>Sydney, NSW Australia 2000</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35"/>
          <w:szCs w:val="35"/>
          <w:color w:val="77C483"/>
        </w:rPr>
        <w:t>Notice of 2025 Annual General Meeting</w:t>
      </w:r>
    </w:p>
    <w:p>
      <w:pPr>
        <w:spacing w:after="0" w:line="38" w:lineRule="exact"/>
        <w:rPr>
          <w:sz w:val="20"/>
          <w:szCs w:val="20"/>
          <w:color w:val="auto"/>
        </w:rPr>
      </w:pPr>
    </w:p>
    <w:p>
      <w:pPr>
        <w:jc w:val="center"/>
        <w:ind w:right="-219"/>
        <w:spacing w:after="0"/>
        <w:rPr>
          <w:sz w:val="20"/>
          <w:szCs w:val="20"/>
          <w:color w:val="auto"/>
        </w:rPr>
      </w:pPr>
      <w:r>
        <w:rPr>
          <w:rFonts w:ascii="Arial" w:cs="Arial" w:eastAsia="Arial" w:hAnsi="Arial"/>
          <w:sz w:val="35"/>
          <w:szCs w:val="35"/>
          <w:color w:val="77C483"/>
        </w:rPr>
        <w:t>(“</w:t>
      </w:r>
      <w:r>
        <w:rPr>
          <w:rFonts w:ascii="Arial" w:cs="Arial" w:eastAsia="Arial" w:hAnsi="Arial"/>
          <w:sz w:val="35"/>
          <w:szCs w:val="35"/>
          <w:b w:val="1"/>
          <w:bCs w:val="1"/>
          <w:color w:val="77C483"/>
        </w:rPr>
        <w:t>Notice of Meeting</w:t>
      </w:r>
      <w:r>
        <w:rPr>
          <w:rFonts w:ascii="Arial" w:cs="Arial" w:eastAsia="Arial" w:hAnsi="Arial"/>
          <w:sz w:val="35"/>
          <w:szCs w:val="35"/>
          <w:color w:val="77C483"/>
        </w:rPr>
        <w:t>”)</w:t>
      </w:r>
    </w:p>
    <w:p>
      <w:pPr>
        <w:spacing w:after="0" w:line="196" w:lineRule="exact"/>
        <w:rPr>
          <w:sz w:val="20"/>
          <w:szCs w:val="20"/>
          <w:color w:val="auto"/>
        </w:rPr>
      </w:pPr>
    </w:p>
    <w:p>
      <w:pPr>
        <w:ind w:left="940" w:right="1000"/>
        <w:spacing w:after="0" w:line="259" w:lineRule="auto"/>
        <w:rPr>
          <w:sz w:val="20"/>
          <w:szCs w:val="20"/>
          <w:color w:val="auto"/>
        </w:rPr>
      </w:pPr>
      <w:r>
        <w:rPr>
          <w:rFonts w:ascii="Arial" w:cs="Arial" w:eastAsia="Arial" w:hAnsi="Arial"/>
          <w:sz w:val="17"/>
          <w:szCs w:val="17"/>
          <w:color w:val="003551"/>
        </w:rPr>
        <w:t>The Notice of Internet Availability of Proxy Materials (the “</w:t>
      </w:r>
      <w:r>
        <w:rPr>
          <w:rFonts w:ascii="Arial" w:cs="Arial" w:eastAsia="Arial" w:hAnsi="Arial"/>
          <w:sz w:val="17"/>
          <w:szCs w:val="17"/>
          <w:b w:val="1"/>
          <w:bCs w:val="1"/>
          <w:color w:val="003551"/>
        </w:rPr>
        <w:t>Notice of Internet Availability</w:t>
      </w:r>
      <w:r>
        <w:rPr>
          <w:rFonts w:ascii="Arial" w:cs="Arial" w:eastAsia="Arial" w:hAnsi="Arial"/>
          <w:sz w:val="17"/>
          <w:szCs w:val="17"/>
          <w:color w:val="003551"/>
        </w:rPr>
        <w:t>”) is being mailed, and the attached proxy statement (the “</w:t>
      </w:r>
      <w:r>
        <w:rPr>
          <w:rFonts w:ascii="Arial" w:cs="Arial" w:eastAsia="Arial" w:hAnsi="Arial"/>
          <w:sz w:val="17"/>
          <w:szCs w:val="17"/>
          <w:b w:val="1"/>
          <w:bCs w:val="1"/>
          <w:color w:val="003551"/>
        </w:rPr>
        <w:t>Proxy Statement</w:t>
      </w:r>
      <w:r>
        <w:rPr>
          <w:rFonts w:ascii="Arial" w:cs="Arial" w:eastAsia="Arial" w:hAnsi="Arial"/>
          <w:sz w:val="17"/>
          <w:szCs w:val="17"/>
          <w:color w:val="003551"/>
        </w:rPr>
        <w:t>”) is being made available, to our shareholders beginning on or about October 6, 2025. The annual general meeting (the “</w:t>
      </w:r>
      <w:r>
        <w:rPr>
          <w:rFonts w:ascii="Arial" w:cs="Arial" w:eastAsia="Arial" w:hAnsi="Arial"/>
          <w:sz w:val="17"/>
          <w:szCs w:val="17"/>
          <w:b w:val="1"/>
          <w:bCs w:val="1"/>
          <w:color w:val="003551"/>
        </w:rPr>
        <w:t>AGM</w:t>
      </w:r>
      <w:r>
        <w:rPr>
          <w:rFonts w:ascii="Arial" w:cs="Arial" w:eastAsia="Arial" w:hAnsi="Arial"/>
          <w:sz w:val="17"/>
          <w:szCs w:val="17"/>
          <w:color w:val="003551"/>
        </w:rPr>
        <w:t>”) of IREN Limited (“</w:t>
      </w:r>
      <w:r>
        <w:rPr>
          <w:rFonts w:ascii="Arial" w:cs="Arial" w:eastAsia="Arial" w:hAnsi="Arial"/>
          <w:sz w:val="17"/>
          <w:szCs w:val="17"/>
          <w:b w:val="1"/>
          <w:bCs w:val="1"/>
          <w:color w:val="003551"/>
        </w:rPr>
        <w:t>IREN</w:t>
      </w:r>
      <w:r>
        <w:rPr>
          <w:rFonts w:ascii="Arial" w:cs="Arial" w:eastAsia="Arial" w:hAnsi="Arial"/>
          <w:sz w:val="17"/>
          <w:szCs w:val="17"/>
          <w:color w:val="003551"/>
        </w:rPr>
        <w:t>”, “</w:t>
      </w:r>
      <w:r>
        <w:rPr>
          <w:rFonts w:ascii="Arial" w:cs="Arial" w:eastAsia="Arial" w:hAnsi="Arial"/>
          <w:sz w:val="17"/>
          <w:szCs w:val="17"/>
          <w:b w:val="1"/>
          <w:bCs w:val="1"/>
          <w:color w:val="003551"/>
        </w:rPr>
        <w:t>we</w:t>
      </w:r>
      <w:r>
        <w:rPr>
          <w:rFonts w:ascii="Arial" w:cs="Arial" w:eastAsia="Arial" w:hAnsi="Arial"/>
          <w:sz w:val="17"/>
          <w:szCs w:val="17"/>
          <w:color w:val="003551"/>
        </w:rPr>
        <w:t>”, “</w:t>
      </w:r>
      <w:r>
        <w:rPr>
          <w:rFonts w:ascii="Arial" w:cs="Arial" w:eastAsia="Arial" w:hAnsi="Arial"/>
          <w:sz w:val="17"/>
          <w:szCs w:val="17"/>
          <w:b w:val="1"/>
          <w:bCs w:val="1"/>
          <w:color w:val="003551"/>
        </w:rPr>
        <w:t>our</w:t>
      </w:r>
      <w:r>
        <w:rPr>
          <w:rFonts w:ascii="Arial" w:cs="Arial" w:eastAsia="Arial" w:hAnsi="Arial"/>
          <w:sz w:val="17"/>
          <w:szCs w:val="17"/>
          <w:color w:val="003551"/>
        </w:rPr>
        <w:t>”) will be held at:</w:t>
      </w:r>
    </w:p>
    <w:p>
      <w:pPr>
        <w:sectPr>
          <w:pgSz w:w="11900" w:h="16838" w:orient="portrait"/>
          <w:cols w:equalWidth="0" w:num="1">
            <w:col w:w="9900"/>
          </w:cols>
          <w:pgMar w:left="740" w:top="116" w:right="1259" w:bottom="1440" w:gutter="0" w:footer="0" w:header="0"/>
        </w:sectPr>
      </w:pPr>
    </w:p>
    <w:p>
      <w:pPr>
        <w:spacing w:after="0" w:line="99"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3551"/>
        </w:rPr>
        <w:t>Date &amp;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87630</wp:posOffset>
            </wp:positionV>
            <wp:extent cx="11309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309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color w:val="003551"/>
        </w:rPr>
        <w:t>November 19, 2025, commencing at 3:30pm (ET)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86360</wp:posOffset>
            </wp:positionV>
            <wp:extent cx="40919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919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20" w:space="720"/>
            <w:col w:w="6960"/>
          </w:cols>
          <w:pgMar w:left="740" w:top="116" w:right="1259" w:bottom="1440" w:gutter="0" w:footer="0" w:header="0"/>
          <w:type w:val="continuous"/>
        </w:sectPr>
      </w:pPr>
    </w:p>
    <w:p>
      <w:pPr>
        <w:spacing w:after="0" w:line="35"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3551"/>
        </w:rPr>
        <w:t>Meeting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87630</wp:posOffset>
            </wp:positionV>
            <wp:extent cx="11309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309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003551"/>
        </w:rPr>
        <w:t>www.virtualshareholdermeeting.com/IREN2025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86360</wp:posOffset>
            </wp:positionV>
            <wp:extent cx="40919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0919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20" w:space="720"/>
            <w:col w:w="6960"/>
          </w:cols>
          <w:pgMar w:left="740" w:top="116" w:right="1259" w:bottom="1440" w:gutter="0" w:footer="0" w:header="0"/>
          <w:type w:val="continuous"/>
        </w:sectPr>
      </w:pPr>
    </w:p>
    <w:p>
      <w:pPr>
        <w:spacing w:after="0" w:line="35" w:lineRule="exact"/>
        <w:rPr>
          <w:sz w:val="20"/>
          <w:szCs w:val="20"/>
          <w:color w:val="auto"/>
        </w:rPr>
      </w:pPr>
    </w:p>
    <w:p>
      <w:pPr>
        <w:jc w:val="center"/>
        <w:ind w:left="680"/>
        <w:spacing w:after="0"/>
        <w:rPr>
          <w:sz w:val="20"/>
          <w:szCs w:val="20"/>
          <w:color w:val="auto"/>
        </w:rPr>
      </w:pPr>
      <w:r>
        <w:rPr>
          <w:rFonts w:ascii="Arial" w:cs="Arial" w:eastAsia="Arial" w:hAnsi="Arial"/>
          <w:sz w:val="17"/>
          <w:szCs w:val="17"/>
          <w:b w:val="1"/>
          <w:bCs w:val="1"/>
          <w:color w:val="003551"/>
        </w:rPr>
        <w:t>Purpose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003551"/>
        </w:rPr>
        <w:t>To receive and consider the Financial Report, the Directors’ Report and the</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003551"/>
        </w:rPr>
        <w:t>Auditor’s Report (each as defined in the Proxy Statement) for the year ended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003551"/>
        </w:rPr>
        <w:t>June 30, 2025.</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003551"/>
        </w:rPr>
        <w:t> </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003551"/>
        </w:rPr>
        <w:t>To receive and vote upon the following proposals: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003551"/>
        </w:rPr>
        <w:t> </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003551"/>
        </w:rPr>
        <w:t>   1.   Approve an amendment to IREN’s constitution to align the quorum</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7"/>
          <w:szCs w:val="17"/>
          <w:color w:val="003551"/>
        </w:rPr>
        <w:t>requirement to conduct shareholder meetings with Nasdaq rules</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7"/>
          <w:szCs w:val="17"/>
          <w:color w:val="003551"/>
        </w:rPr>
        <w:t> </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003551"/>
        </w:rPr>
        <w:t>   2.   Approve an amendment to IREN’s constitution to provide for director</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7"/>
          <w:szCs w:val="17"/>
          <w:color w:val="003551"/>
        </w:rPr>
        <w:t>elections at each annual general meeting</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003551"/>
        </w:rPr>
        <w:t> </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003551"/>
        </w:rPr>
        <w:t>   3.   Approve an amendment to IREN’s constitution to add a forum selection</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7"/>
          <w:szCs w:val="17"/>
          <w:color w:val="003551"/>
        </w:rPr>
        <w:t>provision</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003551"/>
        </w:rPr>
        <w:t> </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003551"/>
        </w:rPr>
        <w:t>   4.   Approve an amendment to IREN’s constitution to update the advance</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7"/>
          <w:szCs w:val="17"/>
          <w:color w:val="003551"/>
        </w:rPr>
        <w:t>notice provisions for universal proxies</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003551"/>
        </w:rPr>
        <w:t> </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3551"/>
        </w:rPr>
        <w:t>   5.   Approve amendments to IREN’s constitution to implement miscellaneous</w:t>
      </w:r>
    </w:p>
    <w:p>
      <w:pPr>
        <w:spacing w:after="0" w:line="12" w:lineRule="exact"/>
        <w:rPr>
          <w:sz w:val="20"/>
          <w:szCs w:val="20"/>
          <w:color w:val="auto"/>
        </w:rPr>
      </w:pPr>
    </w:p>
    <w:p>
      <w:pPr>
        <w:ind w:left="480"/>
        <w:spacing w:after="0"/>
        <w:rPr>
          <w:sz w:val="20"/>
          <w:szCs w:val="20"/>
          <w:color w:val="auto"/>
        </w:rPr>
      </w:pPr>
      <w:r>
        <w:rPr>
          <w:rFonts w:ascii="Arial" w:cs="Arial" w:eastAsia="Arial" w:hAnsi="Arial"/>
          <w:sz w:val="17"/>
          <w:szCs w:val="17"/>
          <w:color w:val="003551"/>
        </w:rPr>
        <w:t>changes</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003551"/>
        </w:rPr>
        <w:t> </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003551"/>
        </w:rPr>
        <w:t>   6.   Approve IREN’s 2025 Omnibus Incentive Plan (as defined in the Proxy</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7"/>
          <w:szCs w:val="17"/>
          <w:color w:val="003551"/>
        </w:rPr>
        <w:t>Statement)</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003551"/>
        </w:rPr>
        <w:t> </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003551"/>
        </w:rPr>
        <w:t>   7.   Approve the repurchase by IREN of its ordinary shares pursuant to the</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7"/>
          <w:szCs w:val="17"/>
          <w:color w:val="003551"/>
        </w:rPr>
        <w:t>Prepaid Forward Transactions (as defined in the Proxy Statement)</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7"/>
          <w:szCs w:val="17"/>
          <w:color w:val="003551"/>
        </w:rPr>
        <w:t> </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003551"/>
        </w:rPr>
        <w:t>   8.   Approve the repurchase by IREN of its ordinary shares pursuant to the</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7"/>
          <w:szCs w:val="17"/>
          <w:color w:val="003551"/>
        </w:rPr>
        <w:t>Capped Call Transactions (as defined in the Proxy Statement)</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003551"/>
        </w:rPr>
        <w:t> </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003551"/>
        </w:rPr>
        <w:t>   9.   Approve an advisory vote on executive compensation (the “say-on-pay”</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7"/>
          <w:szCs w:val="17"/>
          <w:color w:val="003551"/>
        </w:rPr>
        <w:t>vote)</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003551"/>
        </w:rPr>
        <w:t> </w:t>
      </w:r>
    </w:p>
    <w:p>
      <w:pPr>
        <w:spacing w:after="0" w:line="19" w:lineRule="exact"/>
        <w:rPr>
          <w:sz w:val="20"/>
          <w:szCs w:val="20"/>
          <w:color w:val="auto"/>
        </w:rPr>
      </w:pPr>
    </w:p>
    <w:p>
      <w:pPr>
        <w:sectPr>
          <w:pgSz w:w="11900" w:h="16838" w:orient="portrait"/>
          <w:cols w:equalWidth="0" w:num="2">
            <w:col w:w="2220" w:space="720"/>
            <w:col w:w="6960"/>
          </w:cols>
          <w:pgMar w:left="740" w:top="116" w:right="1259" w:bottom="1440" w:gutter="0" w:footer="0" w:header="0"/>
          <w:type w:val="continuous"/>
        </w:sectPr>
      </w:pPr>
    </w:p>
    <w:p>
      <w:pPr>
        <w:ind w:left="2940"/>
        <w:spacing w:after="0"/>
        <w:rPr>
          <w:sz w:val="20"/>
          <w:szCs w:val="20"/>
          <w:color w:val="auto"/>
        </w:rPr>
      </w:pPr>
      <w:r>
        <w:rPr>
          <w:rFonts w:ascii="Arial" w:cs="Arial" w:eastAsia="Arial" w:hAnsi="Arial"/>
          <w:sz w:val="11"/>
          <w:szCs w:val="11"/>
          <w:color w:val="003551"/>
        </w:rPr>
        <w:t>   10. </w:t>
      </w:r>
    </w:p>
    <w:p>
      <w:pPr>
        <w:spacing w:after="0" w:line="20" w:lineRule="exact"/>
        <w:rPr>
          <w:sz w:val="20"/>
          <w:szCs w:val="20"/>
          <w:color w:val="auto"/>
        </w:rPr>
      </w:pPr>
      <w:r>
        <w:rPr>
          <w:sz w:val="20"/>
          <w:szCs w:val="20"/>
          <w:color w:val="auto"/>
        </w:rPr>
        <w:br w:type="column"/>
      </w:r>
    </w:p>
    <w:p>
      <w:pPr>
        <w:ind w:right="960"/>
        <w:spacing w:after="0" w:line="242" w:lineRule="auto"/>
        <w:rPr>
          <w:sz w:val="20"/>
          <w:szCs w:val="20"/>
          <w:color w:val="auto"/>
        </w:rPr>
      </w:pPr>
      <w:r>
        <w:rPr>
          <w:rFonts w:ascii="Arial" w:cs="Arial" w:eastAsia="Arial" w:hAnsi="Arial"/>
          <w:sz w:val="17"/>
          <w:szCs w:val="17"/>
          <w:color w:val="003551"/>
        </w:rPr>
        <w:t>Approve an advisory vote on the frequency of future advisory votes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163195</wp:posOffset>
            </wp:positionV>
            <wp:extent cx="540385" cy="6318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120"/>
            <w:col w:w="6380"/>
          </w:cols>
          <w:pgMar w:left="740" w:top="116"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6" w:right="12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615315" cy="3244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ectPr>
          <w:pgSz w:w="11900" w:h="16838" w:orient="portrait"/>
          <w:cols w:equalWidth="0" w:num="1">
            <w:col w:w="9900"/>
          </w:cols>
          <w:pgMar w:left="740" w:top="116"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3551"/>
        </w:rPr>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1085850</wp:posOffset>
            </wp:positionV>
            <wp:extent cx="11309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309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880"/>
        <w:spacing w:after="0" w:line="246" w:lineRule="auto"/>
        <w:rPr>
          <w:sz w:val="20"/>
          <w:szCs w:val="20"/>
          <w:color w:val="auto"/>
        </w:rPr>
      </w:pPr>
      <w:r>
        <w:rPr>
          <w:rFonts w:ascii="Arial" w:cs="Arial" w:eastAsia="Arial" w:hAnsi="Arial"/>
          <w:sz w:val="17"/>
          <w:szCs w:val="17"/>
          <w:color w:val="003551"/>
        </w:rPr>
        <w:t>The board of directors of IREN has determined that the persons entitled to receive notice of the AGM are those who are registered shareholders of IREN at 5:00pm (ET) on September 29, 2025. In accordance with Regulation 7.11.37 of the Corporations Regulations 2001 (Cth) (Australia) those who are registered shareholders on the transfer books of IREN at 9:00am (AEDT) on November 18, 2025, being 5:00pm (ET) on November 17, 2025, are also eligible to vote. Accordingly, transfers by such registered shareholders that are registered after that time will be disregarded in determining entitlements to attend and vote at the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63500</wp:posOffset>
            </wp:positionV>
            <wp:extent cx="40919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091940" cy="8255"/>
                    </a:xfrm>
                    <a:prstGeom prst="rect">
                      <a:avLst/>
                    </a:prstGeom>
                    <a:noFill/>
                  </pic:spPr>
                </pic:pic>
              </a:graphicData>
            </a:graphic>
          </wp:anchor>
        </w:drawing>
      </w:r>
    </w:p>
    <w:p>
      <w:pPr>
        <w:spacing w:after="0" w:line="199" w:lineRule="exact"/>
        <w:rPr>
          <w:sz w:val="20"/>
          <w:szCs w:val="20"/>
          <w:color w:val="auto"/>
        </w:rPr>
      </w:pPr>
    </w:p>
    <w:p>
      <w:pPr>
        <w:sectPr>
          <w:pgSz w:w="11900" w:h="16838" w:orient="portrait"/>
          <w:cols w:equalWidth="0" w:num="2">
            <w:col w:w="2220" w:space="720"/>
            <w:col w:w="6960"/>
          </w:cols>
          <w:pgMar w:left="740" w:top="116" w:right="1259" w:bottom="1440" w:gutter="0" w:footer="0" w:header="0"/>
          <w:type w:val="continuous"/>
        </w:sectPr>
      </w:pPr>
    </w:p>
    <w:p>
      <w:pPr>
        <w:ind w:left="1100"/>
        <w:spacing w:after="0"/>
        <w:rPr>
          <w:sz w:val="20"/>
          <w:szCs w:val="20"/>
          <w:color w:val="auto"/>
        </w:rPr>
      </w:pPr>
      <w:r>
        <w:rPr>
          <w:rFonts w:ascii="Arial" w:cs="Arial" w:eastAsia="Arial" w:hAnsi="Arial"/>
          <w:sz w:val="17"/>
          <w:szCs w:val="17"/>
          <w:b w:val="1"/>
          <w:bCs w:val="1"/>
          <w:color w:val="003551"/>
        </w:rPr>
        <w:t>Meeting Admission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461645</wp:posOffset>
            </wp:positionV>
            <wp:extent cx="11976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980"/>
        <w:spacing w:after="0" w:line="255" w:lineRule="auto"/>
        <w:rPr>
          <w:sz w:val="20"/>
          <w:szCs w:val="20"/>
          <w:color w:val="auto"/>
        </w:rPr>
      </w:pPr>
      <w:r>
        <w:rPr>
          <w:rFonts w:ascii="Arial" w:cs="Arial" w:eastAsia="Arial" w:hAnsi="Arial"/>
          <w:sz w:val="17"/>
          <w:szCs w:val="17"/>
          <w:color w:val="003551"/>
        </w:rPr>
        <w:t>If you wish to attend the AGM, which is exclusively being held virtually, please enter the 16-digit control number located on the Notice of Internet Availability mailed to you beginning on October 6, 2025, on your proxy card or voting instruction form at www.virtualshareholdermeeting.com/IREN2025.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57150</wp:posOffset>
            </wp:positionV>
            <wp:extent cx="40259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025900" cy="8255"/>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2700" w:space="240"/>
            <w:col w:w="6960"/>
          </w:cols>
          <w:pgMar w:left="740" w:top="116" w:right="1259" w:bottom="1440" w:gutter="0" w:footer="0" w:header="0"/>
          <w:type w:val="continuous"/>
        </w:sectPr>
      </w:pPr>
    </w:p>
    <w:p>
      <w:pPr>
        <w:ind w:left="1100"/>
        <w:spacing w:after="0"/>
        <w:rPr>
          <w:sz w:val="20"/>
          <w:szCs w:val="20"/>
          <w:color w:val="auto"/>
        </w:rPr>
      </w:pPr>
      <w:r>
        <w:rPr>
          <w:rFonts w:ascii="Arial" w:cs="Arial" w:eastAsia="Arial" w:hAnsi="Arial"/>
          <w:sz w:val="17"/>
          <w:szCs w:val="17"/>
          <w:b w:val="1"/>
          <w:bCs w:val="1"/>
          <w:color w:val="003551"/>
        </w:rPr>
        <w:t>Voting by Proxy</w:t>
      </w:r>
    </w:p>
    <w:p>
      <w:pPr>
        <w:spacing w:after="0" w:line="20" w:lineRule="exact"/>
        <w:rPr>
          <w:sz w:val="20"/>
          <w:szCs w:val="20"/>
          <w:color w:val="auto"/>
        </w:rPr>
      </w:pPr>
      <w:r>
        <w:rPr>
          <w:sz w:val="20"/>
          <w:szCs w:val="20"/>
          <w:color w:val="auto"/>
        </w:rPr>
        <w:br w:type="column"/>
      </w:r>
    </w:p>
    <w:p>
      <w:pPr>
        <w:ind w:right="840"/>
        <w:spacing w:after="0" w:line="245" w:lineRule="auto"/>
        <w:rPr>
          <w:sz w:val="20"/>
          <w:szCs w:val="20"/>
          <w:color w:val="auto"/>
        </w:rPr>
      </w:pPr>
      <w:r>
        <w:rPr>
          <w:rFonts w:ascii="Arial" w:cs="Arial" w:eastAsia="Arial" w:hAnsi="Arial"/>
          <w:sz w:val="17"/>
          <w:szCs w:val="17"/>
          <w:color w:val="003551"/>
        </w:rPr>
        <w:t>Please submit a proxy card if you are a registered holder of shares held directly at our transfer agent or, for shares held in “street name” through a broker, bank or other nominee, a voting instruction form, as soon as possible, so your shares can be voted at the AGM. You may submit your proxy card by mail. If you are a registered holder of shares held directly at our transfer agent, you may also vote electronically by telephone or over the internet by following the instructions included with your proxy card. If your shares are held in “street name,” you will receive instructions for the voting of your shares from your broker, bank or other nominee, which may permit telephone or internet voting. Follow the instructions on the voting instruction form that you receive from your broker, bank or other nominee to ensure that your shares are properly voted at the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288925</wp:posOffset>
            </wp:positionV>
            <wp:extent cx="540385" cy="6318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20" w:space="520"/>
            <w:col w:w="6960"/>
          </w:cols>
          <w:pgMar w:left="740" w:top="116"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FFFFFF"/>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236220</wp:posOffset>
            </wp:positionV>
            <wp:extent cx="6786880"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6" w:right="12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9"/>
        <w:spacing w:after="0"/>
        <w:rPr>
          <w:sz w:val="20"/>
          <w:szCs w:val="20"/>
          <w:color w:val="auto"/>
        </w:rPr>
      </w:pPr>
      <w:r>
        <w:rPr>
          <w:rFonts w:ascii="Arial" w:cs="Arial" w:eastAsia="Arial" w:hAnsi="Arial"/>
          <w:sz w:val="35"/>
          <w:szCs w:val="35"/>
          <w:color w:val="77C483"/>
        </w:rPr>
        <w:t>PROXY STATEMENT</w:t>
      </w:r>
    </w:p>
    <w:p>
      <w:pPr>
        <w:spacing w:after="0" w:line="258"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003551"/>
        </w:rPr>
        <w:t>Important Notice Regarding Proxy Materials for the Annual General Meeting to be held at</w:t>
      </w:r>
    </w:p>
    <w:p>
      <w:pPr>
        <w:spacing w:after="0" w:line="1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003551"/>
        </w:rPr>
        <w:t>3:30pm on November 19, 2025 (ET)</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003551"/>
        </w:rPr>
        <w:t xml:space="preserve">virtually at </w:t>
      </w:r>
      <w:r>
        <w:rPr>
          <w:rFonts w:ascii="Arial" w:cs="Arial" w:eastAsia="Arial" w:hAnsi="Arial"/>
          <w:sz w:val="17"/>
          <w:szCs w:val="17"/>
          <w:b w:val="1"/>
          <w:bCs w:val="1"/>
          <w:color w:val="003551"/>
        </w:rPr>
        <w:t>www.virtualshareholdermeeting.com/IREN2025</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003551"/>
        </w:rPr>
        <w:t> </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003551"/>
        </w:rPr>
        <w:t>The Proxy Statement and Annual Report to Shareholders are available at:</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003551"/>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133985</wp:posOffset>
            </wp:positionV>
            <wp:extent cx="540385" cy="6318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940"/>
        <w:spacing w:after="0"/>
        <w:rPr>
          <w:sz w:val="20"/>
          <w:szCs w:val="20"/>
          <w:color w:val="auto"/>
        </w:rPr>
      </w:pPr>
      <w:r>
        <w:rPr>
          <w:rFonts w:ascii="Arial" w:cs="Arial" w:eastAsia="Arial" w:hAnsi="Arial"/>
          <w:sz w:val="35"/>
          <w:szCs w:val="35"/>
          <w:color w:val="77C483"/>
        </w:rPr>
        <w:t>Table of Contents</w:t>
      </w:r>
    </w:p>
    <w:p>
      <w:pPr>
        <w:spacing w:after="0" w:line="250" w:lineRule="exact"/>
        <w:rPr>
          <w:sz w:val="20"/>
          <w:szCs w:val="20"/>
          <w:color w:val="auto"/>
        </w:rPr>
      </w:pPr>
    </w:p>
    <w:tbl>
      <w:tblPr>
        <w:tblLayout w:type="fixed"/>
        <w:tblInd w:w="940" w:type="dxa"/>
        <w:tblCellMar>
          <w:top w:w="0" w:type="dxa"/>
          <w:left w:w="0" w:type="dxa"/>
          <w:bottom w:w="0" w:type="dxa"/>
          <w:right w:w="0" w:type="dxa"/>
        </w:tblCellMar>
      </w:tblPr>
      <w:tr>
        <w:trPr>
          <w:trHeight w:val="195"/>
        </w:trPr>
        <w:tc>
          <w:tcPr>
            <w:tcW w:w="3020" w:type="dxa"/>
            <w:vAlign w:val="bottom"/>
            <w:tcBorders>
              <w:bottom w:val="single" w:sz="8" w:color="0000EE"/>
            </w:tcBorders>
            <w:gridSpan w:val="15"/>
          </w:tcPr>
          <w:p>
            <w:pPr>
              <w:spacing w:after="0"/>
              <w:rPr>
                <w:sz w:val="20"/>
                <w:szCs w:val="20"/>
                <w:color w:val="auto"/>
              </w:rPr>
            </w:pPr>
            <w:r>
              <w:rPr>
                <w:rFonts w:ascii="Arial" w:cs="Arial" w:eastAsia="Arial" w:hAnsi="Arial"/>
                <w:sz w:val="17"/>
                <w:szCs w:val="17"/>
                <w:color w:val="0000EE"/>
              </w:rPr>
              <w:t>Proxy Statement Summary Information</w:t>
            </w:r>
          </w:p>
        </w:tc>
        <w:tc>
          <w:tcPr>
            <w:tcW w:w="5000" w:type="dxa"/>
            <w:vAlign w:val="bottom"/>
            <w:gridSpan w:val="15"/>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0000EE"/>
            </w:tcBorders>
          </w:tcPr>
          <w:p>
            <w:pPr>
              <w:jc w:val="right"/>
              <w:spacing w:after="0"/>
              <w:rPr>
                <w:sz w:val="20"/>
                <w:szCs w:val="20"/>
                <w:color w:val="auto"/>
              </w:rPr>
            </w:pPr>
            <w:r>
              <w:rPr>
                <w:rFonts w:ascii="Arial" w:cs="Arial" w:eastAsia="Arial" w:hAnsi="Arial"/>
                <w:sz w:val="17"/>
                <w:szCs w:val="17"/>
                <w:color w:val="0000EE"/>
                <w:w w:val="84"/>
              </w:rPr>
              <w:t>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7"/>
        </w:trPr>
        <w:tc>
          <w:tcPr>
            <w:tcW w:w="2440" w:type="dxa"/>
            <w:vAlign w:val="bottom"/>
            <w:gridSpan w:val="9"/>
          </w:tcPr>
          <w:p>
            <w:pPr>
              <w:spacing w:after="0"/>
              <w:rPr>
                <w:sz w:val="20"/>
                <w:szCs w:val="20"/>
                <w:color w:val="auto"/>
              </w:rPr>
            </w:pPr>
            <w:r>
              <w:rPr>
                <w:rFonts w:ascii="Arial" w:cs="Arial" w:eastAsia="Arial" w:hAnsi="Arial"/>
                <w:sz w:val="17"/>
                <w:szCs w:val="17"/>
                <w:color w:val="0000EE"/>
              </w:rPr>
              <w:t>Corporate Governance at IREN</w:t>
            </w:r>
          </w:p>
        </w:tc>
        <w:tc>
          <w:tcPr>
            <w:tcW w:w="5580" w:type="dxa"/>
            <w:vAlign w:val="bottom"/>
            <w:gridSpan w:val="21"/>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0000EE"/>
              </w:rPr>
              <w:t>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1940" w:type="dxa"/>
            <w:vAlign w:val="bottom"/>
            <w:gridSpan w:val="5"/>
          </w:tcPr>
          <w:p>
            <w:pPr>
              <w:spacing w:after="0"/>
              <w:rPr>
                <w:sz w:val="20"/>
                <w:szCs w:val="20"/>
                <w:color w:val="auto"/>
              </w:rPr>
            </w:pPr>
            <w:r>
              <w:rPr>
                <w:rFonts w:ascii="Arial" w:cs="Arial" w:eastAsia="Arial" w:hAnsi="Arial"/>
                <w:sz w:val="17"/>
                <w:szCs w:val="17"/>
                <w:color w:val="0000EE"/>
              </w:rPr>
              <w:t>Executive Compensation</w:t>
            </w:r>
          </w:p>
        </w:tc>
        <w:tc>
          <w:tcPr>
            <w:tcW w:w="500" w:type="dxa"/>
            <w:vAlign w:val="bottom"/>
            <w:gridSpan w:val="4"/>
          </w:tcPr>
          <w:p>
            <w:pPr>
              <w:spacing w:after="0"/>
              <w:rPr>
                <w:sz w:val="24"/>
                <w:szCs w:val="24"/>
                <w:color w:val="auto"/>
              </w:rPr>
            </w:pPr>
          </w:p>
        </w:tc>
        <w:tc>
          <w:tcPr>
            <w:tcW w:w="5580" w:type="dxa"/>
            <w:vAlign w:val="bottom"/>
            <w:gridSpan w:val="21"/>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Arial" w:cs="Arial" w:eastAsia="Arial" w:hAnsi="Arial"/>
                <w:sz w:val="17"/>
                <w:szCs w:val="17"/>
                <w:color w:val="0000EE"/>
                <w:w w:val="94"/>
              </w:rPr>
              <w:t>12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180" w:type="dxa"/>
            <w:vAlign w:val="bottom"/>
          </w:tcPr>
          <w:p>
            <w:pPr>
              <w:spacing w:after="0"/>
              <w:rPr>
                <w:sz w:val="24"/>
                <w:szCs w:val="24"/>
                <w:color w:val="auto"/>
              </w:rPr>
            </w:pPr>
          </w:p>
        </w:tc>
        <w:tc>
          <w:tcPr>
            <w:tcW w:w="3060" w:type="dxa"/>
            <w:vAlign w:val="bottom"/>
            <w:gridSpan w:val="15"/>
          </w:tcPr>
          <w:p>
            <w:pPr>
              <w:spacing w:after="0"/>
              <w:rPr>
                <w:sz w:val="20"/>
                <w:szCs w:val="20"/>
                <w:color w:val="auto"/>
              </w:rPr>
            </w:pPr>
            <w:r>
              <w:rPr>
                <w:rFonts w:ascii="Arial" w:cs="Arial" w:eastAsia="Arial" w:hAnsi="Arial"/>
                <w:sz w:val="17"/>
                <w:szCs w:val="17"/>
                <w:color w:val="0000EE"/>
              </w:rPr>
              <w:t>Compensation Discussion and Analysis</w:t>
            </w:r>
          </w:p>
        </w:tc>
        <w:tc>
          <w:tcPr>
            <w:tcW w:w="4780" w:type="dxa"/>
            <w:vAlign w:val="bottom"/>
            <w:gridSpan w:val="14"/>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Arial" w:cs="Arial" w:eastAsia="Arial" w:hAnsi="Arial"/>
                <w:sz w:val="17"/>
                <w:szCs w:val="17"/>
                <w:color w:val="0000EE"/>
                <w:w w:val="94"/>
              </w:rPr>
              <w:t>12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180" w:type="dxa"/>
            <w:vAlign w:val="bottom"/>
          </w:tcPr>
          <w:p>
            <w:pPr>
              <w:spacing w:after="0"/>
              <w:rPr>
                <w:sz w:val="24"/>
                <w:szCs w:val="24"/>
                <w:color w:val="auto"/>
              </w:rPr>
            </w:pPr>
          </w:p>
        </w:tc>
        <w:tc>
          <w:tcPr>
            <w:tcW w:w="3060" w:type="dxa"/>
            <w:vAlign w:val="bottom"/>
            <w:gridSpan w:val="15"/>
          </w:tcPr>
          <w:p>
            <w:pPr>
              <w:spacing w:after="0"/>
              <w:rPr>
                <w:sz w:val="20"/>
                <w:szCs w:val="20"/>
                <w:color w:val="auto"/>
              </w:rPr>
            </w:pPr>
            <w:r>
              <w:rPr>
                <w:rFonts w:ascii="Arial" w:cs="Arial" w:eastAsia="Arial" w:hAnsi="Arial"/>
                <w:sz w:val="17"/>
                <w:szCs w:val="17"/>
                <w:color w:val="0000EE"/>
              </w:rPr>
              <w:t>Summary Compensation Table</w:t>
            </w:r>
          </w:p>
        </w:tc>
        <w:tc>
          <w:tcPr>
            <w:tcW w:w="4780" w:type="dxa"/>
            <w:vAlign w:val="bottom"/>
            <w:gridSpan w:val="14"/>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Arial" w:cs="Arial" w:eastAsia="Arial" w:hAnsi="Arial"/>
                <w:sz w:val="17"/>
                <w:szCs w:val="17"/>
                <w:color w:val="0000EE"/>
                <w:w w:val="94"/>
              </w:rPr>
              <w:t>31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180" w:type="dxa"/>
            <w:vAlign w:val="bottom"/>
          </w:tcPr>
          <w:p>
            <w:pPr>
              <w:spacing w:after="0"/>
              <w:rPr>
                <w:sz w:val="24"/>
                <w:szCs w:val="24"/>
                <w:color w:val="auto"/>
              </w:rPr>
            </w:pPr>
          </w:p>
        </w:tc>
        <w:tc>
          <w:tcPr>
            <w:tcW w:w="2380" w:type="dxa"/>
            <w:vAlign w:val="bottom"/>
            <w:gridSpan w:val="9"/>
          </w:tcPr>
          <w:p>
            <w:pPr>
              <w:spacing w:after="0"/>
              <w:rPr>
                <w:sz w:val="20"/>
                <w:szCs w:val="20"/>
                <w:color w:val="auto"/>
              </w:rPr>
            </w:pPr>
            <w:r>
              <w:rPr>
                <w:rFonts w:ascii="Arial" w:cs="Arial" w:eastAsia="Arial" w:hAnsi="Arial"/>
                <w:sz w:val="17"/>
                <w:szCs w:val="17"/>
                <w:color w:val="0000EE"/>
              </w:rPr>
              <w:t>Pay Versus Performance</w:t>
            </w:r>
          </w:p>
        </w:tc>
        <w:tc>
          <w:tcPr>
            <w:tcW w:w="5460" w:type="dxa"/>
            <w:vAlign w:val="bottom"/>
            <w:gridSpan w:val="20"/>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0000EE"/>
                <w:w w:val="71"/>
              </w:rPr>
              <w:t>39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020" w:type="dxa"/>
            <w:vAlign w:val="bottom"/>
            <w:gridSpan w:val="30"/>
          </w:tcPr>
          <w:p>
            <w:pPr>
              <w:spacing w:after="0"/>
              <w:rPr>
                <w:sz w:val="20"/>
                <w:szCs w:val="20"/>
                <w:color w:val="auto"/>
              </w:rPr>
            </w:pPr>
            <w:r>
              <w:rPr>
                <w:rFonts w:ascii="Arial" w:cs="Arial" w:eastAsia="Arial" w:hAnsi="Arial"/>
                <w:sz w:val="17"/>
                <w:szCs w:val="17"/>
                <w:color w:val="0000EE"/>
              </w:rPr>
              <w:t>Security Ownership of Certain Beneficial Owners and Management</w:t>
            </w:r>
          </w:p>
        </w:tc>
        <w:tc>
          <w:tcPr>
            <w:tcW w:w="140" w:type="dxa"/>
            <w:vAlign w:val="bottom"/>
            <w:gridSpan w:val="2"/>
          </w:tcPr>
          <w:p>
            <w:pPr>
              <w:jc w:val="right"/>
              <w:spacing w:after="0"/>
              <w:rPr>
                <w:sz w:val="20"/>
                <w:szCs w:val="20"/>
                <w:color w:val="auto"/>
              </w:rPr>
            </w:pPr>
            <w:r>
              <w:rPr>
                <w:rFonts w:ascii="Arial" w:cs="Arial" w:eastAsia="Arial" w:hAnsi="Arial"/>
                <w:sz w:val="15"/>
                <w:szCs w:val="15"/>
                <w:color w:val="0000EE"/>
                <w:w w:val="71"/>
              </w:rPr>
              <w:t>43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620" w:type="dxa"/>
            <w:vAlign w:val="bottom"/>
            <w:tcBorders>
              <w:top w:val="single" w:sz="8" w:color="0000EE"/>
              <w:bottom w:val="single" w:sz="8" w:color="0000EE"/>
            </w:tcBorders>
            <w:gridSpan w:val="11"/>
          </w:tcPr>
          <w:p>
            <w:pPr>
              <w:spacing w:after="0"/>
              <w:rPr>
                <w:sz w:val="20"/>
                <w:szCs w:val="20"/>
                <w:color w:val="auto"/>
              </w:rPr>
            </w:pPr>
            <w:r>
              <w:rPr>
                <w:rFonts w:ascii="Arial" w:cs="Arial" w:eastAsia="Arial" w:hAnsi="Arial"/>
                <w:sz w:val="17"/>
                <w:szCs w:val="17"/>
                <w:color w:val="0000EE"/>
              </w:rPr>
              <w:t>Description of Non-Voting Matters</w:t>
            </w:r>
          </w:p>
        </w:tc>
        <w:tc>
          <w:tcPr>
            <w:tcW w:w="2560" w:type="dxa"/>
            <w:vAlign w:val="bottom"/>
            <w:tcBorders>
              <w:top w:val="single" w:sz="8" w:color="0000EE"/>
            </w:tcBorders>
            <w:gridSpan w:val="10"/>
          </w:tcPr>
          <w:p>
            <w:pPr>
              <w:spacing w:after="0"/>
              <w:rPr>
                <w:sz w:val="24"/>
                <w:szCs w:val="24"/>
                <w:color w:val="auto"/>
              </w:rPr>
            </w:pPr>
          </w:p>
        </w:tc>
        <w:tc>
          <w:tcPr>
            <w:tcW w:w="2840" w:type="dxa"/>
            <w:vAlign w:val="bottom"/>
            <w:gridSpan w:val="9"/>
          </w:tcPr>
          <w:p>
            <w:pPr>
              <w:spacing w:after="0"/>
              <w:rPr>
                <w:sz w:val="24"/>
                <w:szCs w:val="24"/>
                <w:color w:val="auto"/>
              </w:rPr>
            </w:pPr>
          </w:p>
        </w:tc>
        <w:tc>
          <w:tcPr>
            <w:tcW w:w="140" w:type="dxa"/>
            <w:vAlign w:val="bottom"/>
            <w:tcBorders>
              <w:top w:val="single" w:sz="8" w:color="0000EE"/>
              <w:bottom w:val="single" w:sz="8" w:color="0000EE"/>
            </w:tcBorders>
            <w:gridSpan w:val="2"/>
          </w:tcPr>
          <w:p>
            <w:pPr>
              <w:jc w:val="right"/>
              <w:spacing w:after="0"/>
              <w:rPr>
                <w:sz w:val="20"/>
                <w:szCs w:val="20"/>
                <w:color w:val="auto"/>
              </w:rPr>
            </w:pPr>
            <w:r>
              <w:rPr>
                <w:rFonts w:ascii="Arial" w:cs="Arial" w:eastAsia="Arial" w:hAnsi="Arial"/>
                <w:sz w:val="15"/>
                <w:szCs w:val="15"/>
                <w:color w:val="0000EE"/>
                <w:w w:val="71"/>
              </w:rPr>
              <w:t>45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1940" w:type="dxa"/>
            <w:vAlign w:val="bottom"/>
            <w:tcBorders>
              <w:bottom w:val="single" w:sz="8" w:color="0000EE"/>
            </w:tcBorders>
            <w:gridSpan w:val="5"/>
          </w:tcPr>
          <w:p>
            <w:pPr>
              <w:spacing w:after="0"/>
              <w:rPr>
                <w:sz w:val="20"/>
                <w:szCs w:val="20"/>
                <w:color w:val="auto"/>
              </w:rPr>
            </w:pPr>
            <w:r>
              <w:rPr>
                <w:rFonts w:ascii="Arial" w:cs="Arial" w:eastAsia="Arial" w:hAnsi="Arial"/>
                <w:sz w:val="17"/>
                <w:szCs w:val="17"/>
                <w:color w:val="0000EE"/>
              </w:rPr>
              <w:t>Description of Proposals</w:t>
            </w:r>
          </w:p>
        </w:tc>
        <w:tc>
          <w:tcPr>
            <w:tcW w:w="6080" w:type="dxa"/>
            <w:vAlign w:val="bottom"/>
            <w:gridSpan w:val="25"/>
          </w:tcPr>
          <w:p>
            <w:pPr>
              <w:spacing w:after="0"/>
              <w:rPr>
                <w:sz w:val="24"/>
                <w:szCs w:val="24"/>
                <w:color w:val="auto"/>
              </w:rPr>
            </w:pPr>
          </w:p>
        </w:tc>
        <w:tc>
          <w:tcPr>
            <w:tcW w:w="140" w:type="dxa"/>
            <w:vAlign w:val="bottom"/>
            <w:tcBorders>
              <w:bottom w:val="single" w:sz="8" w:color="0000EE"/>
            </w:tcBorders>
            <w:gridSpan w:val="2"/>
          </w:tcPr>
          <w:p>
            <w:pPr>
              <w:jc w:val="right"/>
              <w:spacing w:after="0"/>
              <w:rPr>
                <w:sz w:val="20"/>
                <w:szCs w:val="20"/>
                <w:color w:val="auto"/>
              </w:rPr>
            </w:pPr>
            <w:r>
              <w:rPr>
                <w:rFonts w:ascii="Arial" w:cs="Arial" w:eastAsia="Arial" w:hAnsi="Arial"/>
                <w:sz w:val="15"/>
                <w:szCs w:val="15"/>
                <w:color w:val="0000EE"/>
                <w:w w:val="71"/>
              </w:rPr>
              <w:t>46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180" w:type="dxa"/>
            <w:vAlign w:val="bottom"/>
          </w:tcPr>
          <w:p>
            <w:pPr>
              <w:spacing w:after="0"/>
              <w:rPr>
                <w:sz w:val="24"/>
                <w:szCs w:val="24"/>
                <w:color w:val="auto"/>
              </w:rPr>
            </w:pPr>
          </w:p>
        </w:tc>
        <w:tc>
          <w:tcPr>
            <w:tcW w:w="7840" w:type="dxa"/>
            <w:vAlign w:val="bottom"/>
            <w:gridSpan w:val="29"/>
          </w:tcPr>
          <w:p>
            <w:pPr>
              <w:spacing w:after="0"/>
              <w:rPr>
                <w:sz w:val="20"/>
                <w:szCs w:val="20"/>
                <w:color w:val="auto"/>
              </w:rPr>
            </w:pPr>
            <w:r>
              <w:rPr>
                <w:rFonts w:ascii="Arial" w:cs="Arial" w:eastAsia="Arial" w:hAnsi="Arial"/>
                <w:sz w:val="17"/>
                <w:szCs w:val="17"/>
                <w:color w:val="0000EE"/>
              </w:rPr>
              <w:t>Proposal 1:  Approve an amendment to IREN’s constitution to align the quorum requirement to</w:t>
            </w:r>
          </w:p>
        </w:tc>
        <w:tc>
          <w:tcPr>
            <w:tcW w:w="140" w:type="dxa"/>
            <w:vAlign w:val="bottom"/>
            <w:gridSpan w:val="2"/>
            <w:vMerge w:val="restart"/>
          </w:tcPr>
          <w:p>
            <w:pPr>
              <w:jc w:val="right"/>
              <w:spacing w:after="0"/>
              <w:rPr>
                <w:sz w:val="20"/>
                <w:szCs w:val="20"/>
                <w:color w:val="auto"/>
              </w:rPr>
            </w:pPr>
            <w:r>
              <w:rPr>
                <w:rFonts w:ascii="Arial" w:cs="Arial" w:eastAsia="Arial" w:hAnsi="Arial"/>
                <w:sz w:val="15"/>
                <w:szCs w:val="15"/>
                <w:color w:val="0000EE"/>
                <w:w w:val="71"/>
              </w:rPr>
              <w:t>46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0000EE"/>
            </w:tcBorders>
          </w:tcPr>
          <w:p>
            <w:pPr>
              <w:spacing w:after="0"/>
              <w:rPr>
                <w:sz w:val="15"/>
                <w:szCs w:val="15"/>
                <w:color w:val="auto"/>
              </w:rPr>
            </w:pPr>
          </w:p>
        </w:tc>
        <w:tc>
          <w:tcPr>
            <w:tcW w:w="3640" w:type="dxa"/>
            <w:vAlign w:val="bottom"/>
            <w:tcBorders>
              <w:top w:val="single" w:sz="8" w:color="0000EE"/>
              <w:bottom w:val="single" w:sz="8" w:color="0000EE"/>
            </w:tcBorders>
            <w:gridSpan w:val="16"/>
          </w:tcPr>
          <w:p>
            <w:pPr>
              <w:spacing w:after="0" w:line="176" w:lineRule="exact"/>
              <w:rPr>
                <w:sz w:val="20"/>
                <w:szCs w:val="20"/>
                <w:color w:val="auto"/>
              </w:rPr>
            </w:pPr>
            <w:r>
              <w:rPr>
                <w:rFonts w:ascii="Arial" w:cs="Arial" w:eastAsia="Arial" w:hAnsi="Arial"/>
                <w:sz w:val="17"/>
                <w:szCs w:val="17"/>
                <w:color w:val="0000EE"/>
                <w:w w:val="98"/>
              </w:rPr>
              <w:t>conduct shareholder meetings with Nasdaq rules</w:t>
            </w:r>
          </w:p>
        </w:tc>
        <w:tc>
          <w:tcPr>
            <w:tcW w:w="2520" w:type="dxa"/>
            <w:vAlign w:val="bottom"/>
            <w:tcBorders>
              <w:top w:val="single" w:sz="8" w:color="0000EE"/>
            </w:tcBorders>
            <w:gridSpan w:val="5"/>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0000EE"/>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80" w:type="dxa"/>
            <w:vAlign w:val="bottom"/>
          </w:tcPr>
          <w:p>
            <w:pPr>
              <w:spacing w:after="0"/>
              <w:rPr>
                <w:sz w:val="24"/>
                <w:szCs w:val="24"/>
                <w:color w:val="auto"/>
              </w:rPr>
            </w:pPr>
          </w:p>
        </w:tc>
        <w:tc>
          <w:tcPr>
            <w:tcW w:w="7840" w:type="dxa"/>
            <w:vAlign w:val="bottom"/>
            <w:gridSpan w:val="29"/>
          </w:tcPr>
          <w:p>
            <w:pPr>
              <w:spacing w:after="0"/>
              <w:rPr>
                <w:sz w:val="20"/>
                <w:szCs w:val="20"/>
                <w:color w:val="auto"/>
              </w:rPr>
            </w:pPr>
            <w:r>
              <w:rPr>
                <w:rFonts w:ascii="Arial" w:cs="Arial" w:eastAsia="Arial" w:hAnsi="Arial"/>
                <w:sz w:val="17"/>
                <w:szCs w:val="17"/>
                <w:color w:val="0000EE"/>
              </w:rPr>
              <w:t>Proposal 2:  Approve an amendment to IREN’s constitution to provide for director elections at each</w:t>
            </w:r>
          </w:p>
        </w:tc>
        <w:tc>
          <w:tcPr>
            <w:tcW w:w="140" w:type="dxa"/>
            <w:vAlign w:val="bottom"/>
            <w:gridSpan w:val="2"/>
            <w:vMerge w:val="restart"/>
          </w:tcPr>
          <w:p>
            <w:pPr>
              <w:jc w:val="right"/>
              <w:spacing w:after="0"/>
              <w:rPr>
                <w:sz w:val="20"/>
                <w:szCs w:val="20"/>
                <w:color w:val="auto"/>
              </w:rPr>
            </w:pPr>
            <w:r>
              <w:rPr>
                <w:rFonts w:ascii="Arial" w:cs="Arial" w:eastAsia="Arial" w:hAnsi="Arial"/>
                <w:sz w:val="15"/>
                <w:szCs w:val="15"/>
                <w:color w:val="0000EE"/>
                <w:w w:val="71"/>
              </w:rPr>
              <w:t>48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500" w:type="dxa"/>
            <w:vAlign w:val="bottom"/>
            <w:tcBorders>
              <w:top w:val="single" w:sz="8" w:color="0000EE"/>
            </w:tcBorders>
            <w:gridSpan w:val="24"/>
          </w:tcPr>
          <w:p>
            <w:pPr>
              <w:spacing w:after="0" w:line="176" w:lineRule="exact"/>
              <w:rPr>
                <w:sz w:val="20"/>
                <w:szCs w:val="20"/>
                <w:color w:val="auto"/>
              </w:rPr>
            </w:pPr>
            <w:r>
              <w:rPr>
                <w:rFonts w:ascii="Arial" w:cs="Arial" w:eastAsia="Arial" w:hAnsi="Arial"/>
                <w:sz w:val="17"/>
                <w:szCs w:val="17"/>
                <w:color w:val="0000EE"/>
              </w:rPr>
              <w:t>annual general meeting</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180" w:type="dxa"/>
            <w:vAlign w:val="bottom"/>
          </w:tcPr>
          <w:p>
            <w:pPr>
              <w:spacing w:after="0"/>
              <w:rPr>
                <w:sz w:val="24"/>
                <w:szCs w:val="24"/>
                <w:color w:val="auto"/>
              </w:rPr>
            </w:pPr>
          </w:p>
        </w:tc>
        <w:tc>
          <w:tcPr>
            <w:tcW w:w="7840" w:type="dxa"/>
            <w:vAlign w:val="bottom"/>
            <w:gridSpan w:val="29"/>
          </w:tcPr>
          <w:p>
            <w:pPr>
              <w:spacing w:after="0"/>
              <w:rPr>
                <w:sz w:val="20"/>
                <w:szCs w:val="20"/>
                <w:color w:val="auto"/>
              </w:rPr>
            </w:pPr>
            <w:r>
              <w:rPr>
                <w:rFonts w:ascii="Arial" w:cs="Arial" w:eastAsia="Arial" w:hAnsi="Arial"/>
                <w:sz w:val="17"/>
                <w:szCs w:val="17"/>
                <w:color w:val="0000EE"/>
              </w:rPr>
              <w:t>Proposal 3:  Approve an amendment to IREN’s constitution to add a forum selection provision</w:t>
            </w:r>
          </w:p>
        </w:tc>
        <w:tc>
          <w:tcPr>
            <w:tcW w:w="200" w:type="dxa"/>
            <w:vAlign w:val="bottom"/>
            <w:gridSpan w:val="3"/>
          </w:tcPr>
          <w:p>
            <w:pPr>
              <w:jc w:val="right"/>
              <w:spacing w:after="0"/>
              <w:rPr>
                <w:sz w:val="20"/>
                <w:szCs w:val="20"/>
                <w:color w:val="auto"/>
              </w:rPr>
            </w:pPr>
            <w:r>
              <w:rPr>
                <w:rFonts w:ascii="Arial" w:cs="Arial" w:eastAsia="Arial" w:hAnsi="Arial"/>
                <w:sz w:val="17"/>
                <w:szCs w:val="17"/>
                <w:color w:val="0000EE"/>
                <w:w w:val="94"/>
              </w:rPr>
              <w:t>51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180" w:type="dxa"/>
            <w:vAlign w:val="bottom"/>
          </w:tcPr>
          <w:p>
            <w:pPr>
              <w:spacing w:after="0"/>
              <w:rPr>
                <w:sz w:val="24"/>
                <w:szCs w:val="24"/>
                <w:color w:val="auto"/>
              </w:rPr>
            </w:pPr>
          </w:p>
        </w:tc>
        <w:tc>
          <w:tcPr>
            <w:tcW w:w="7840" w:type="dxa"/>
            <w:vAlign w:val="bottom"/>
            <w:gridSpan w:val="29"/>
          </w:tcPr>
          <w:p>
            <w:pPr>
              <w:spacing w:after="0"/>
              <w:rPr>
                <w:sz w:val="20"/>
                <w:szCs w:val="20"/>
                <w:color w:val="auto"/>
              </w:rPr>
            </w:pPr>
            <w:r>
              <w:rPr>
                <w:rFonts w:ascii="Arial" w:cs="Arial" w:eastAsia="Arial" w:hAnsi="Arial"/>
                <w:sz w:val="17"/>
                <w:szCs w:val="17"/>
                <w:color w:val="0000EE"/>
              </w:rPr>
              <w:t>Proposal 4:  Approve an amendment to IREN’s constitution to update the advance notice provisions</w:t>
            </w:r>
          </w:p>
        </w:tc>
        <w:tc>
          <w:tcPr>
            <w:tcW w:w="140" w:type="dxa"/>
            <w:vAlign w:val="bottom"/>
            <w:gridSpan w:val="2"/>
            <w:vMerge w:val="restart"/>
          </w:tcPr>
          <w:p>
            <w:pPr>
              <w:jc w:val="right"/>
              <w:spacing w:after="0"/>
              <w:rPr>
                <w:sz w:val="20"/>
                <w:szCs w:val="20"/>
                <w:color w:val="auto"/>
              </w:rPr>
            </w:pPr>
            <w:r>
              <w:rPr>
                <w:rFonts w:ascii="Arial" w:cs="Arial" w:eastAsia="Arial" w:hAnsi="Arial"/>
                <w:sz w:val="17"/>
                <w:szCs w:val="17"/>
                <w:color w:val="0000EE"/>
                <w:w w:val="73"/>
              </w:rPr>
              <w:t>53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top w:val="single" w:sz="8" w:color="0000EE"/>
            </w:tcBorders>
            <w:gridSpan w:val="8"/>
          </w:tcPr>
          <w:p>
            <w:pPr>
              <w:spacing w:after="0" w:line="176" w:lineRule="exact"/>
              <w:rPr>
                <w:sz w:val="20"/>
                <w:szCs w:val="20"/>
                <w:color w:val="auto"/>
              </w:rPr>
            </w:pPr>
            <w:r>
              <w:rPr>
                <w:rFonts w:ascii="Arial" w:cs="Arial" w:eastAsia="Arial" w:hAnsi="Arial"/>
                <w:sz w:val="17"/>
                <w:szCs w:val="17"/>
                <w:color w:val="0000EE"/>
                <w:w w:val="86"/>
              </w:rPr>
              <w:t>for universal proxies</w:t>
            </w:r>
          </w:p>
        </w:tc>
        <w:tc>
          <w:tcPr>
            <w:tcW w:w="5200" w:type="dxa"/>
            <w:vAlign w:val="bottom"/>
            <w:tcBorders>
              <w:top w:val="single" w:sz="8" w:color="0000EE"/>
            </w:tcBorders>
            <w:gridSpan w:val="17"/>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0000EE"/>
            </w:tcBorders>
            <w:gridSpan w:val="3"/>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180" w:type="dxa"/>
            <w:vAlign w:val="bottom"/>
          </w:tcPr>
          <w:p>
            <w:pPr>
              <w:spacing w:after="0"/>
              <w:rPr>
                <w:sz w:val="24"/>
                <w:szCs w:val="24"/>
                <w:color w:val="auto"/>
              </w:rPr>
            </w:pPr>
          </w:p>
        </w:tc>
        <w:tc>
          <w:tcPr>
            <w:tcW w:w="7840" w:type="dxa"/>
            <w:vAlign w:val="bottom"/>
            <w:gridSpan w:val="29"/>
          </w:tcPr>
          <w:p>
            <w:pPr>
              <w:spacing w:after="0"/>
              <w:rPr>
                <w:sz w:val="20"/>
                <w:szCs w:val="20"/>
                <w:color w:val="auto"/>
              </w:rPr>
            </w:pPr>
            <w:r>
              <w:rPr>
                <w:rFonts w:ascii="Arial" w:cs="Arial" w:eastAsia="Arial" w:hAnsi="Arial"/>
                <w:sz w:val="17"/>
                <w:szCs w:val="17"/>
                <w:color w:val="0000EE"/>
              </w:rPr>
              <w:t>Proposal 5:  Approve amendments to IREN’s constitution to implement miscellaneous changes</w:t>
            </w:r>
          </w:p>
        </w:tc>
        <w:tc>
          <w:tcPr>
            <w:tcW w:w="140" w:type="dxa"/>
            <w:vAlign w:val="bottom"/>
            <w:gridSpan w:val="2"/>
          </w:tcPr>
          <w:p>
            <w:pPr>
              <w:jc w:val="right"/>
              <w:spacing w:after="0"/>
              <w:rPr>
                <w:sz w:val="20"/>
                <w:szCs w:val="20"/>
                <w:color w:val="auto"/>
              </w:rPr>
            </w:pPr>
            <w:r>
              <w:rPr>
                <w:rFonts w:ascii="Arial" w:cs="Arial" w:eastAsia="Arial" w:hAnsi="Arial"/>
                <w:sz w:val="15"/>
                <w:szCs w:val="15"/>
                <w:color w:val="0000EE"/>
                <w:w w:val="71"/>
              </w:rPr>
              <w:t>55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0000EE"/>
            </w:tcBorders>
            <w:gridSpan w:val="3"/>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180" w:type="dxa"/>
            <w:vAlign w:val="bottom"/>
          </w:tcPr>
          <w:p>
            <w:pPr>
              <w:spacing w:after="0"/>
              <w:rPr>
                <w:sz w:val="24"/>
                <w:szCs w:val="24"/>
                <w:color w:val="auto"/>
              </w:rPr>
            </w:pPr>
          </w:p>
        </w:tc>
        <w:tc>
          <w:tcPr>
            <w:tcW w:w="7840" w:type="dxa"/>
            <w:vAlign w:val="bottom"/>
            <w:gridSpan w:val="29"/>
          </w:tcPr>
          <w:p>
            <w:pPr>
              <w:spacing w:after="0"/>
              <w:rPr>
                <w:sz w:val="20"/>
                <w:szCs w:val="20"/>
                <w:color w:val="auto"/>
              </w:rPr>
            </w:pPr>
            <w:r>
              <w:rPr>
                <w:rFonts w:ascii="Arial" w:cs="Arial" w:eastAsia="Arial" w:hAnsi="Arial"/>
                <w:sz w:val="17"/>
                <w:szCs w:val="17"/>
                <w:color w:val="0000EE"/>
              </w:rPr>
              <w:t>Proposal 6:  Approve IREN’s 2025 Omnibus Incentive Plan</w:t>
            </w:r>
          </w:p>
        </w:tc>
        <w:tc>
          <w:tcPr>
            <w:tcW w:w="200" w:type="dxa"/>
            <w:vAlign w:val="bottom"/>
            <w:gridSpan w:val="3"/>
          </w:tcPr>
          <w:p>
            <w:pPr>
              <w:jc w:val="right"/>
              <w:ind w:right="40"/>
              <w:spacing w:after="0"/>
              <w:rPr>
                <w:sz w:val="20"/>
                <w:szCs w:val="20"/>
                <w:color w:val="auto"/>
              </w:rPr>
            </w:pPr>
            <w:r>
              <w:rPr>
                <w:rFonts w:ascii="Arial" w:cs="Arial" w:eastAsia="Arial" w:hAnsi="Arial"/>
                <w:sz w:val="17"/>
                <w:szCs w:val="17"/>
                <w:color w:val="0000EE"/>
                <w:w w:val="73"/>
              </w:rPr>
              <w:t>57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0000EE"/>
            </w:tcBorders>
            <w:gridSpan w:val="3"/>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180" w:type="dxa"/>
            <w:vAlign w:val="bottom"/>
          </w:tcPr>
          <w:p>
            <w:pPr>
              <w:spacing w:after="0"/>
              <w:rPr>
                <w:sz w:val="24"/>
                <w:szCs w:val="24"/>
                <w:color w:val="auto"/>
              </w:rPr>
            </w:pPr>
          </w:p>
        </w:tc>
        <w:tc>
          <w:tcPr>
            <w:tcW w:w="7840" w:type="dxa"/>
            <w:vAlign w:val="bottom"/>
            <w:gridSpan w:val="29"/>
          </w:tcPr>
          <w:p>
            <w:pPr>
              <w:spacing w:after="0"/>
              <w:rPr>
                <w:sz w:val="20"/>
                <w:szCs w:val="20"/>
                <w:color w:val="auto"/>
              </w:rPr>
            </w:pPr>
            <w:r>
              <w:rPr>
                <w:rFonts w:ascii="Arial" w:cs="Arial" w:eastAsia="Arial" w:hAnsi="Arial"/>
                <w:sz w:val="17"/>
                <w:szCs w:val="17"/>
                <w:color w:val="0000EE"/>
              </w:rPr>
              <w:t>Proposal 7:  Approve the repurchase by IREN of its ordinary shares pursuant to the Prepaid</w:t>
            </w:r>
          </w:p>
        </w:tc>
        <w:tc>
          <w:tcPr>
            <w:tcW w:w="140" w:type="dxa"/>
            <w:vAlign w:val="bottom"/>
            <w:gridSpan w:val="2"/>
            <w:vMerge w:val="restart"/>
          </w:tcPr>
          <w:p>
            <w:pPr>
              <w:jc w:val="right"/>
              <w:spacing w:after="0"/>
              <w:rPr>
                <w:sz w:val="20"/>
                <w:szCs w:val="20"/>
                <w:color w:val="auto"/>
              </w:rPr>
            </w:pPr>
            <w:r>
              <w:rPr>
                <w:rFonts w:ascii="Arial" w:cs="Arial" w:eastAsia="Arial" w:hAnsi="Arial"/>
                <w:sz w:val="15"/>
                <w:szCs w:val="15"/>
                <w:color w:val="0000EE"/>
                <w:w w:val="71"/>
              </w:rPr>
              <w:t>64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0000EE"/>
            </w:tcBorders>
          </w:tcPr>
          <w:p>
            <w:pPr>
              <w:spacing w:after="0"/>
              <w:rPr>
                <w:sz w:val="15"/>
                <w:szCs w:val="15"/>
                <w:color w:val="auto"/>
              </w:rPr>
            </w:pPr>
          </w:p>
        </w:tc>
        <w:tc>
          <w:tcPr>
            <w:tcW w:w="1540" w:type="dxa"/>
            <w:vAlign w:val="bottom"/>
            <w:tcBorders>
              <w:top w:val="single" w:sz="8" w:color="0000EE"/>
              <w:bottom w:val="single" w:sz="8" w:color="0000EE"/>
            </w:tcBorders>
            <w:gridSpan w:val="9"/>
          </w:tcPr>
          <w:p>
            <w:pPr>
              <w:spacing w:after="0" w:line="176" w:lineRule="exact"/>
              <w:rPr>
                <w:sz w:val="20"/>
                <w:szCs w:val="20"/>
                <w:color w:val="auto"/>
              </w:rPr>
            </w:pPr>
            <w:r>
              <w:rPr>
                <w:rFonts w:ascii="Arial" w:cs="Arial" w:eastAsia="Arial" w:hAnsi="Arial"/>
                <w:sz w:val="17"/>
                <w:szCs w:val="17"/>
                <w:color w:val="0000EE"/>
                <w:w w:val="92"/>
              </w:rPr>
              <w:t>Forward Transactions</w:t>
            </w:r>
          </w:p>
        </w:tc>
        <w:tc>
          <w:tcPr>
            <w:tcW w:w="4420" w:type="dxa"/>
            <w:vAlign w:val="bottom"/>
            <w:tcBorders>
              <w:top w:val="single" w:sz="8" w:color="0000EE"/>
            </w:tcBorders>
            <w:gridSpan w:val="10"/>
          </w:tcPr>
          <w:p>
            <w:pPr>
              <w:spacing w:after="0"/>
              <w:rPr>
                <w:sz w:val="15"/>
                <w:szCs w:val="15"/>
                <w:color w:val="auto"/>
              </w:rPr>
            </w:pPr>
          </w:p>
        </w:tc>
        <w:tc>
          <w:tcPr>
            <w:tcW w:w="240" w:type="dxa"/>
            <w:vAlign w:val="bottom"/>
            <w:gridSpan w:val="3"/>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gridSpan w:val="3"/>
          </w:tcPr>
          <w:p>
            <w:pPr>
              <w:spacing w:after="0"/>
              <w:rPr>
                <w:sz w:val="15"/>
                <w:szCs w:val="15"/>
                <w:color w:val="auto"/>
              </w:rPr>
            </w:pPr>
          </w:p>
        </w:tc>
        <w:tc>
          <w:tcPr>
            <w:tcW w:w="140" w:type="dxa"/>
            <w:vAlign w:val="bottom"/>
            <w:tcBorders>
              <w:bottom w:val="single" w:sz="8" w:color="0000EE"/>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80" w:type="dxa"/>
            <w:vAlign w:val="bottom"/>
          </w:tcPr>
          <w:p>
            <w:pPr>
              <w:spacing w:after="0"/>
              <w:rPr>
                <w:sz w:val="24"/>
                <w:szCs w:val="24"/>
                <w:color w:val="auto"/>
              </w:rPr>
            </w:pPr>
          </w:p>
        </w:tc>
        <w:tc>
          <w:tcPr>
            <w:tcW w:w="7840" w:type="dxa"/>
            <w:vAlign w:val="bottom"/>
            <w:gridSpan w:val="29"/>
          </w:tcPr>
          <w:p>
            <w:pPr>
              <w:spacing w:after="0"/>
              <w:rPr>
                <w:sz w:val="20"/>
                <w:szCs w:val="20"/>
                <w:color w:val="auto"/>
              </w:rPr>
            </w:pPr>
            <w:r>
              <w:rPr>
                <w:rFonts w:ascii="Arial" w:cs="Arial" w:eastAsia="Arial" w:hAnsi="Arial"/>
                <w:sz w:val="17"/>
                <w:szCs w:val="17"/>
                <w:color w:val="0000EE"/>
              </w:rPr>
              <w:t>Proposal 8:  Approve the repurchase by IREN of its ordinary shares pursuant to the Capped Call</w:t>
            </w:r>
          </w:p>
        </w:tc>
        <w:tc>
          <w:tcPr>
            <w:tcW w:w="140" w:type="dxa"/>
            <w:vAlign w:val="bottom"/>
            <w:gridSpan w:val="2"/>
            <w:vMerge w:val="restart"/>
          </w:tcPr>
          <w:p>
            <w:pPr>
              <w:jc w:val="right"/>
              <w:spacing w:after="0"/>
              <w:rPr>
                <w:sz w:val="20"/>
                <w:szCs w:val="20"/>
                <w:color w:val="auto"/>
              </w:rPr>
            </w:pPr>
            <w:r>
              <w:rPr>
                <w:rFonts w:ascii="Arial" w:cs="Arial" w:eastAsia="Arial" w:hAnsi="Arial"/>
                <w:sz w:val="15"/>
                <w:szCs w:val="15"/>
                <w:color w:val="0000EE"/>
                <w:w w:val="71"/>
              </w:rPr>
              <w:t>66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0000EE"/>
            </w:tcBorders>
          </w:tcPr>
          <w:p>
            <w:pPr>
              <w:spacing w:after="0"/>
              <w:rPr>
                <w:sz w:val="15"/>
                <w:szCs w:val="15"/>
                <w:color w:val="auto"/>
              </w:rPr>
            </w:pPr>
          </w:p>
        </w:tc>
        <w:tc>
          <w:tcPr>
            <w:tcW w:w="860" w:type="dxa"/>
            <w:vAlign w:val="bottom"/>
            <w:tcBorders>
              <w:top w:val="single" w:sz="8" w:color="0000EE"/>
              <w:bottom w:val="single" w:sz="8" w:color="0000EE"/>
            </w:tcBorders>
            <w:gridSpan w:val="3"/>
          </w:tcPr>
          <w:p>
            <w:pPr>
              <w:spacing w:after="0" w:line="176" w:lineRule="exact"/>
              <w:rPr>
                <w:sz w:val="20"/>
                <w:szCs w:val="20"/>
                <w:color w:val="auto"/>
              </w:rPr>
            </w:pPr>
            <w:r>
              <w:rPr>
                <w:rFonts w:ascii="Arial" w:cs="Arial" w:eastAsia="Arial" w:hAnsi="Arial"/>
                <w:sz w:val="17"/>
                <w:szCs w:val="17"/>
                <w:color w:val="0000EE"/>
                <w:w w:val="86"/>
              </w:rPr>
              <w:t>Transactions</w:t>
            </w:r>
          </w:p>
        </w:tc>
        <w:tc>
          <w:tcPr>
            <w:tcW w:w="5460" w:type="dxa"/>
            <w:vAlign w:val="bottom"/>
            <w:tcBorders>
              <w:top w:val="single" w:sz="8" w:color="0000EE"/>
            </w:tcBorders>
            <w:gridSpan w:val="20"/>
          </w:tcPr>
          <w:p>
            <w:pPr>
              <w:spacing w:after="0"/>
              <w:rPr>
                <w:sz w:val="15"/>
                <w:szCs w:val="15"/>
                <w:color w:val="auto"/>
              </w:rPr>
            </w:pPr>
          </w:p>
        </w:tc>
        <w:tc>
          <w:tcPr>
            <w:tcW w:w="400" w:type="dxa"/>
            <w:vAlign w:val="bottom"/>
            <w:gridSpan w:val="3"/>
          </w:tcPr>
          <w:p>
            <w:pPr>
              <w:spacing w:after="0"/>
              <w:rPr>
                <w:sz w:val="15"/>
                <w:szCs w:val="15"/>
                <w:color w:val="auto"/>
              </w:rPr>
            </w:pPr>
          </w:p>
        </w:tc>
        <w:tc>
          <w:tcPr>
            <w:tcW w:w="140" w:type="dxa"/>
            <w:vAlign w:val="bottom"/>
            <w:tcBorders>
              <w:bottom w:val="single" w:sz="8" w:color="0000EE"/>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80" w:type="dxa"/>
            <w:vAlign w:val="bottom"/>
          </w:tcPr>
          <w:p>
            <w:pPr>
              <w:spacing w:after="0"/>
              <w:rPr>
                <w:sz w:val="24"/>
                <w:szCs w:val="24"/>
                <w:color w:val="auto"/>
              </w:rPr>
            </w:pPr>
          </w:p>
        </w:tc>
        <w:tc>
          <w:tcPr>
            <w:tcW w:w="7840" w:type="dxa"/>
            <w:vAlign w:val="bottom"/>
            <w:gridSpan w:val="29"/>
          </w:tcPr>
          <w:p>
            <w:pPr>
              <w:spacing w:after="0"/>
              <w:rPr>
                <w:sz w:val="20"/>
                <w:szCs w:val="20"/>
                <w:color w:val="auto"/>
              </w:rPr>
            </w:pPr>
            <w:r>
              <w:rPr>
                <w:rFonts w:ascii="Arial" w:cs="Arial" w:eastAsia="Arial" w:hAnsi="Arial"/>
                <w:sz w:val="17"/>
                <w:szCs w:val="17"/>
                <w:color w:val="0000EE"/>
              </w:rPr>
              <w:t>Proposal 9: Approve an advisory vote on executive compensation (the “say-on-pay” vote)</w:t>
            </w:r>
          </w:p>
        </w:tc>
        <w:tc>
          <w:tcPr>
            <w:tcW w:w="140" w:type="dxa"/>
            <w:vAlign w:val="bottom"/>
            <w:gridSpan w:val="2"/>
          </w:tcPr>
          <w:p>
            <w:pPr>
              <w:jc w:val="right"/>
              <w:spacing w:after="0"/>
              <w:rPr>
                <w:sz w:val="20"/>
                <w:szCs w:val="20"/>
                <w:color w:val="auto"/>
              </w:rPr>
            </w:pPr>
            <w:r>
              <w:rPr>
                <w:rFonts w:ascii="Arial" w:cs="Arial" w:eastAsia="Arial" w:hAnsi="Arial"/>
                <w:sz w:val="15"/>
                <w:szCs w:val="15"/>
                <w:color w:val="0000EE"/>
                <w:w w:val="71"/>
              </w:rPr>
              <w:t>68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120" w:type="dxa"/>
            <w:vAlign w:val="bottom"/>
            <w:tcBorders>
              <w:right w:val="single" w:sz="8" w:color="0000EE"/>
            </w:tcBorders>
            <w:gridSpan w:val="3"/>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600" w:type="dxa"/>
            <w:vAlign w:val="bottom"/>
            <w:tcBorders>
              <w:left w:val="single" w:sz="8" w:color="0000EE"/>
            </w:tcBorders>
            <w:gridSpan w:val="5"/>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760" w:type="dxa"/>
            <w:vAlign w:val="bottom"/>
            <w:gridSpan w:val="4"/>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20" w:type="dxa"/>
            <w:vAlign w:val="bottom"/>
            <w:tcBorders>
              <w:right w:val="single" w:sz="8" w:color="0000EE"/>
            </w:tcBorders>
            <w:gridSpan w:val="4"/>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180" w:type="dxa"/>
            <w:vAlign w:val="bottom"/>
          </w:tcPr>
          <w:p>
            <w:pPr>
              <w:spacing w:after="0"/>
              <w:rPr>
                <w:sz w:val="24"/>
                <w:szCs w:val="24"/>
                <w:color w:val="auto"/>
              </w:rPr>
            </w:pPr>
          </w:p>
        </w:tc>
        <w:tc>
          <w:tcPr>
            <w:tcW w:w="7840" w:type="dxa"/>
            <w:vAlign w:val="bottom"/>
            <w:gridSpan w:val="29"/>
          </w:tcPr>
          <w:p>
            <w:pPr>
              <w:spacing w:after="0"/>
              <w:rPr>
                <w:sz w:val="20"/>
                <w:szCs w:val="20"/>
                <w:color w:val="auto"/>
              </w:rPr>
            </w:pPr>
            <w:r>
              <w:rPr>
                <w:rFonts w:ascii="Arial" w:cs="Arial" w:eastAsia="Arial" w:hAnsi="Arial"/>
                <w:sz w:val="17"/>
                <w:szCs w:val="17"/>
                <w:color w:val="0000EE"/>
              </w:rPr>
              <w:t>Proposal 10:  Approve an advisory vote on the frequency of future advisory votes on executive</w:t>
            </w:r>
          </w:p>
        </w:tc>
        <w:tc>
          <w:tcPr>
            <w:tcW w:w="140" w:type="dxa"/>
            <w:vAlign w:val="bottom"/>
            <w:gridSpan w:val="2"/>
            <w:vMerge w:val="restart"/>
          </w:tcPr>
          <w:p>
            <w:pPr>
              <w:jc w:val="right"/>
              <w:spacing w:after="0"/>
              <w:rPr>
                <w:sz w:val="20"/>
                <w:szCs w:val="20"/>
                <w:color w:val="auto"/>
              </w:rPr>
            </w:pPr>
            <w:r>
              <w:rPr>
                <w:rFonts w:ascii="Arial" w:cs="Arial" w:eastAsia="Arial" w:hAnsi="Arial"/>
                <w:sz w:val="15"/>
                <w:szCs w:val="15"/>
                <w:color w:val="0000EE"/>
                <w:w w:val="71"/>
              </w:rPr>
              <w:t>70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6200" w:type="dxa"/>
            <w:vAlign w:val="bottom"/>
            <w:tcBorders>
              <w:top w:val="single" w:sz="8" w:color="0000EE"/>
            </w:tcBorders>
            <w:gridSpan w:val="22"/>
          </w:tcPr>
          <w:p>
            <w:pPr>
              <w:spacing w:after="0" w:line="176" w:lineRule="exact"/>
              <w:rPr>
                <w:sz w:val="20"/>
                <w:szCs w:val="20"/>
                <w:color w:val="auto"/>
              </w:rPr>
            </w:pPr>
            <w:r>
              <w:rPr>
                <w:rFonts w:ascii="Arial" w:cs="Arial" w:eastAsia="Arial" w:hAnsi="Arial"/>
                <w:sz w:val="17"/>
                <w:szCs w:val="17"/>
                <w:color w:val="0000EE"/>
              </w:rPr>
              <w:t>compensation</w:t>
            </w:r>
          </w:p>
        </w:tc>
        <w:tc>
          <w:tcPr>
            <w:tcW w:w="520" w:type="dxa"/>
            <w:vAlign w:val="bottom"/>
            <w:gridSpan w:val="4"/>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00" w:type="dxa"/>
            <w:vAlign w:val="bottom"/>
            <w:tcBorders>
              <w:right w:val="single" w:sz="8" w:color="0000EE"/>
            </w:tcBorders>
            <w:gridSpan w:val="4"/>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740" w:type="dxa"/>
            <w:vAlign w:val="bottom"/>
            <w:tcBorders>
              <w:right w:val="single" w:sz="8" w:color="0000EE"/>
            </w:tcBorders>
            <w:gridSpan w:val="12"/>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2660" w:type="dxa"/>
            <w:vAlign w:val="bottom"/>
            <w:gridSpan w:val="12"/>
          </w:tcPr>
          <w:p>
            <w:pPr>
              <w:spacing w:after="0"/>
              <w:rPr>
                <w:sz w:val="20"/>
                <w:szCs w:val="20"/>
                <w:color w:val="auto"/>
              </w:rPr>
            </w:pPr>
            <w:r>
              <w:rPr>
                <w:rFonts w:ascii="Arial" w:cs="Arial" w:eastAsia="Arial" w:hAnsi="Arial"/>
                <w:sz w:val="17"/>
                <w:szCs w:val="17"/>
                <w:color w:val="0000EE"/>
              </w:rPr>
              <w:t>Audit and Risk Committee Matters</w:t>
            </w:r>
          </w:p>
        </w:tc>
        <w:tc>
          <w:tcPr>
            <w:tcW w:w="5360" w:type="dxa"/>
            <w:vAlign w:val="bottom"/>
            <w:gridSpan w:val="18"/>
          </w:tcPr>
          <w:p>
            <w:pPr>
              <w:spacing w:after="0"/>
              <w:rPr>
                <w:sz w:val="24"/>
                <w:szCs w:val="24"/>
                <w:color w:val="auto"/>
              </w:rPr>
            </w:pPr>
          </w:p>
        </w:tc>
        <w:tc>
          <w:tcPr>
            <w:tcW w:w="200" w:type="dxa"/>
            <w:vAlign w:val="bottom"/>
            <w:gridSpan w:val="3"/>
          </w:tcPr>
          <w:p>
            <w:pPr>
              <w:jc w:val="right"/>
              <w:ind w:right="40"/>
              <w:spacing w:after="0"/>
              <w:rPr>
                <w:sz w:val="20"/>
                <w:szCs w:val="20"/>
                <w:color w:val="auto"/>
              </w:rPr>
            </w:pPr>
            <w:r>
              <w:rPr>
                <w:rFonts w:ascii="Arial" w:cs="Arial" w:eastAsia="Arial" w:hAnsi="Arial"/>
                <w:sz w:val="17"/>
                <w:szCs w:val="17"/>
                <w:color w:val="0000EE"/>
                <w:w w:val="73"/>
              </w:rPr>
              <w:t>72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2480" w:type="dxa"/>
            <w:vAlign w:val="bottom"/>
            <w:gridSpan w:val="11"/>
            <w:shd w:val="clear" w:color="auto" w:fill="0000EE"/>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740" w:type="dxa"/>
            <w:vAlign w:val="bottom"/>
            <w:tcBorders>
              <w:right w:val="single" w:sz="8" w:color="0000EE"/>
            </w:tcBorders>
            <w:gridSpan w:val="12"/>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180" w:type="dxa"/>
            <w:vAlign w:val="bottom"/>
          </w:tcPr>
          <w:p>
            <w:pPr>
              <w:spacing w:after="0"/>
              <w:rPr>
                <w:sz w:val="24"/>
                <w:szCs w:val="24"/>
                <w:color w:val="auto"/>
              </w:rPr>
            </w:pPr>
          </w:p>
        </w:tc>
        <w:tc>
          <w:tcPr>
            <w:tcW w:w="3080" w:type="dxa"/>
            <w:vAlign w:val="bottom"/>
            <w:gridSpan w:val="16"/>
          </w:tcPr>
          <w:p>
            <w:pPr>
              <w:spacing w:after="0"/>
              <w:rPr>
                <w:sz w:val="20"/>
                <w:szCs w:val="20"/>
                <w:color w:val="auto"/>
              </w:rPr>
            </w:pPr>
            <w:r>
              <w:rPr>
                <w:rFonts w:ascii="Arial" w:cs="Arial" w:eastAsia="Arial" w:hAnsi="Arial"/>
                <w:sz w:val="17"/>
                <w:szCs w:val="17"/>
                <w:color w:val="0000EE"/>
              </w:rPr>
              <w:t>Report of the Audit and Risk Committee</w:t>
            </w:r>
          </w:p>
        </w:tc>
        <w:tc>
          <w:tcPr>
            <w:tcW w:w="4760" w:type="dxa"/>
            <w:vAlign w:val="bottom"/>
            <w:gridSpan w:val="13"/>
          </w:tcPr>
          <w:p>
            <w:pPr>
              <w:spacing w:after="0"/>
              <w:rPr>
                <w:sz w:val="24"/>
                <w:szCs w:val="24"/>
                <w:color w:val="auto"/>
              </w:rPr>
            </w:pPr>
          </w:p>
        </w:tc>
        <w:tc>
          <w:tcPr>
            <w:tcW w:w="200" w:type="dxa"/>
            <w:vAlign w:val="bottom"/>
            <w:gridSpan w:val="3"/>
          </w:tcPr>
          <w:p>
            <w:pPr>
              <w:jc w:val="right"/>
              <w:ind w:right="40"/>
              <w:spacing w:after="0"/>
              <w:rPr>
                <w:sz w:val="20"/>
                <w:szCs w:val="20"/>
                <w:color w:val="auto"/>
              </w:rPr>
            </w:pPr>
            <w:r>
              <w:rPr>
                <w:rFonts w:ascii="Arial" w:cs="Arial" w:eastAsia="Arial" w:hAnsi="Arial"/>
                <w:sz w:val="17"/>
                <w:szCs w:val="17"/>
                <w:color w:val="0000EE"/>
                <w:w w:val="73"/>
              </w:rPr>
              <w:t>73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80" w:type="dxa"/>
            <w:vAlign w:val="bottom"/>
            <w:gridSpan w:val="16"/>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740" w:type="dxa"/>
            <w:vAlign w:val="bottom"/>
            <w:tcBorders>
              <w:right w:val="single" w:sz="8" w:color="0000EE"/>
            </w:tcBorders>
            <w:gridSpan w:val="12"/>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4280" w:type="dxa"/>
            <w:vAlign w:val="bottom"/>
            <w:gridSpan w:val="18"/>
          </w:tcPr>
          <w:p>
            <w:pPr>
              <w:spacing w:after="0"/>
              <w:rPr>
                <w:sz w:val="20"/>
                <w:szCs w:val="20"/>
                <w:color w:val="auto"/>
              </w:rPr>
            </w:pPr>
            <w:r>
              <w:rPr>
                <w:rFonts w:ascii="Arial" w:cs="Arial" w:eastAsia="Arial" w:hAnsi="Arial"/>
                <w:sz w:val="17"/>
                <w:szCs w:val="17"/>
                <w:color w:val="0000EE"/>
              </w:rPr>
              <w:t>General Information About the Annual General Meeting</w:t>
            </w:r>
          </w:p>
        </w:tc>
        <w:tc>
          <w:tcPr>
            <w:tcW w:w="3740" w:type="dxa"/>
            <w:vAlign w:val="bottom"/>
            <w:gridSpan w:val="12"/>
          </w:tcPr>
          <w:p>
            <w:pPr>
              <w:spacing w:after="0"/>
              <w:rPr>
                <w:sz w:val="24"/>
                <w:szCs w:val="24"/>
                <w:color w:val="auto"/>
              </w:rPr>
            </w:pPr>
          </w:p>
        </w:tc>
        <w:tc>
          <w:tcPr>
            <w:tcW w:w="200" w:type="dxa"/>
            <w:vAlign w:val="bottom"/>
            <w:gridSpan w:val="3"/>
          </w:tcPr>
          <w:p>
            <w:pPr>
              <w:jc w:val="right"/>
              <w:ind w:right="40"/>
              <w:spacing w:after="0"/>
              <w:rPr>
                <w:sz w:val="20"/>
                <w:szCs w:val="20"/>
                <w:color w:val="auto"/>
              </w:rPr>
            </w:pPr>
            <w:r>
              <w:rPr>
                <w:rFonts w:ascii="Arial" w:cs="Arial" w:eastAsia="Arial" w:hAnsi="Arial"/>
                <w:sz w:val="17"/>
                <w:szCs w:val="17"/>
                <w:color w:val="0000EE"/>
                <w:w w:val="73"/>
              </w:rPr>
              <w:t>74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ind w:left="940"/>
        <w:spacing w:after="0"/>
        <w:rPr>
          <w:sz w:val="20"/>
          <w:szCs w:val="20"/>
          <w:color w:val="auto"/>
        </w:rPr>
      </w:pPr>
      <w:r>
        <w:rPr>
          <w:rFonts w:ascii="Arial" w:cs="Arial" w:eastAsia="Arial" w:hAnsi="Arial"/>
          <w:sz w:val="17"/>
          <w:szCs w:val="17"/>
          <w:u w:val="single" w:color="auto"/>
          <w:color w:val="0000EE"/>
        </w:rPr>
        <w:t>Appendix A: Non-GAAP Financial Measures</w:t>
      </w:r>
    </w:p>
    <w:p>
      <w:pPr>
        <w:spacing w:after="0" w:line="145" w:lineRule="exact"/>
        <w:rPr>
          <w:sz w:val="20"/>
          <w:szCs w:val="20"/>
          <w:color w:val="auto"/>
        </w:rPr>
      </w:pPr>
    </w:p>
    <w:p>
      <w:pPr>
        <w:ind w:left="940"/>
        <w:spacing w:after="0"/>
        <w:rPr>
          <w:sz w:val="20"/>
          <w:szCs w:val="20"/>
          <w:color w:val="auto"/>
        </w:rPr>
      </w:pPr>
      <w:r>
        <w:rPr>
          <w:rFonts w:ascii="Arial" w:cs="Arial" w:eastAsia="Arial" w:hAnsi="Arial"/>
          <w:sz w:val="17"/>
          <w:szCs w:val="17"/>
          <w:u w:val="single" w:color="auto"/>
          <w:color w:val="0000EE"/>
        </w:rPr>
        <w:t>Appendix B: Amendments to the Constitution</w:t>
      </w:r>
    </w:p>
    <w:p>
      <w:pPr>
        <w:spacing w:after="0" w:line="132" w:lineRule="exact"/>
        <w:rPr>
          <w:sz w:val="20"/>
          <w:szCs w:val="20"/>
          <w:color w:val="auto"/>
        </w:rPr>
      </w:pPr>
    </w:p>
    <w:p>
      <w:pPr>
        <w:ind w:left="940"/>
        <w:spacing w:after="0"/>
        <w:rPr>
          <w:sz w:val="20"/>
          <w:szCs w:val="20"/>
          <w:color w:val="auto"/>
        </w:rPr>
      </w:pPr>
      <w:r>
        <w:rPr>
          <w:rFonts w:ascii="Arial" w:cs="Arial" w:eastAsia="Arial" w:hAnsi="Arial"/>
          <w:sz w:val="17"/>
          <w:szCs w:val="17"/>
          <w:u w:val="single" w:color="auto"/>
          <w:color w:val="0000EE"/>
        </w:rPr>
        <w:t>Appendix C: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144145</wp:posOffset>
            </wp:positionV>
            <wp:extent cx="540385" cy="6318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940"/>
        <w:spacing w:after="0"/>
        <w:rPr>
          <w:sz w:val="20"/>
          <w:szCs w:val="20"/>
          <w:color w:val="auto"/>
        </w:rPr>
      </w:pPr>
      <w:r>
        <w:rPr>
          <w:rFonts w:ascii="Arial" w:cs="Arial" w:eastAsia="Arial" w:hAnsi="Arial"/>
          <w:sz w:val="35"/>
          <w:szCs w:val="35"/>
          <w:color w:val="77C483"/>
        </w:rPr>
        <w:t>Proxy Statement Summary Information</w:t>
      </w:r>
    </w:p>
    <w:p>
      <w:pPr>
        <w:spacing w:after="0" w:line="38" w:lineRule="exact"/>
        <w:rPr>
          <w:sz w:val="20"/>
          <w:szCs w:val="20"/>
          <w:color w:val="auto"/>
        </w:rPr>
      </w:pPr>
    </w:p>
    <w:p>
      <w:pPr>
        <w:ind w:left="940" w:right="900"/>
        <w:spacing w:after="0" w:line="243" w:lineRule="auto"/>
        <w:rPr>
          <w:sz w:val="20"/>
          <w:szCs w:val="20"/>
          <w:color w:val="auto"/>
        </w:rPr>
      </w:pPr>
      <w:r>
        <w:rPr>
          <w:rFonts w:ascii="Arial" w:cs="Arial" w:eastAsia="Arial" w:hAnsi="Arial"/>
          <w:sz w:val="17"/>
          <w:szCs w:val="17"/>
          <w:color w:val="003551"/>
        </w:rPr>
        <w:t>The following summary provides general information about IREN, and highlights information contained elsewhere in this proxy statement (“</w:t>
      </w:r>
      <w:r>
        <w:rPr>
          <w:rFonts w:ascii="Arial" w:cs="Arial" w:eastAsia="Arial" w:hAnsi="Arial"/>
          <w:sz w:val="17"/>
          <w:szCs w:val="17"/>
          <w:b w:val="1"/>
          <w:bCs w:val="1"/>
          <w:color w:val="003551"/>
        </w:rPr>
        <w:t>Proxy Statement</w:t>
      </w:r>
      <w:r>
        <w:rPr>
          <w:rFonts w:ascii="Arial" w:cs="Arial" w:eastAsia="Arial" w:hAnsi="Arial"/>
          <w:sz w:val="17"/>
          <w:szCs w:val="17"/>
          <w:color w:val="003551"/>
        </w:rPr>
        <w:t>”). This summary does not contain all of the information you should consider when deciding how to vote your shares. For further and more detailed information on the matters referenced below, prior to casting your vote, please carefully review the entire Proxy Statement and our Annual Report for the fiscal year ended June 30, 2025 (the “</w:t>
      </w:r>
      <w:r>
        <w:rPr>
          <w:rFonts w:ascii="Arial" w:cs="Arial" w:eastAsia="Arial" w:hAnsi="Arial"/>
          <w:sz w:val="17"/>
          <w:szCs w:val="17"/>
          <w:b w:val="1"/>
          <w:bCs w:val="1"/>
          <w:color w:val="003551"/>
        </w:rPr>
        <w:t>2025 Annual</w:t>
      </w:r>
      <w:r>
        <w:rPr>
          <w:rFonts w:ascii="Arial" w:cs="Arial" w:eastAsia="Arial" w:hAnsi="Arial"/>
          <w:sz w:val="17"/>
          <w:szCs w:val="17"/>
          <w:color w:val="003551"/>
        </w:rPr>
        <w:t xml:space="preserve"> </w:t>
      </w:r>
      <w:r>
        <w:rPr>
          <w:rFonts w:ascii="Arial" w:cs="Arial" w:eastAsia="Arial" w:hAnsi="Arial"/>
          <w:sz w:val="17"/>
          <w:szCs w:val="17"/>
          <w:b w:val="1"/>
          <w:bCs w:val="1"/>
          <w:color w:val="003551"/>
        </w:rPr>
        <w:t>Report</w:t>
      </w:r>
      <w:r>
        <w:rPr>
          <w:rFonts w:ascii="Arial" w:cs="Arial" w:eastAsia="Arial" w:hAnsi="Arial"/>
          <w:sz w:val="17"/>
          <w:szCs w:val="17"/>
          <w:color w:val="003551"/>
        </w:rPr>
        <w:t>”). The 2025 Annual Report accompanies this Proxy Statement and has been submitted with the</w:t>
      </w:r>
      <w:r>
        <w:rPr>
          <w:rFonts w:ascii="Arial" w:cs="Arial" w:eastAsia="Arial" w:hAnsi="Arial"/>
          <w:sz w:val="17"/>
          <w:szCs w:val="17"/>
          <w:b w:val="1"/>
          <w:bCs w:val="1"/>
          <w:color w:val="003551"/>
        </w:rPr>
        <w:t xml:space="preserve"> </w:t>
      </w:r>
      <w:r>
        <w:rPr>
          <w:rFonts w:ascii="Arial" w:cs="Arial" w:eastAsia="Arial" w:hAnsi="Arial"/>
          <w:sz w:val="17"/>
          <w:szCs w:val="17"/>
          <w:color w:val="003551"/>
        </w:rPr>
        <w:t>U.S. Securities and Exchange Commission (the “</w:t>
      </w:r>
      <w:r>
        <w:rPr>
          <w:rFonts w:ascii="Arial" w:cs="Arial" w:eastAsia="Arial" w:hAnsi="Arial"/>
          <w:sz w:val="17"/>
          <w:szCs w:val="17"/>
          <w:b w:val="1"/>
          <w:bCs w:val="1"/>
          <w:color w:val="003551"/>
        </w:rPr>
        <w:t>SEC</w:t>
      </w:r>
      <w:r>
        <w:rPr>
          <w:rFonts w:ascii="Arial" w:cs="Arial" w:eastAsia="Arial" w:hAnsi="Arial"/>
          <w:sz w:val="17"/>
          <w:szCs w:val="17"/>
          <w:color w:val="003551"/>
        </w:rPr>
        <w:t>”) on Form ARS. In this Proxy Statement, we reference various information and materials available on our corporate website. We have included our website address in this Proxy Statement as an inactive textual reference only. Information and materials on our website are not incorporated by reference in this Proxy Statement.</w:t>
      </w:r>
    </w:p>
    <w:p>
      <w:pPr>
        <w:spacing w:after="0" w:line="19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Forward-Looking Statements</w:t>
      </w:r>
    </w:p>
    <w:p>
      <w:pPr>
        <w:spacing w:after="0" w:line="41" w:lineRule="exact"/>
        <w:rPr>
          <w:sz w:val="20"/>
          <w:szCs w:val="20"/>
          <w:color w:val="auto"/>
        </w:rPr>
      </w:pPr>
    </w:p>
    <w:p>
      <w:pPr>
        <w:ind w:left="940" w:right="840"/>
        <w:spacing w:after="0" w:line="244" w:lineRule="auto"/>
        <w:rPr>
          <w:sz w:val="20"/>
          <w:szCs w:val="20"/>
          <w:color w:val="auto"/>
        </w:rPr>
      </w:pPr>
      <w:r>
        <w:rPr>
          <w:rFonts w:ascii="Arial" w:cs="Arial" w:eastAsia="Arial" w:hAnsi="Arial"/>
          <w:sz w:val="17"/>
          <w:szCs w:val="17"/>
          <w:color w:val="003551"/>
        </w:rPr>
        <w:t>This Proxy Statement contains forward-looking statements within the meaning of Section 27A of the Securities Act of 1933, as amended (the “</w:t>
      </w:r>
      <w:r>
        <w:rPr>
          <w:rFonts w:ascii="Arial" w:cs="Arial" w:eastAsia="Arial" w:hAnsi="Arial"/>
          <w:sz w:val="17"/>
          <w:szCs w:val="17"/>
          <w:b w:val="1"/>
          <w:bCs w:val="1"/>
          <w:color w:val="003551"/>
        </w:rPr>
        <w:t>Securities Act</w:t>
      </w:r>
      <w:r>
        <w:rPr>
          <w:rFonts w:ascii="Arial" w:cs="Arial" w:eastAsia="Arial" w:hAnsi="Arial"/>
          <w:sz w:val="17"/>
          <w:szCs w:val="17"/>
          <w:color w:val="003551"/>
        </w:rPr>
        <w:t>”) and Section 21E of the Securities Exchange Act of 1934, as amended (the “</w:t>
      </w:r>
      <w:r>
        <w:rPr>
          <w:rFonts w:ascii="Arial" w:cs="Arial" w:eastAsia="Arial" w:hAnsi="Arial"/>
          <w:sz w:val="17"/>
          <w:szCs w:val="17"/>
          <w:b w:val="1"/>
          <w:bCs w:val="1"/>
          <w:color w:val="003551"/>
        </w:rPr>
        <w:t>Exchange Act</w:t>
      </w:r>
      <w:r>
        <w:rPr>
          <w:rFonts w:ascii="Arial" w:cs="Arial" w:eastAsia="Arial" w:hAnsi="Arial"/>
          <w:sz w:val="17"/>
          <w:szCs w:val="17"/>
          <w:color w:val="003551"/>
        </w:rPr>
        <w:t>”), that involve substantial risks and uncertainties. Forward-looking statements include information concerning possible or assumed future results of operations, including descriptions of our business plan and strategies and trends we expect to affect our business. These statements often include words such as “anticipate,” “expect,” “suggest,” “plan,” “believe,” “intend,” “estimate,” “target,” “project,” “should,” “potential,” “could,” “would,” “may,” “will,” “forecast,” and other similar expressions.</w:t>
      </w:r>
    </w:p>
    <w:p>
      <w:pPr>
        <w:spacing w:after="0" w:line="71" w:lineRule="exact"/>
        <w:rPr>
          <w:sz w:val="20"/>
          <w:szCs w:val="20"/>
          <w:color w:val="auto"/>
        </w:rPr>
      </w:pPr>
    </w:p>
    <w:p>
      <w:pPr>
        <w:ind w:left="940" w:right="740"/>
        <w:spacing w:after="0" w:line="245" w:lineRule="auto"/>
        <w:rPr>
          <w:sz w:val="20"/>
          <w:szCs w:val="20"/>
          <w:color w:val="auto"/>
        </w:rPr>
      </w:pPr>
      <w:r>
        <w:rPr>
          <w:rFonts w:ascii="Arial" w:cs="Arial" w:eastAsia="Arial" w:hAnsi="Arial"/>
          <w:sz w:val="17"/>
          <w:szCs w:val="17"/>
          <w:color w:val="003551"/>
        </w:rPr>
        <w:t>We base these forward-looking statements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As you read and consider this note and the related proxy materials, you should understand that these statements are not guarantees of future performance or results. The forward-looking statements are subject to and involve risks, uncertainties and assumptions and you should not place undue reliance on these forward-looking statements. Although we believe that these forward-looking statements are based on reasonable assumptions at the time they are made, you should be aware that many factors could affect our actual financial results or results of operations and could cause actual results to differ materially from those expressed in the forward-looking statements. Factors that may materially affect such forward-looking statements include, but are not limited to, those set forth in our annual report on Form 10-K for the fiscal year ended June 30, 2025 (the “</w:t>
      </w:r>
      <w:r>
        <w:rPr>
          <w:rFonts w:ascii="Arial" w:cs="Arial" w:eastAsia="Arial" w:hAnsi="Arial"/>
          <w:sz w:val="17"/>
          <w:szCs w:val="17"/>
          <w:b w:val="1"/>
          <w:bCs w:val="1"/>
          <w:color w:val="003551"/>
        </w:rPr>
        <w:t>2025 Annual Report on</w:t>
      </w:r>
      <w:r>
        <w:rPr>
          <w:rFonts w:ascii="Arial" w:cs="Arial" w:eastAsia="Arial" w:hAnsi="Arial"/>
          <w:sz w:val="17"/>
          <w:szCs w:val="17"/>
          <w:color w:val="003551"/>
        </w:rPr>
        <w:t xml:space="preserve"> </w:t>
      </w:r>
      <w:r>
        <w:rPr>
          <w:rFonts w:ascii="Arial" w:cs="Arial" w:eastAsia="Arial" w:hAnsi="Arial"/>
          <w:sz w:val="17"/>
          <w:szCs w:val="17"/>
          <w:b w:val="1"/>
          <w:bCs w:val="1"/>
          <w:color w:val="003551"/>
        </w:rPr>
        <w:t>Form 10-K</w:t>
      </w:r>
      <w:r>
        <w:rPr>
          <w:rFonts w:ascii="Arial" w:cs="Arial" w:eastAsia="Arial" w:hAnsi="Arial"/>
          <w:sz w:val="17"/>
          <w:szCs w:val="17"/>
          <w:color w:val="003551"/>
        </w:rPr>
        <w:t>”) and our subsequent SEC filings.</w:t>
      </w:r>
    </w:p>
    <w:p>
      <w:pPr>
        <w:spacing w:after="0" w:line="65" w:lineRule="exact"/>
        <w:rPr>
          <w:sz w:val="20"/>
          <w:szCs w:val="20"/>
          <w:color w:val="auto"/>
        </w:rPr>
      </w:pPr>
    </w:p>
    <w:p>
      <w:pPr>
        <w:jc w:val="both"/>
        <w:ind w:left="940" w:right="760"/>
        <w:spacing w:after="0" w:line="251" w:lineRule="auto"/>
        <w:rPr>
          <w:sz w:val="20"/>
          <w:szCs w:val="20"/>
          <w:color w:val="auto"/>
        </w:rPr>
      </w:pPr>
      <w:r>
        <w:rPr>
          <w:rFonts w:ascii="Arial" w:cs="Arial" w:eastAsia="Arial" w:hAnsi="Arial"/>
          <w:sz w:val="17"/>
          <w:szCs w:val="17"/>
          <w:color w:val="003551"/>
        </w:rPr>
        <w:t>Forward-looking statements speak only as of the date on which they were made. Because forward-looking statements are inherently subject to risks and ‎uncertainties, some of which cannot be predicted or</w:t>
      </w:r>
    </w:p>
    <w:p>
      <w:pPr>
        <w:ind w:left="940" w:right="1040"/>
        <w:spacing w:after="0" w:line="241" w:lineRule="auto"/>
        <w:rPr>
          <w:sz w:val="20"/>
          <w:szCs w:val="20"/>
          <w:color w:val="auto"/>
        </w:rPr>
      </w:pPr>
      <w:r>
        <w:rPr>
          <w:rFonts w:ascii="Arial" w:cs="Arial" w:eastAsia="Arial" w:hAnsi="Arial"/>
          <w:sz w:val="17"/>
          <w:szCs w:val="17"/>
          <w:color w:val="003551"/>
        </w:rPr>
        <w:t>quantified and some of which are beyond our control, you should‎ not rely on these forward-looking statements as predictions of future events. Moreover, we operate in an ‎evolving environment. New risk</w:t>
      </w:r>
    </w:p>
    <w:p>
      <w:pPr>
        <w:jc w:val="both"/>
        <w:ind w:left="940" w:right="740"/>
        <w:spacing w:after="0" w:line="241" w:lineRule="auto"/>
        <w:rPr>
          <w:sz w:val="20"/>
          <w:szCs w:val="20"/>
          <w:color w:val="auto"/>
        </w:rPr>
      </w:pPr>
      <w:r>
        <w:rPr>
          <w:rFonts w:ascii="Arial" w:cs="Arial" w:eastAsia="Arial" w:hAnsi="Arial"/>
          <w:sz w:val="17"/>
          <w:szCs w:val="17"/>
          <w:color w:val="003551"/>
        </w:rPr>
        <w:t>factors and uncertainties may emerge from time to time, and it is not possible for management‎ to predict all risk factors and uncertainties. Except as required by applicable law, we do not plan to ‎publicly update or</w:t>
      </w:r>
    </w:p>
    <w:p>
      <w:pPr>
        <w:jc w:val="both"/>
        <w:ind w:left="940" w:right="760"/>
        <w:spacing w:after="0" w:line="252" w:lineRule="auto"/>
        <w:rPr>
          <w:sz w:val="20"/>
          <w:szCs w:val="20"/>
          <w:color w:val="auto"/>
        </w:rPr>
      </w:pPr>
      <w:r>
        <w:rPr>
          <w:rFonts w:ascii="Arial" w:cs="Arial" w:eastAsia="Arial" w:hAnsi="Arial"/>
          <w:sz w:val="17"/>
          <w:szCs w:val="17"/>
          <w:color w:val="003551"/>
        </w:rPr>
        <w:t>revise any forward-looking statements, whether as a result of any new information, future events,‎ changed circumstances or otherwise. You should read this Proxy Statement completely and with the understanding that our actual future results may be materially ‎different from what we expect.</w:t>
      </w:r>
    </w:p>
    <w:p>
      <w:pPr>
        <w:spacing w:after="0" w:line="18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Non-Voting Matters</w:t>
      </w:r>
    </w:p>
    <w:p>
      <w:pPr>
        <w:spacing w:after="0" w:line="41" w:lineRule="exact"/>
        <w:rPr>
          <w:sz w:val="20"/>
          <w:szCs w:val="20"/>
          <w:color w:val="auto"/>
        </w:rPr>
      </w:pPr>
    </w:p>
    <w:p>
      <w:pPr>
        <w:jc w:val="both"/>
        <w:ind w:left="940" w:right="940"/>
        <w:spacing w:after="0" w:line="257" w:lineRule="auto"/>
        <w:rPr>
          <w:sz w:val="20"/>
          <w:szCs w:val="20"/>
          <w:color w:val="auto"/>
        </w:rPr>
      </w:pPr>
      <w:r>
        <w:rPr>
          <w:rFonts w:ascii="Arial" w:cs="Arial" w:eastAsia="Arial" w:hAnsi="Arial"/>
          <w:sz w:val="17"/>
          <w:szCs w:val="17"/>
          <w:color w:val="003551"/>
        </w:rPr>
        <w:t>At the AGM, you will be asked to receive and consider the following reports for the year ended June 30, 2025: (i) the annual financial report prepared under Chapter 2M of the Corporations Act 2001 (Australia) (the “</w:t>
      </w:r>
      <w:r>
        <w:rPr>
          <w:rFonts w:ascii="Arial" w:cs="Arial" w:eastAsia="Arial" w:hAnsi="Arial"/>
          <w:sz w:val="17"/>
          <w:szCs w:val="17"/>
          <w:b w:val="1"/>
          <w:bCs w:val="1"/>
          <w:color w:val="003551"/>
        </w:rPr>
        <w:t>Corporations Act</w:t>
      </w:r>
      <w:r>
        <w:rPr>
          <w:rFonts w:ascii="Arial" w:cs="Arial" w:eastAsia="Arial" w:hAnsi="Arial"/>
          <w:sz w:val="17"/>
          <w:szCs w:val="17"/>
          <w:color w:val="003551"/>
        </w:rPr>
        <w:t>”) for IREN and its controlled entities (the “</w:t>
      </w:r>
      <w:r>
        <w:rPr>
          <w:rFonts w:ascii="Arial" w:cs="Arial" w:eastAsia="Arial" w:hAnsi="Arial"/>
          <w:sz w:val="17"/>
          <w:szCs w:val="17"/>
          <w:b w:val="1"/>
          <w:bCs w:val="1"/>
          <w:color w:val="003551"/>
        </w:rPr>
        <w:t>Financial Report</w:t>
      </w:r>
      <w:r>
        <w:rPr>
          <w:rFonts w:ascii="Arial" w:cs="Arial" w:eastAsia="Arial" w:hAnsi="Arial"/>
          <w:sz w:val="17"/>
          <w:szCs w:val="17"/>
          <w:color w:val="003551"/>
        </w:rPr>
        <w:t>”); (ii) the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109220</wp:posOffset>
            </wp:positionV>
            <wp:extent cx="540385" cy="6318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40" w:right="900"/>
        <w:spacing w:after="0" w:line="267" w:lineRule="auto"/>
        <w:rPr>
          <w:sz w:val="20"/>
          <w:szCs w:val="20"/>
          <w:color w:val="auto"/>
        </w:rPr>
      </w:pPr>
      <w:r>
        <w:rPr>
          <w:rFonts w:ascii="Arial" w:cs="Arial" w:eastAsia="Arial" w:hAnsi="Arial"/>
          <w:sz w:val="17"/>
          <w:szCs w:val="17"/>
          <w:color w:val="003551"/>
        </w:rPr>
        <w:t>directors’ report prepared under Chapter 2M of the Corporations Act for IREN and its controlled entities (the “</w:t>
      </w:r>
      <w:r>
        <w:rPr>
          <w:rFonts w:ascii="Arial" w:cs="Arial" w:eastAsia="Arial" w:hAnsi="Arial"/>
          <w:sz w:val="17"/>
          <w:szCs w:val="17"/>
          <w:b w:val="1"/>
          <w:bCs w:val="1"/>
          <w:color w:val="003551"/>
        </w:rPr>
        <w:t>Directors’ Report</w:t>
      </w:r>
      <w:r>
        <w:rPr>
          <w:rFonts w:ascii="Arial" w:cs="Arial" w:eastAsia="Arial" w:hAnsi="Arial"/>
          <w:sz w:val="17"/>
          <w:szCs w:val="17"/>
          <w:color w:val="003551"/>
        </w:rPr>
        <w:t xml:space="preserve">”); and (iii) the Australian statutory auditor’s report prepared by IREN’s Australian statutory auditor for IREN and its controlled entities (the </w:t>
      </w:r>
      <w:r>
        <w:rPr>
          <w:rFonts w:ascii="Arial" w:cs="Arial" w:eastAsia="Arial" w:hAnsi="Arial"/>
          <w:sz w:val="17"/>
          <w:szCs w:val="17"/>
          <w:b w:val="1"/>
          <w:bCs w:val="1"/>
          <w:color w:val="003551"/>
        </w:rPr>
        <w:t>“Auditor’s Report</w:t>
      </w:r>
      <w:r>
        <w:rPr>
          <w:rFonts w:ascii="Arial" w:cs="Arial" w:eastAsia="Arial" w:hAnsi="Arial"/>
          <w:sz w:val="17"/>
          <w:szCs w:val="17"/>
          <w:color w:val="003551"/>
        </w:rPr>
        <w:t>”).</w:t>
      </w:r>
    </w:p>
    <w:p>
      <w:pPr>
        <w:spacing w:after="0" w:line="42" w:lineRule="exact"/>
        <w:rPr>
          <w:sz w:val="20"/>
          <w:szCs w:val="20"/>
          <w:color w:val="auto"/>
        </w:rPr>
      </w:pPr>
    </w:p>
    <w:p>
      <w:pPr>
        <w:ind w:left="940" w:right="900"/>
        <w:spacing w:after="0" w:line="255" w:lineRule="auto"/>
        <w:rPr>
          <w:sz w:val="20"/>
          <w:szCs w:val="20"/>
          <w:color w:val="auto"/>
        </w:rPr>
      </w:pPr>
      <w:r>
        <w:rPr>
          <w:rFonts w:ascii="Arial" w:cs="Arial" w:eastAsia="Arial" w:hAnsi="Arial"/>
          <w:sz w:val="17"/>
          <w:szCs w:val="17"/>
          <w:color w:val="003551"/>
        </w:rPr>
        <w:t>Please note that this item does not require a formal resolution to be put to the AGM and accordingly no vote will be held. However, shareholders may ask questions on the matters contained in such reports. Shareholders will also be able to ask questions of IREN’s Australian statutory auditor, who will attend the AGM.</w:t>
      </w:r>
    </w:p>
    <w:p>
      <w:pPr>
        <w:spacing w:after="0" w:line="17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Voting Matters and Recommendations</w:t>
      </w:r>
    </w:p>
    <w:p>
      <w:pPr>
        <w:spacing w:after="0" w:line="64"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At the AGM, you will be asked to vote upon the following proposals:</w:t>
      </w:r>
    </w:p>
    <w:p>
      <w:pPr>
        <w:spacing w:after="0" w:line="162" w:lineRule="exact"/>
        <w:rPr>
          <w:sz w:val="20"/>
          <w:szCs w:val="20"/>
          <w:color w:val="auto"/>
        </w:rPr>
      </w:pPr>
    </w:p>
    <w:tbl>
      <w:tblPr>
        <w:tblLayout w:type="fixed"/>
        <w:tblInd w:w="940" w:type="dxa"/>
        <w:tblCellMar>
          <w:top w:w="0" w:type="dxa"/>
          <w:left w:w="0" w:type="dxa"/>
          <w:bottom w:w="0" w:type="dxa"/>
          <w:right w:w="0" w:type="dxa"/>
        </w:tblCellMar>
      </w:tblPr>
      <w:tr>
        <w:trPr>
          <w:trHeight w:val="335"/>
        </w:trPr>
        <w:tc>
          <w:tcPr>
            <w:tcW w:w="6700" w:type="dxa"/>
            <w:vAlign w:val="bottom"/>
            <w:shd w:val="clear" w:color="auto" w:fill="77C483"/>
          </w:tcPr>
          <w:p>
            <w:pPr>
              <w:spacing w:after="0"/>
              <w:rPr>
                <w:sz w:val="24"/>
                <w:szCs w:val="24"/>
                <w:color w:val="auto"/>
              </w:rPr>
            </w:pPr>
          </w:p>
        </w:tc>
        <w:tc>
          <w:tcPr>
            <w:tcW w:w="1680" w:type="dxa"/>
            <w:vAlign w:val="bottom"/>
            <w:shd w:val="clear" w:color="auto" w:fill="77C483"/>
          </w:tcPr>
          <w:p>
            <w:pPr>
              <w:ind w:left="120"/>
              <w:spacing w:after="0"/>
              <w:rPr>
                <w:sz w:val="20"/>
                <w:szCs w:val="20"/>
                <w:color w:val="auto"/>
              </w:rPr>
            </w:pPr>
            <w:r>
              <w:rPr>
                <w:rFonts w:ascii="Arial" w:cs="Arial" w:eastAsia="Arial" w:hAnsi="Arial"/>
                <w:sz w:val="17"/>
                <w:szCs w:val="17"/>
                <w:b w:val="1"/>
                <w:bCs w:val="1"/>
                <w:color w:val="003551"/>
              </w:rPr>
              <w:t>Board’s</w:t>
            </w:r>
          </w:p>
        </w:tc>
      </w:tr>
      <w:tr>
        <w:trPr>
          <w:trHeight w:val="240"/>
        </w:trPr>
        <w:tc>
          <w:tcPr>
            <w:tcW w:w="6700" w:type="dxa"/>
            <w:vAlign w:val="bottom"/>
            <w:shd w:val="clear" w:color="auto" w:fill="77C483"/>
          </w:tcPr>
          <w:p>
            <w:pPr>
              <w:ind w:left="160"/>
              <w:spacing w:after="0"/>
              <w:rPr>
                <w:sz w:val="20"/>
                <w:szCs w:val="20"/>
                <w:color w:val="auto"/>
              </w:rPr>
            </w:pPr>
            <w:r>
              <w:rPr>
                <w:rFonts w:ascii="Arial" w:cs="Arial" w:eastAsia="Arial" w:hAnsi="Arial"/>
                <w:sz w:val="17"/>
                <w:szCs w:val="17"/>
                <w:b w:val="1"/>
                <w:bCs w:val="1"/>
                <w:color w:val="003551"/>
              </w:rPr>
              <w:t>Proposal</w:t>
            </w:r>
          </w:p>
        </w:tc>
        <w:tc>
          <w:tcPr>
            <w:tcW w:w="1680" w:type="dxa"/>
            <w:vAlign w:val="bottom"/>
            <w:shd w:val="clear" w:color="auto" w:fill="77C483"/>
          </w:tcPr>
          <w:p>
            <w:pPr>
              <w:ind w:left="120"/>
              <w:spacing w:after="0"/>
              <w:rPr>
                <w:sz w:val="20"/>
                <w:szCs w:val="20"/>
                <w:color w:val="auto"/>
              </w:rPr>
            </w:pPr>
            <w:r>
              <w:rPr>
                <w:rFonts w:ascii="Arial" w:cs="Arial" w:eastAsia="Arial" w:hAnsi="Arial"/>
                <w:sz w:val="17"/>
                <w:szCs w:val="17"/>
                <w:b w:val="1"/>
                <w:bCs w:val="1"/>
                <w:color w:val="003551"/>
              </w:rPr>
              <w:t>Recommendation</w:t>
            </w:r>
          </w:p>
        </w:tc>
      </w:tr>
      <w:tr>
        <w:trPr>
          <w:trHeight w:val="93"/>
        </w:trPr>
        <w:tc>
          <w:tcPr>
            <w:tcW w:w="6700" w:type="dxa"/>
            <w:vAlign w:val="bottom"/>
            <w:tcBorders>
              <w:bottom w:val="single" w:sz="8" w:color="003551"/>
            </w:tcBorders>
            <w:shd w:val="clear" w:color="auto" w:fill="77C483"/>
          </w:tcPr>
          <w:p>
            <w:pPr>
              <w:spacing w:after="0"/>
              <w:rPr>
                <w:sz w:val="8"/>
                <w:szCs w:val="8"/>
                <w:color w:val="auto"/>
              </w:rPr>
            </w:pPr>
          </w:p>
        </w:tc>
        <w:tc>
          <w:tcPr>
            <w:tcW w:w="1680" w:type="dxa"/>
            <w:vAlign w:val="bottom"/>
            <w:tcBorders>
              <w:bottom w:val="single" w:sz="8" w:color="003551"/>
            </w:tcBorders>
            <w:shd w:val="clear" w:color="auto" w:fill="77C483"/>
          </w:tcPr>
          <w:p>
            <w:pPr>
              <w:spacing w:after="0"/>
              <w:rPr>
                <w:sz w:val="8"/>
                <w:szCs w:val="8"/>
                <w:color w:val="auto"/>
              </w:rPr>
            </w:pPr>
          </w:p>
        </w:tc>
      </w:tr>
      <w:tr>
        <w:trPr>
          <w:trHeight w:val="291"/>
        </w:trPr>
        <w:tc>
          <w:tcPr>
            <w:tcW w:w="6700" w:type="dxa"/>
            <w:vAlign w:val="bottom"/>
          </w:tcPr>
          <w:p>
            <w:pPr>
              <w:ind w:left="160"/>
              <w:spacing w:after="0"/>
              <w:rPr>
                <w:sz w:val="20"/>
                <w:szCs w:val="20"/>
                <w:color w:val="auto"/>
              </w:rPr>
            </w:pPr>
            <w:r>
              <w:rPr>
                <w:rFonts w:ascii="Arial" w:cs="Arial" w:eastAsia="Arial" w:hAnsi="Arial"/>
                <w:sz w:val="17"/>
                <w:szCs w:val="17"/>
                <w:b w:val="1"/>
                <w:bCs w:val="1"/>
                <w:color w:val="003551"/>
              </w:rPr>
              <w:t xml:space="preserve">Proposal 1: </w:t>
            </w:r>
            <w:r>
              <w:rPr>
                <w:rFonts w:ascii="Arial" w:cs="Arial" w:eastAsia="Arial" w:hAnsi="Arial"/>
                <w:sz w:val="17"/>
                <w:szCs w:val="17"/>
                <w:color w:val="003551"/>
              </w:rPr>
              <w:t>Approve an amendment to IREN’s constitution to align the quorum</w:t>
            </w:r>
          </w:p>
        </w:tc>
        <w:tc>
          <w:tcPr>
            <w:tcW w:w="1680" w:type="dxa"/>
            <w:vAlign w:val="bottom"/>
          </w:tcPr>
          <w:p>
            <w:pPr>
              <w:ind w:left="120"/>
              <w:spacing w:after="0"/>
              <w:rPr>
                <w:sz w:val="20"/>
                <w:szCs w:val="20"/>
                <w:color w:val="auto"/>
              </w:rPr>
            </w:pPr>
            <w:r>
              <w:rPr>
                <w:rFonts w:ascii="Arial" w:cs="Arial" w:eastAsia="Arial" w:hAnsi="Arial"/>
                <w:sz w:val="17"/>
                <w:szCs w:val="17"/>
                <w:color w:val="003551"/>
              </w:rPr>
              <w:t>FOR</w:t>
            </w:r>
          </w:p>
        </w:tc>
      </w:tr>
      <w:tr>
        <w:trPr>
          <w:trHeight w:val="230"/>
        </w:trPr>
        <w:tc>
          <w:tcPr>
            <w:tcW w:w="6700" w:type="dxa"/>
            <w:vAlign w:val="bottom"/>
          </w:tcPr>
          <w:p>
            <w:pPr>
              <w:ind w:left="340"/>
              <w:spacing w:after="0"/>
              <w:rPr>
                <w:sz w:val="20"/>
                <w:szCs w:val="20"/>
                <w:color w:val="auto"/>
              </w:rPr>
            </w:pPr>
            <w:r>
              <w:rPr>
                <w:rFonts w:ascii="Arial" w:cs="Arial" w:eastAsia="Arial" w:hAnsi="Arial"/>
                <w:sz w:val="17"/>
                <w:szCs w:val="17"/>
                <w:color w:val="003551"/>
              </w:rPr>
              <w:t>requirement to conduct shareholder meetings with Nasdaq rules</w:t>
            </w:r>
          </w:p>
        </w:tc>
        <w:tc>
          <w:tcPr>
            <w:tcW w:w="1680" w:type="dxa"/>
            <w:vAlign w:val="bottom"/>
          </w:tcPr>
          <w:p>
            <w:pPr>
              <w:spacing w:after="0"/>
              <w:rPr>
                <w:sz w:val="20"/>
                <w:szCs w:val="20"/>
                <w:color w:val="auto"/>
              </w:rPr>
            </w:pPr>
          </w:p>
        </w:tc>
      </w:tr>
      <w:tr>
        <w:trPr>
          <w:trHeight w:val="399"/>
        </w:trPr>
        <w:tc>
          <w:tcPr>
            <w:tcW w:w="6700" w:type="dxa"/>
            <w:vAlign w:val="bottom"/>
          </w:tcPr>
          <w:p>
            <w:pPr>
              <w:ind w:left="160"/>
              <w:spacing w:after="0"/>
              <w:rPr>
                <w:sz w:val="20"/>
                <w:szCs w:val="20"/>
                <w:color w:val="auto"/>
              </w:rPr>
            </w:pPr>
            <w:r>
              <w:rPr>
                <w:rFonts w:ascii="Arial" w:cs="Arial" w:eastAsia="Arial" w:hAnsi="Arial"/>
                <w:sz w:val="17"/>
                <w:szCs w:val="17"/>
                <w:b w:val="1"/>
                <w:bCs w:val="1"/>
                <w:color w:val="003551"/>
              </w:rPr>
              <w:t xml:space="preserve">Proposal 2: </w:t>
            </w:r>
            <w:r>
              <w:rPr>
                <w:rFonts w:ascii="Arial" w:cs="Arial" w:eastAsia="Arial" w:hAnsi="Arial"/>
                <w:sz w:val="17"/>
                <w:szCs w:val="17"/>
                <w:color w:val="003551"/>
              </w:rPr>
              <w:t>Approve an amendment to IREN’s constitution to provide for director</w:t>
            </w:r>
          </w:p>
        </w:tc>
        <w:tc>
          <w:tcPr>
            <w:tcW w:w="1680" w:type="dxa"/>
            <w:vAlign w:val="bottom"/>
          </w:tcPr>
          <w:p>
            <w:pPr>
              <w:ind w:left="120"/>
              <w:spacing w:after="0"/>
              <w:rPr>
                <w:sz w:val="20"/>
                <w:szCs w:val="20"/>
                <w:color w:val="auto"/>
              </w:rPr>
            </w:pPr>
            <w:r>
              <w:rPr>
                <w:rFonts w:ascii="Arial" w:cs="Arial" w:eastAsia="Arial" w:hAnsi="Arial"/>
                <w:sz w:val="17"/>
                <w:szCs w:val="17"/>
                <w:color w:val="003551"/>
              </w:rPr>
              <w:t>FOR</w:t>
            </w:r>
          </w:p>
        </w:tc>
      </w:tr>
      <w:tr>
        <w:trPr>
          <w:trHeight w:val="230"/>
        </w:trPr>
        <w:tc>
          <w:tcPr>
            <w:tcW w:w="6700" w:type="dxa"/>
            <w:vAlign w:val="bottom"/>
          </w:tcPr>
          <w:p>
            <w:pPr>
              <w:ind w:left="340"/>
              <w:spacing w:after="0"/>
              <w:rPr>
                <w:sz w:val="20"/>
                <w:szCs w:val="20"/>
                <w:color w:val="auto"/>
              </w:rPr>
            </w:pPr>
            <w:r>
              <w:rPr>
                <w:rFonts w:ascii="Arial" w:cs="Arial" w:eastAsia="Arial" w:hAnsi="Arial"/>
                <w:sz w:val="17"/>
                <w:szCs w:val="17"/>
                <w:color w:val="003551"/>
              </w:rPr>
              <w:t>elections at each annual general meeting</w:t>
            </w:r>
          </w:p>
        </w:tc>
        <w:tc>
          <w:tcPr>
            <w:tcW w:w="1680" w:type="dxa"/>
            <w:vAlign w:val="bottom"/>
          </w:tcPr>
          <w:p>
            <w:pPr>
              <w:spacing w:after="0"/>
              <w:rPr>
                <w:sz w:val="20"/>
                <w:szCs w:val="20"/>
                <w:color w:val="auto"/>
              </w:rPr>
            </w:pPr>
          </w:p>
        </w:tc>
      </w:tr>
      <w:tr>
        <w:trPr>
          <w:trHeight w:val="399"/>
        </w:trPr>
        <w:tc>
          <w:tcPr>
            <w:tcW w:w="6700" w:type="dxa"/>
            <w:vAlign w:val="bottom"/>
          </w:tcPr>
          <w:p>
            <w:pPr>
              <w:ind w:left="160"/>
              <w:spacing w:after="0"/>
              <w:rPr>
                <w:sz w:val="20"/>
                <w:szCs w:val="20"/>
                <w:color w:val="auto"/>
              </w:rPr>
            </w:pPr>
            <w:r>
              <w:rPr>
                <w:rFonts w:ascii="Arial" w:cs="Arial" w:eastAsia="Arial" w:hAnsi="Arial"/>
                <w:sz w:val="17"/>
                <w:szCs w:val="17"/>
                <w:b w:val="1"/>
                <w:bCs w:val="1"/>
                <w:color w:val="003551"/>
              </w:rPr>
              <w:t xml:space="preserve">Proposal 3: </w:t>
            </w:r>
            <w:r>
              <w:rPr>
                <w:rFonts w:ascii="Arial" w:cs="Arial" w:eastAsia="Arial" w:hAnsi="Arial"/>
                <w:sz w:val="17"/>
                <w:szCs w:val="17"/>
                <w:color w:val="003551"/>
              </w:rPr>
              <w:t>Approve an amendment to IREN’s constitution to add a forum</w:t>
            </w:r>
          </w:p>
        </w:tc>
        <w:tc>
          <w:tcPr>
            <w:tcW w:w="1680" w:type="dxa"/>
            <w:vAlign w:val="bottom"/>
          </w:tcPr>
          <w:p>
            <w:pPr>
              <w:ind w:left="120"/>
              <w:spacing w:after="0"/>
              <w:rPr>
                <w:sz w:val="20"/>
                <w:szCs w:val="20"/>
                <w:color w:val="auto"/>
              </w:rPr>
            </w:pPr>
            <w:r>
              <w:rPr>
                <w:rFonts w:ascii="Arial" w:cs="Arial" w:eastAsia="Arial" w:hAnsi="Arial"/>
                <w:sz w:val="17"/>
                <w:szCs w:val="17"/>
                <w:color w:val="003551"/>
              </w:rPr>
              <w:t>FOR</w:t>
            </w:r>
          </w:p>
        </w:tc>
      </w:tr>
      <w:tr>
        <w:trPr>
          <w:trHeight w:val="230"/>
        </w:trPr>
        <w:tc>
          <w:tcPr>
            <w:tcW w:w="6700" w:type="dxa"/>
            <w:vAlign w:val="bottom"/>
          </w:tcPr>
          <w:p>
            <w:pPr>
              <w:ind w:left="340"/>
              <w:spacing w:after="0"/>
              <w:rPr>
                <w:sz w:val="20"/>
                <w:szCs w:val="20"/>
                <w:color w:val="auto"/>
              </w:rPr>
            </w:pPr>
            <w:r>
              <w:rPr>
                <w:rFonts w:ascii="Arial" w:cs="Arial" w:eastAsia="Arial" w:hAnsi="Arial"/>
                <w:sz w:val="17"/>
                <w:szCs w:val="17"/>
                <w:color w:val="003551"/>
              </w:rPr>
              <w:t>selection provision</w:t>
            </w:r>
          </w:p>
        </w:tc>
        <w:tc>
          <w:tcPr>
            <w:tcW w:w="1680" w:type="dxa"/>
            <w:vAlign w:val="bottom"/>
          </w:tcPr>
          <w:p>
            <w:pPr>
              <w:spacing w:after="0"/>
              <w:rPr>
                <w:sz w:val="20"/>
                <w:szCs w:val="20"/>
                <w:color w:val="auto"/>
              </w:rPr>
            </w:pPr>
          </w:p>
        </w:tc>
      </w:tr>
      <w:tr>
        <w:trPr>
          <w:trHeight w:val="399"/>
        </w:trPr>
        <w:tc>
          <w:tcPr>
            <w:tcW w:w="6700" w:type="dxa"/>
            <w:vAlign w:val="bottom"/>
          </w:tcPr>
          <w:p>
            <w:pPr>
              <w:ind w:left="160"/>
              <w:spacing w:after="0"/>
              <w:rPr>
                <w:sz w:val="20"/>
                <w:szCs w:val="20"/>
                <w:color w:val="auto"/>
              </w:rPr>
            </w:pPr>
            <w:r>
              <w:rPr>
                <w:rFonts w:ascii="Arial" w:cs="Arial" w:eastAsia="Arial" w:hAnsi="Arial"/>
                <w:sz w:val="17"/>
                <w:szCs w:val="17"/>
                <w:b w:val="1"/>
                <w:bCs w:val="1"/>
                <w:color w:val="003551"/>
              </w:rPr>
              <w:t xml:space="preserve">Proposal 4: </w:t>
            </w:r>
            <w:r>
              <w:rPr>
                <w:rFonts w:ascii="Arial" w:cs="Arial" w:eastAsia="Arial" w:hAnsi="Arial"/>
                <w:sz w:val="17"/>
                <w:szCs w:val="17"/>
                <w:color w:val="003551"/>
              </w:rPr>
              <w:t>Approve an amendment to IREN’s constitution to update the advance</w:t>
            </w:r>
          </w:p>
        </w:tc>
        <w:tc>
          <w:tcPr>
            <w:tcW w:w="1680" w:type="dxa"/>
            <w:vAlign w:val="bottom"/>
          </w:tcPr>
          <w:p>
            <w:pPr>
              <w:ind w:left="120"/>
              <w:spacing w:after="0"/>
              <w:rPr>
                <w:sz w:val="20"/>
                <w:szCs w:val="20"/>
                <w:color w:val="auto"/>
              </w:rPr>
            </w:pPr>
            <w:r>
              <w:rPr>
                <w:rFonts w:ascii="Arial" w:cs="Arial" w:eastAsia="Arial" w:hAnsi="Arial"/>
                <w:sz w:val="17"/>
                <w:szCs w:val="17"/>
                <w:color w:val="003551"/>
              </w:rPr>
              <w:t>FOR</w:t>
            </w:r>
          </w:p>
        </w:tc>
      </w:tr>
      <w:tr>
        <w:trPr>
          <w:trHeight w:val="230"/>
        </w:trPr>
        <w:tc>
          <w:tcPr>
            <w:tcW w:w="6700" w:type="dxa"/>
            <w:vAlign w:val="bottom"/>
          </w:tcPr>
          <w:p>
            <w:pPr>
              <w:ind w:left="340"/>
              <w:spacing w:after="0"/>
              <w:rPr>
                <w:sz w:val="20"/>
                <w:szCs w:val="20"/>
                <w:color w:val="auto"/>
              </w:rPr>
            </w:pPr>
            <w:r>
              <w:rPr>
                <w:rFonts w:ascii="Arial" w:cs="Arial" w:eastAsia="Arial" w:hAnsi="Arial"/>
                <w:sz w:val="17"/>
                <w:szCs w:val="17"/>
                <w:color w:val="003551"/>
              </w:rPr>
              <w:t>notice provisions for universal proxies</w:t>
            </w:r>
          </w:p>
        </w:tc>
        <w:tc>
          <w:tcPr>
            <w:tcW w:w="1680" w:type="dxa"/>
            <w:vAlign w:val="bottom"/>
          </w:tcPr>
          <w:p>
            <w:pPr>
              <w:spacing w:after="0"/>
              <w:rPr>
                <w:sz w:val="20"/>
                <w:szCs w:val="20"/>
                <w:color w:val="auto"/>
              </w:rPr>
            </w:pPr>
          </w:p>
        </w:tc>
      </w:tr>
      <w:tr>
        <w:trPr>
          <w:trHeight w:val="399"/>
        </w:trPr>
        <w:tc>
          <w:tcPr>
            <w:tcW w:w="6700" w:type="dxa"/>
            <w:vAlign w:val="bottom"/>
          </w:tcPr>
          <w:p>
            <w:pPr>
              <w:ind w:left="160"/>
              <w:spacing w:after="0"/>
              <w:rPr>
                <w:sz w:val="20"/>
                <w:szCs w:val="20"/>
                <w:color w:val="auto"/>
              </w:rPr>
            </w:pPr>
            <w:r>
              <w:rPr>
                <w:rFonts w:ascii="Arial" w:cs="Arial" w:eastAsia="Arial" w:hAnsi="Arial"/>
                <w:sz w:val="17"/>
                <w:szCs w:val="17"/>
                <w:b w:val="1"/>
                <w:bCs w:val="1"/>
                <w:color w:val="003551"/>
              </w:rPr>
              <w:t xml:space="preserve">Proposal 5: </w:t>
            </w:r>
            <w:r>
              <w:rPr>
                <w:rFonts w:ascii="Arial" w:cs="Arial" w:eastAsia="Arial" w:hAnsi="Arial"/>
                <w:sz w:val="17"/>
                <w:szCs w:val="17"/>
                <w:color w:val="003551"/>
              </w:rPr>
              <w:t>Approve amendments to IREN’s constitution to implement</w:t>
            </w:r>
          </w:p>
        </w:tc>
        <w:tc>
          <w:tcPr>
            <w:tcW w:w="1680" w:type="dxa"/>
            <w:vAlign w:val="bottom"/>
          </w:tcPr>
          <w:p>
            <w:pPr>
              <w:ind w:left="120"/>
              <w:spacing w:after="0"/>
              <w:rPr>
                <w:sz w:val="20"/>
                <w:szCs w:val="20"/>
                <w:color w:val="auto"/>
              </w:rPr>
            </w:pPr>
            <w:r>
              <w:rPr>
                <w:rFonts w:ascii="Arial" w:cs="Arial" w:eastAsia="Arial" w:hAnsi="Arial"/>
                <w:sz w:val="17"/>
                <w:szCs w:val="17"/>
                <w:color w:val="003551"/>
              </w:rPr>
              <w:t>FOR</w:t>
            </w:r>
          </w:p>
        </w:tc>
      </w:tr>
      <w:tr>
        <w:trPr>
          <w:trHeight w:val="230"/>
        </w:trPr>
        <w:tc>
          <w:tcPr>
            <w:tcW w:w="6700" w:type="dxa"/>
            <w:vAlign w:val="bottom"/>
          </w:tcPr>
          <w:p>
            <w:pPr>
              <w:ind w:left="340"/>
              <w:spacing w:after="0"/>
              <w:rPr>
                <w:sz w:val="20"/>
                <w:szCs w:val="20"/>
                <w:color w:val="auto"/>
              </w:rPr>
            </w:pPr>
            <w:r>
              <w:rPr>
                <w:rFonts w:ascii="Arial" w:cs="Arial" w:eastAsia="Arial" w:hAnsi="Arial"/>
                <w:sz w:val="17"/>
                <w:szCs w:val="17"/>
                <w:color w:val="003551"/>
              </w:rPr>
              <w:t>miscellaneous changes</w:t>
            </w:r>
          </w:p>
        </w:tc>
        <w:tc>
          <w:tcPr>
            <w:tcW w:w="1680" w:type="dxa"/>
            <w:vAlign w:val="bottom"/>
          </w:tcPr>
          <w:p>
            <w:pPr>
              <w:spacing w:after="0"/>
              <w:rPr>
                <w:sz w:val="20"/>
                <w:szCs w:val="20"/>
                <w:color w:val="auto"/>
              </w:rPr>
            </w:pPr>
          </w:p>
        </w:tc>
      </w:tr>
      <w:tr>
        <w:trPr>
          <w:trHeight w:val="399"/>
        </w:trPr>
        <w:tc>
          <w:tcPr>
            <w:tcW w:w="6700" w:type="dxa"/>
            <w:vAlign w:val="bottom"/>
          </w:tcPr>
          <w:p>
            <w:pPr>
              <w:ind w:left="160"/>
              <w:spacing w:after="0"/>
              <w:rPr>
                <w:sz w:val="20"/>
                <w:szCs w:val="20"/>
                <w:color w:val="auto"/>
              </w:rPr>
            </w:pPr>
            <w:r>
              <w:rPr>
                <w:rFonts w:ascii="Arial" w:cs="Arial" w:eastAsia="Arial" w:hAnsi="Arial"/>
                <w:sz w:val="17"/>
                <w:szCs w:val="17"/>
                <w:b w:val="1"/>
                <w:bCs w:val="1"/>
                <w:color w:val="003551"/>
              </w:rPr>
              <w:t xml:space="preserve">Proposal 6: </w:t>
            </w:r>
            <w:r>
              <w:rPr>
                <w:rFonts w:ascii="Arial" w:cs="Arial" w:eastAsia="Arial" w:hAnsi="Arial"/>
                <w:sz w:val="17"/>
                <w:szCs w:val="17"/>
                <w:color w:val="003551"/>
              </w:rPr>
              <w:t>Approve IREN’s 2025 Omnibus Incentive Plan (as defined in this</w:t>
            </w:r>
          </w:p>
        </w:tc>
        <w:tc>
          <w:tcPr>
            <w:tcW w:w="1680" w:type="dxa"/>
            <w:vAlign w:val="bottom"/>
          </w:tcPr>
          <w:p>
            <w:pPr>
              <w:ind w:left="120"/>
              <w:spacing w:after="0"/>
              <w:rPr>
                <w:sz w:val="20"/>
                <w:szCs w:val="20"/>
                <w:color w:val="auto"/>
              </w:rPr>
            </w:pPr>
            <w:r>
              <w:rPr>
                <w:rFonts w:ascii="Arial" w:cs="Arial" w:eastAsia="Arial" w:hAnsi="Arial"/>
                <w:sz w:val="17"/>
                <w:szCs w:val="17"/>
                <w:color w:val="003551"/>
              </w:rPr>
              <w:t>FOR</w:t>
            </w:r>
          </w:p>
        </w:tc>
      </w:tr>
      <w:tr>
        <w:trPr>
          <w:trHeight w:val="230"/>
        </w:trPr>
        <w:tc>
          <w:tcPr>
            <w:tcW w:w="6700" w:type="dxa"/>
            <w:vAlign w:val="bottom"/>
          </w:tcPr>
          <w:p>
            <w:pPr>
              <w:ind w:left="340"/>
              <w:spacing w:after="0"/>
              <w:rPr>
                <w:sz w:val="20"/>
                <w:szCs w:val="20"/>
                <w:color w:val="auto"/>
              </w:rPr>
            </w:pPr>
            <w:r>
              <w:rPr>
                <w:rFonts w:ascii="Arial" w:cs="Arial" w:eastAsia="Arial" w:hAnsi="Arial"/>
                <w:sz w:val="17"/>
                <w:szCs w:val="17"/>
                <w:color w:val="003551"/>
              </w:rPr>
              <w:t>Proxy Statement)</w:t>
            </w:r>
          </w:p>
        </w:tc>
        <w:tc>
          <w:tcPr>
            <w:tcW w:w="1680" w:type="dxa"/>
            <w:vAlign w:val="bottom"/>
          </w:tcPr>
          <w:p>
            <w:pPr>
              <w:spacing w:after="0"/>
              <w:rPr>
                <w:sz w:val="20"/>
                <w:szCs w:val="20"/>
                <w:color w:val="auto"/>
              </w:rPr>
            </w:pPr>
          </w:p>
        </w:tc>
      </w:tr>
      <w:tr>
        <w:trPr>
          <w:trHeight w:val="399"/>
        </w:trPr>
        <w:tc>
          <w:tcPr>
            <w:tcW w:w="6700" w:type="dxa"/>
            <w:vAlign w:val="bottom"/>
          </w:tcPr>
          <w:p>
            <w:pPr>
              <w:ind w:left="160"/>
              <w:spacing w:after="0"/>
              <w:rPr>
                <w:sz w:val="20"/>
                <w:szCs w:val="20"/>
                <w:color w:val="auto"/>
              </w:rPr>
            </w:pPr>
            <w:r>
              <w:rPr>
                <w:rFonts w:ascii="Arial" w:cs="Arial" w:eastAsia="Arial" w:hAnsi="Arial"/>
                <w:sz w:val="17"/>
                <w:szCs w:val="17"/>
                <w:b w:val="1"/>
                <w:bCs w:val="1"/>
                <w:color w:val="003551"/>
              </w:rPr>
              <w:t xml:space="preserve">Proposal 7: </w:t>
            </w:r>
            <w:r>
              <w:rPr>
                <w:rFonts w:ascii="Arial" w:cs="Arial" w:eastAsia="Arial" w:hAnsi="Arial"/>
                <w:sz w:val="17"/>
                <w:szCs w:val="17"/>
                <w:color w:val="003551"/>
              </w:rPr>
              <w:t>Approve the repurchase by IREN of its ordinary shares pursuant to the</w:t>
            </w:r>
          </w:p>
        </w:tc>
        <w:tc>
          <w:tcPr>
            <w:tcW w:w="1680" w:type="dxa"/>
            <w:vAlign w:val="bottom"/>
          </w:tcPr>
          <w:p>
            <w:pPr>
              <w:ind w:left="120"/>
              <w:spacing w:after="0"/>
              <w:rPr>
                <w:sz w:val="20"/>
                <w:szCs w:val="20"/>
                <w:color w:val="auto"/>
              </w:rPr>
            </w:pPr>
            <w:r>
              <w:rPr>
                <w:rFonts w:ascii="Arial" w:cs="Arial" w:eastAsia="Arial" w:hAnsi="Arial"/>
                <w:sz w:val="17"/>
                <w:szCs w:val="17"/>
                <w:color w:val="003551"/>
              </w:rPr>
              <w:t>FOR</w:t>
            </w:r>
          </w:p>
        </w:tc>
      </w:tr>
      <w:tr>
        <w:trPr>
          <w:trHeight w:val="230"/>
        </w:trPr>
        <w:tc>
          <w:tcPr>
            <w:tcW w:w="6700" w:type="dxa"/>
            <w:vAlign w:val="bottom"/>
          </w:tcPr>
          <w:p>
            <w:pPr>
              <w:ind w:left="340"/>
              <w:spacing w:after="0"/>
              <w:rPr>
                <w:sz w:val="20"/>
                <w:szCs w:val="20"/>
                <w:color w:val="auto"/>
              </w:rPr>
            </w:pPr>
            <w:r>
              <w:rPr>
                <w:rFonts w:ascii="Arial" w:cs="Arial" w:eastAsia="Arial" w:hAnsi="Arial"/>
                <w:sz w:val="17"/>
                <w:szCs w:val="17"/>
                <w:color w:val="003551"/>
              </w:rPr>
              <w:t>Prepaid Forward Transactions (as defined in this Proxy Statement)</w:t>
            </w:r>
          </w:p>
        </w:tc>
        <w:tc>
          <w:tcPr>
            <w:tcW w:w="1680" w:type="dxa"/>
            <w:vAlign w:val="bottom"/>
          </w:tcPr>
          <w:p>
            <w:pPr>
              <w:spacing w:after="0"/>
              <w:rPr>
                <w:sz w:val="20"/>
                <w:szCs w:val="20"/>
                <w:color w:val="auto"/>
              </w:rPr>
            </w:pPr>
          </w:p>
        </w:tc>
      </w:tr>
      <w:tr>
        <w:trPr>
          <w:trHeight w:val="399"/>
        </w:trPr>
        <w:tc>
          <w:tcPr>
            <w:tcW w:w="6700" w:type="dxa"/>
            <w:vAlign w:val="bottom"/>
          </w:tcPr>
          <w:p>
            <w:pPr>
              <w:ind w:left="160"/>
              <w:spacing w:after="0"/>
              <w:rPr>
                <w:sz w:val="20"/>
                <w:szCs w:val="20"/>
                <w:color w:val="auto"/>
              </w:rPr>
            </w:pPr>
            <w:r>
              <w:rPr>
                <w:rFonts w:ascii="Arial" w:cs="Arial" w:eastAsia="Arial" w:hAnsi="Arial"/>
                <w:sz w:val="17"/>
                <w:szCs w:val="17"/>
                <w:b w:val="1"/>
                <w:bCs w:val="1"/>
                <w:color w:val="003551"/>
              </w:rPr>
              <w:t xml:space="preserve">Proposal 8: </w:t>
            </w:r>
            <w:r>
              <w:rPr>
                <w:rFonts w:ascii="Arial" w:cs="Arial" w:eastAsia="Arial" w:hAnsi="Arial"/>
                <w:sz w:val="17"/>
                <w:szCs w:val="17"/>
                <w:color w:val="003551"/>
              </w:rPr>
              <w:t>Approve the repurchase by IREN of its ordinary shares pursuant to the</w:t>
            </w:r>
          </w:p>
        </w:tc>
        <w:tc>
          <w:tcPr>
            <w:tcW w:w="1680" w:type="dxa"/>
            <w:vAlign w:val="bottom"/>
          </w:tcPr>
          <w:p>
            <w:pPr>
              <w:ind w:left="120"/>
              <w:spacing w:after="0"/>
              <w:rPr>
                <w:sz w:val="20"/>
                <w:szCs w:val="20"/>
                <w:color w:val="auto"/>
              </w:rPr>
            </w:pPr>
            <w:r>
              <w:rPr>
                <w:rFonts w:ascii="Arial" w:cs="Arial" w:eastAsia="Arial" w:hAnsi="Arial"/>
                <w:sz w:val="17"/>
                <w:szCs w:val="17"/>
                <w:color w:val="003551"/>
              </w:rPr>
              <w:t>FOR</w:t>
            </w:r>
          </w:p>
        </w:tc>
      </w:tr>
      <w:tr>
        <w:trPr>
          <w:trHeight w:val="230"/>
        </w:trPr>
        <w:tc>
          <w:tcPr>
            <w:tcW w:w="6700" w:type="dxa"/>
            <w:vAlign w:val="bottom"/>
          </w:tcPr>
          <w:p>
            <w:pPr>
              <w:ind w:left="340"/>
              <w:spacing w:after="0"/>
              <w:rPr>
                <w:sz w:val="20"/>
                <w:szCs w:val="20"/>
                <w:color w:val="auto"/>
              </w:rPr>
            </w:pPr>
            <w:r>
              <w:rPr>
                <w:rFonts w:ascii="Arial" w:cs="Arial" w:eastAsia="Arial" w:hAnsi="Arial"/>
                <w:sz w:val="17"/>
                <w:szCs w:val="17"/>
                <w:color w:val="003551"/>
              </w:rPr>
              <w:t>Capped Call Transactions (as defined in this Proxy Statement)</w:t>
            </w:r>
          </w:p>
        </w:tc>
        <w:tc>
          <w:tcPr>
            <w:tcW w:w="1680" w:type="dxa"/>
            <w:vAlign w:val="bottom"/>
          </w:tcPr>
          <w:p>
            <w:pPr>
              <w:spacing w:after="0"/>
              <w:rPr>
                <w:sz w:val="20"/>
                <w:szCs w:val="20"/>
                <w:color w:val="auto"/>
              </w:rPr>
            </w:pPr>
          </w:p>
        </w:tc>
      </w:tr>
      <w:tr>
        <w:trPr>
          <w:trHeight w:val="399"/>
        </w:trPr>
        <w:tc>
          <w:tcPr>
            <w:tcW w:w="6700" w:type="dxa"/>
            <w:vAlign w:val="bottom"/>
          </w:tcPr>
          <w:p>
            <w:pPr>
              <w:ind w:left="160"/>
              <w:spacing w:after="0"/>
              <w:rPr>
                <w:sz w:val="20"/>
                <w:szCs w:val="20"/>
                <w:color w:val="auto"/>
              </w:rPr>
            </w:pPr>
            <w:r>
              <w:rPr>
                <w:rFonts w:ascii="Arial" w:cs="Arial" w:eastAsia="Arial" w:hAnsi="Arial"/>
                <w:sz w:val="17"/>
                <w:szCs w:val="17"/>
                <w:b w:val="1"/>
                <w:bCs w:val="1"/>
                <w:color w:val="003551"/>
              </w:rPr>
              <w:t xml:space="preserve">Proposal 9: </w:t>
            </w:r>
            <w:r>
              <w:rPr>
                <w:rFonts w:ascii="Arial" w:cs="Arial" w:eastAsia="Arial" w:hAnsi="Arial"/>
                <w:sz w:val="17"/>
                <w:szCs w:val="17"/>
                <w:color w:val="003551"/>
              </w:rPr>
              <w:t>Approve an advisory vote on executive compensation (the “say-on-</w:t>
            </w:r>
          </w:p>
        </w:tc>
        <w:tc>
          <w:tcPr>
            <w:tcW w:w="1680" w:type="dxa"/>
            <w:vAlign w:val="bottom"/>
          </w:tcPr>
          <w:p>
            <w:pPr>
              <w:ind w:left="120"/>
              <w:spacing w:after="0"/>
              <w:rPr>
                <w:sz w:val="20"/>
                <w:szCs w:val="20"/>
                <w:color w:val="auto"/>
              </w:rPr>
            </w:pPr>
            <w:r>
              <w:rPr>
                <w:rFonts w:ascii="Arial" w:cs="Arial" w:eastAsia="Arial" w:hAnsi="Arial"/>
                <w:sz w:val="17"/>
                <w:szCs w:val="17"/>
                <w:color w:val="003551"/>
              </w:rPr>
              <w:t>FOR</w:t>
            </w:r>
          </w:p>
        </w:tc>
      </w:tr>
      <w:tr>
        <w:trPr>
          <w:trHeight w:val="230"/>
        </w:trPr>
        <w:tc>
          <w:tcPr>
            <w:tcW w:w="6700" w:type="dxa"/>
            <w:vAlign w:val="bottom"/>
          </w:tcPr>
          <w:p>
            <w:pPr>
              <w:ind w:left="340"/>
              <w:spacing w:after="0"/>
              <w:rPr>
                <w:sz w:val="20"/>
                <w:szCs w:val="20"/>
                <w:color w:val="auto"/>
              </w:rPr>
            </w:pPr>
            <w:r>
              <w:rPr>
                <w:rFonts w:ascii="Arial" w:cs="Arial" w:eastAsia="Arial" w:hAnsi="Arial"/>
                <w:sz w:val="17"/>
                <w:szCs w:val="17"/>
                <w:color w:val="003551"/>
              </w:rPr>
              <w:t>pay” vote)</w:t>
            </w:r>
          </w:p>
        </w:tc>
        <w:tc>
          <w:tcPr>
            <w:tcW w:w="1680" w:type="dxa"/>
            <w:vAlign w:val="bottom"/>
          </w:tcPr>
          <w:p>
            <w:pPr>
              <w:spacing w:after="0"/>
              <w:rPr>
                <w:sz w:val="20"/>
                <w:szCs w:val="20"/>
                <w:color w:val="auto"/>
              </w:rPr>
            </w:pPr>
          </w:p>
        </w:tc>
      </w:tr>
      <w:tr>
        <w:trPr>
          <w:trHeight w:val="399"/>
        </w:trPr>
        <w:tc>
          <w:tcPr>
            <w:tcW w:w="6700" w:type="dxa"/>
            <w:vAlign w:val="bottom"/>
          </w:tcPr>
          <w:p>
            <w:pPr>
              <w:ind w:left="160"/>
              <w:spacing w:after="0"/>
              <w:rPr>
                <w:sz w:val="20"/>
                <w:szCs w:val="20"/>
                <w:color w:val="auto"/>
              </w:rPr>
            </w:pPr>
            <w:r>
              <w:rPr>
                <w:rFonts w:ascii="Arial" w:cs="Arial" w:eastAsia="Arial" w:hAnsi="Arial"/>
                <w:sz w:val="17"/>
                <w:szCs w:val="17"/>
                <w:b w:val="1"/>
                <w:bCs w:val="1"/>
                <w:color w:val="003551"/>
              </w:rPr>
              <w:t xml:space="preserve">Proposal 10: </w:t>
            </w:r>
            <w:r>
              <w:rPr>
                <w:rFonts w:ascii="Arial" w:cs="Arial" w:eastAsia="Arial" w:hAnsi="Arial"/>
                <w:sz w:val="17"/>
                <w:szCs w:val="17"/>
                <w:color w:val="003551"/>
              </w:rPr>
              <w:t>Approve an advisory vote on the frequency of future advisory votes</w:t>
            </w:r>
          </w:p>
        </w:tc>
        <w:tc>
          <w:tcPr>
            <w:tcW w:w="1680" w:type="dxa"/>
            <w:vAlign w:val="bottom"/>
          </w:tcPr>
          <w:p>
            <w:pPr>
              <w:ind w:left="120"/>
              <w:spacing w:after="0"/>
              <w:rPr>
                <w:sz w:val="20"/>
                <w:szCs w:val="20"/>
                <w:color w:val="auto"/>
              </w:rPr>
            </w:pPr>
            <w:r>
              <w:rPr>
                <w:rFonts w:ascii="Arial" w:cs="Arial" w:eastAsia="Arial" w:hAnsi="Arial"/>
                <w:sz w:val="17"/>
                <w:szCs w:val="17"/>
                <w:color w:val="003551"/>
              </w:rPr>
              <w:t>EVERY YEAR</w:t>
            </w:r>
          </w:p>
        </w:tc>
      </w:tr>
      <w:tr>
        <w:trPr>
          <w:trHeight w:val="230"/>
        </w:trPr>
        <w:tc>
          <w:tcPr>
            <w:tcW w:w="6700" w:type="dxa"/>
            <w:vAlign w:val="bottom"/>
          </w:tcPr>
          <w:p>
            <w:pPr>
              <w:ind w:left="340"/>
              <w:spacing w:after="0"/>
              <w:rPr>
                <w:sz w:val="20"/>
                <w:szCs w:val="20"/>
                <w:color w:val="auto"/>
              </w:rPr>
            </w:pPr>
            <w:r>
              <w:rPr>
                <w:rFonts w:ascii="Arial" w:cs="Arial" w:eastAsia="Arial" w:hAnsi="Arial"/>
                <w:sz w:val="17"/>
                <w:szCs w:val="17"/>
                <w:color w:val="003551"/>
              </w:rPr>
              <w:t>on executive compensation</w:t>
            </w:r>
          </w:p>
        </w:tc>
        <w:tc>
          <w:tcPr>
            <w:tcW w:w="16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-3528060</wp:posOffset>
            </wp:positionV>
            <wp:extent cx="53232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2320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-3129280</wp:posOffset>
            </wp:positionV>
            <wp:extent cx="53232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2320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-2729865</wp:posOffset>
            </wp:positionV>
            <wp:extent cx="53232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2320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-2330450</wp:posOffset>
            </wp:positionV>
            <wp:extent cx="53232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2320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-1931035</wp:posOffset>
            </wp:positionV>
            <wp:extent cx="53232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2320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-1532255</wp:posOffset>
            </wp:positionV>
            <wp:extent cx="53232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2320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-1132840</wp:posOffset>
            </wp:positionV>
            <wp:extent cx="53232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2320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-733425</wp:posOffset>
            </wp:positionV>
            <wp:extent cx="53232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2320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-334645</wp:posOffset>
            </wp:positionV>
            <wp:extent cx="53232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23205" cy="8255"/>
                    </a:xfrm>
                    <a:prstGeom prst="rect">
                      <a:avLst/>
                    </a:prstGeom>
                    <a:noFill/>
                  </pic:spPr>
                </pic:pic>
              </a:graphicData>
            </a:graphic>
          </wp:anchor>
        </w:drawing>
      </w:r>
    </w:p>
    <w:p>
      <w:pPr>
        <w:spacing w:after="0" w:line="20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About IREN</w:t>
      </w:r>
    </w:p>
    <w:p>
      <w:pPr>
        <w:spacing w:after="0" w:line="41" w:lineRule="exact"/>
        <w:rPr>
          <w:sz w:val="20"/>
          <w:szCs w:val="20"/>
          <w:color w:val="auto"/>
        </w:rPr>
      </w:pPr>
    </w:p>
    <w:p>
      <w:pPr>
        <w:ind w:left="940" w:right="760"/>
        <w:spacing w:after="0" w:line="247" w:lineRule="auto"/>
        <w:rPr>
          <w:sz w:val="20"/>
          <w:szCs w:val="20"/>
          <w:color w:val="auto"/>
        </w:rPr>
      </w:pPr>
      <w:r>
        <w:rPr>
          <w:rFonts w:ascii="Arial" w:cs="Arial" w:eastAsia="Arial" w:hAnsi="Arial"/>
          <w:sz w:val="17"/>
          <w:szCs w:val="17"/>
          <w:color w:val="003551"/>
        </w:rPr>
        <w:t>We are a leading developer, owner and operator of next-generation data centers powering the future of Bitcoin, AI and beyond utilizing 100% renewable energy (whether from clean or renewable energy sources or through the purchase of renewable energy certificates (“</w:t>
      </w:r>
      <w:r>
        <w:rPr>
          <w:rFonts w:ascii="Arial" w:cs="Arial" w:eastAsia="Arial" w:hAnsi="Arial"/>
          <w:sz w:val="17"/>
          <w:szCs w:val="17"/>
          <w:b w:val="1"/>
          <w:bCs w:val="1"/>
          <w:color w:val="003551"/>
        </w:rPr>
        <w:t>RECs</w:t>
      </w:r>
      <w:r>
        <w:rPr>
          <w:rFonts w:ascii="Arial" w:cs="Arial" w:eastAsia="Arial" w:hAnsi="Arial"/>
          <w:sz w:val="17"/>
          <w:szCs w:val="17"/>
          <w:color w:val="003551"/>
        </w:rPr>
        <w:t>”)). Our data centers are purpose-built for power dense computing applications and today support a combination of graphics processing units (“</w:t>
      </w:r>
      <w:r>
        <w:rPr>
          <w:rFonts w:ascii="Arial" w:cs="Arial" w:eastAsia="Arial" w:hAnsi="Arial"/>
          <w:sz w:val="17"/>
          <w:szCs w:val="17"/>
          <w:b w:val="1"/>
          <w:bCs w:val="1"/>
          <w:color w:val="003551"/>
        </w:rPr>
        <w:t>GPUs”</w:t>
      </w:r>
      <w:r>
        <w:rPr>
          <w:rFonts w:ascii="Arial" w:cs="Arial" w:eastAsia="Arial" w:hAnsi="Arial"/>
          <w:sz w:val="17"/>
          <w:szCs w:val="17"/>
          <w:color w:val="003551"/>
        </w:rPr>
        <w:t>) for high-performance computing and artificial intelligence (“</w:t>
      </w:r>
      <w:r>
        <w:rPr>
          <w:rFonts w:ascii="Arial" w:cs="Arial" w:eastAsia="Arial" w:hAnsi="Arial"/>
          <w:sz w:val="17"/>
          <w:szCs w:val="17"/>
          <w:b w:val="1"/>
          <w:bCs w:val="1"/>
          <w:color w:val="003551"/>
        </w:rPr>
        <w:t>AI</w:t>
      </w:r>
      <w:r>
        <w:rPr>
          <w:rFonts w:ascii="Arial" w:cs="Arial" w:eastAsia="Arial" w:hAnsi="Arial"/>
          <w:sz w:val="17"/>
          <w:szCs w:val="17"/>
          <w:color w:val="003551"/>
        </w:rPr>
        <w:t>”) and Application Specific Integrated Circuits (“</w:t>
      </w:r>
      <w:r>
        <w:rPr>
          <w:rFonts w:ascii="Arial" w:cs="Arial" w:eastAsia="Arial" w:hAnsi="Arial"/>
          <w:sz w:val="17"/>
          <w:szCs w:val="17"/>
          <w:b w:val="1"/>
          <w:bCs w:val="1"/>
          <w:color w:val="003551"/>
        </w:rPr>
        <w:t>ASICs</w:t>
      </w:r>
      <w:r>
        <w:rPr>
          <w:rFonts w:ascii="Arial" w:cs="Arial" w:eastAsia="Arial" w:hAnsi="Arial"/>
          <w:sz w:val="17"/>
          <w:szCs w:val="17"/>
          <w:color w:val="003551"/>
        </w:rPr>
        <w:t>”) for Bitcoin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115570</wp:posOffset>
            </wp:positionV>
            <wp:extent cx="540385" cy="6318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40" w:right="1060"/>
        <w:spacing w:after="0" w:line="254" w:lineRule="auto"/>
        <w:rPr>
          <w:sz w:val="20"/>
          <w:szCs w:val="20"/>
          <w:color w:val="auto"/>
        </w:rPr>
      </w:pPr>
      <w:r>
        <w:rPr>
          <w:rFonts w:ascii="Arial" w:cs="Arial" w:eastAsia="Arial" w:hAnsi="Arial"/>
          <w:sz w:val="17"/>
          <w:szCs w:val="17"/>
          <w:color w:val="003551"/>
        </w:rPr>
        <w:t>Our Bitcoin mining operations generate revenue by earning Bitcoin through a combination of block rewards and transaction fees from the operation of our ASICs and exchanging these Bitcoin for fiat currencies such as USD or CAD. Our high-performance computing and AI services include ‘AI cloud services’, being platforms that provide access to AI capabilities through cloud-based infrastructure (“</w:t>
      </w:r>
      <w:r>
        <w:rPr>
          <w:rFonts w:ascii="Arial" w:cs="Arial" w:eastAsia="Arial" w:hAnsi="Arial"/>
          <w:sz w:val="17"/>
          <w:szCs w:val="17"/>
          <w:b w:val="1"/>
          <w:bCs w:val="1"/>
          <w:color w:val="003551"/>
        </w:rPr>
        <w:t>AI</w:t>
      </w:r>
      <w:r>
        <w:rPr>
          <w:rFonts w:ascii="Arial" w:cs="Arial" w:eastAsia="Arial" w:hAnsi="Arial"/>
          <w:sz w:val="17"/>
          <w:szCs w:val="17"/>
          <w:color w:val="003551"/>
        </w:rPr>
        <w:t xml:space="preserve"> </w:t>
      </w:r>
      <w:r>
        <w:rPr>
          <w:rFonts w:ascii="Arial" w:cs="Arial" w:eastAsia="Arial" w:hAnsi="Arial"/>
          <w:sz w:val="17"/>
          <w:szCs w:val="17"/>
          <w:b w:val="1"/>
          <w:bCs w:val="1"/>
          <w:color w:val="003551"/>
        </w:rPr>
        <w:t>Cloud Services</w:t>
      </w:r>
      <w:r>
        <w:rPr>
          <w:rFonts w:ascii="Arial" w:cs="Arial" w:eastAsia="Arial" w:hAnsi="Arial"/>
          <w:sz w:val="17"/>
          <w:szCs w:val="17"/>
          <w:color w:val="003551"/>
        </w:rPr>
        <w:t>”).</w:t>
      </w:r>
    </w:p>
    <w:p>
      <w:pPr>
        <w:spacing w:after="0" w:line="1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Consolidated Financial Performance</w:t>
      </w:r>
    </w:p>
    <w:p>
      <w:pPr>
        <w:spacing w:after="0" w:line="64"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p>
        </w:tc>
        <w:tc>
          <w:tcPr>
            <w:tcW w:w="4300" w:type="dxa"/>
            <w:vAlign w:val="bottom"/>
            <w:gridSpan w:val="2"/>
          </w:tcPr>
          <w:p>
            <w:pPr>
              <w:ind w:left="480"/>
              <w:spacing w:after="0"/>
              <w:rPr>
                <w:sz w:val="20"/>
                <w:szCs w:val="20"/>
                <w:color w:val="auto"/>
              </w:rPr>
            </w:pPr>
            <w:r>
              <w:rPr>
                <w:rFonts w:ascii="Arial" w:cs="Arial" w:eastAsia="Arial" w:hAnsi="Arial"/>
                <w:sz w:val="17"/>
                <w:szCs w:val="17"/>
                <w:i w:val="1"/>
                <w:iCs w:val="1"/>
                <w:color w:val="003551"/>
              </w:rPr>
              <w:t>($ in thousands, other than per share amounts)</w:t>
            </w:r>
          </w:p>
        </w:tc>
      </w:tr>
      <w:tr>
        <w:trPr>
          <w:trHeight w:val="127"/>
        </w:trPr>
        <w:tc>
          <w:tcPr>
            <w:tcW w:w="410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378"/>
        </w:trPr>
        <w:tc>
          <w:tcPr>
            <w:tcW w:w="4100" w:type="dxa"/>
            <w:vAlign w:val="bottom"/>
            <w:shd w:val="clear" w:color="auto" w:fill="77C483"/>
          </w:tcPr>
          <w:p>
            <w:pPr>
              <w:spacing w:after="0"/>
              <w:rPr>
                <w:sz w:val="24"/>
                <w:szCs w:val="24"/>
                <w:color w:val="auto"/>
              </w:rPr>
            </w:pPr>
          </w:p>
        </w:tc>
        <w:tc>
          <w:tcPr>
            <w:tcW w:w="3320" w:type="dxa"/>
            <w:vAlign w:val="bottom"/>
            <w:shd w:val="clear" w:color="auto" w:fill="77C483"/>
          </w:tcPr>
          <w:p>
            <w:pPr>
              <w:ind w:left="2500"/>
              <w:spacing w:after="0"/>
              <w:rPr>
                <w:sz w:val="20"/>
                <w:szCs w:val="20"/>
                <w:color w:val="auto"/>
              </w:rPr>
            </w:pPr>
            <w:r>
              <w:rPr>
                <w:rFonts w:ascii="Arial" w:cs="Arial" w:eastAsia="Arial" w:hAnsi="Arial"/>
                <w:sz w:val="17"/>
                <w:szCs w:val="17"/>
                <w:b w:val="1"/>
                <w:bCs w:val="1"/>
                <w:color w:val="003551"/>
              </w:rPr>
              <w:t>2025</w:t>
            </w:r>
          </w:p>
        </w:tc>
        <w:tc>
          <w:tcPr>
            <w:tcW w:w="980" w:type="dxa"/>
            <w:vAlign w:val="bottom"/>
            <w:shd w:val="clear" w:color="auto" w:fill="77C483"/>
          </w:tcPr>
          <w:p>
            <w:pPr>
              <w:ind w:left="120"/>
              <w:spacing w:after="0"/>
              <w:rPr>
                <w:sz w:val="20"/>
                <w:szCs w:val="20"/>
                <w:color w:val="auto"/>
              </w:rPr>
            </w:pPr>
            <w:r>
              <w:rPr>
                <w:rFonts w:ascii="Arial" w:cs="Arial" w:eastAsia="Arial" w:hAnsi="Arial"/>
                <w:sz w:val="17"/>
                <w:szCs w:val="17"/>
                <w:b w:val="1"/>
                <w:bCs w:val="1"/>
                <w:color w:val="003551"/>
              </w:rPr>
              <w:t>2024</w:t>
            </w:r>
          </w:p>
        </w:tc>
      </w:tr>
      <w:tr>
        <w:trPr>
          <w:trHeight w:val="93"/>
        </w:trPr>
        <w:tc>
          <w:tcPr>
            <w:tcW w:w="4100" w:type="dxa"/>
            <w:vAlign w:val="bottom"/>
            <w:tcBorders>
              <w:bottom w:val="single" w:sz="8" w:color="003551"/>
            </w:tcBorders>
            <w:shd w:val="clear" w:color="auto" w:fill="77C483"/>
          </w:tcPr>
          <w:p>
            <w:pPr>
              <w:spacing w:after="0"/>
              <w:rPr>
                <w:sz w:val="8"/>
                <w:szCs w:val="8"/>
                <w:color w:val="auto"/>
              </w:rPr>
            </w:pPr>
          </w:p>
        </w:tc>
        <w:tc>
          <w:tcPr>
            <w:tcW w:w="3320" w:type="dxa"/>
            <w:vAlign w:val="bottom"/>
            <w:tcBorders>
              <w:bottom w:val="single" w:sz="8" w:color="003551"/>
            </w:tcBorders>
            <w:shd w:val="clear" w:color="auto" w:fill="77C483"/>
          </w:tcPr>
          <w:p>
            <w:pPr>
              <w:spacing w:after="0"/>
              <w:rPr>
                <w:sz w:val="8"/>
                <w:szCs w:val="8"/>
                <w:color w:val="auto"/>
              </w:rPr>
            </w:pPr>
          </w:p>
        </w:tc>
        <w:tc>
          <w:tcPr>
            <w:tcW w:w="980" w:type="dxa"/>
            <w:vAlign w:val="bottom"/>
            <w:tcBorders>
              <w:bottom w:val="single" w:sz="8" w:color="003551"/>
            </w:tcBorders>
            <w:shd w:val="clear" w:color="auto" w:fill="77C483"/>
          </w:tcPr>
          <w:p>
            <w:pPr>
              <w:spacing w:after="0"/>
              <w:rPr>
                <w:sz w:val="8"/>
                <w:szCs w:val="8"/>
                <w:color w:val="auto"/>
              </w:rPr>
            </w:pPr>
          </w:p>
        </w:tc>
      </w:tr>
      <w:tr>
        <w:trPr>
          <w:trHeight w:val="332"/>
        </w:trPr>
        <w:tc>
          <w:tcPr>
            <w:tcW w:w="4100" w:type="dxa"/>
            <w:vAlign w:val="bottom"/>
          </w:tcPr>
          <w:p>
            <w:pPr>
              <w:ind w:left="140"/>
              <w:spacing w:after="0"/>
              <w:rPr>
                <w:sz w:val="20"/>
                <w:szCs w:val="20"/>
                <w:color w:val="auto"/>
              </w:rPr>
            </w:pPr>
            <w:r>
              <w:rPr>
                <w:rFonts w:ascii="Arial" w:cs="Arial" w:eastAsia="Arial" w:hAnsi="Arial"/>
                <w:sz w:val="17"/>
                <w:szCs w:val="17"/>
                <w:b w:val="1"/>
                <w:bCs w:val="1"/>
                <w:color w:val="003551"/>
              </w:rPr>
              <w:t>Revenue</w:t>
            </w:r>
          </w:p>
        </w:tc>
        <w:tc>
          <w:tcPr>
            <w:tcW w:w="3320" w:type="dxa"/>
            <w:vAlign w:val="bottom"/>
          </w:tcPr>
          <w:p>
            <w:pPr>
              <w:ind w:left="2500"/>
              <w:spacing w:after="0"/>
              <w:rPr>
                <w:sz w:val="20"/>
                <w:szCs w:val="20"/>
                <w:color w:val="auto"/>
              </w:rPr>
            </w:pPr>
            <w:r>
              <w:rPr>
                <w:rFonts w:ascii="Arial" w:cs="Arial" w:eastAsia="Arial" w:hAnsi="Arial"/>
                <w:sz w:val="17"/>
                <w:szCs w:val="17"/>
                <w:color w:val="003551"/>
              </w:rPr>
              <w:t>$501,023</w:t>
            </w:r>
          </w:p>
        </w:tc>
        <w:tc>
          <w:tcPr>
            <w:tcW w:w="980" w:type="dxa"/>
            <w:vAlign w:val="bottom"/>
          </w:tcPr>
          <w:p>
            <w:pPr>
              <w:ind w:left="120"/>
              <w:spacing w:after="0"/>
              <w:rPr>
                <w:sz w:val="20"/>
                <w:szCs w:val="20"/>
                <w:color w:val="auto"/>
              </w:rPr>
            </w:pPr>
            <w:r>
              <w:rPr>
                <w:rFonts w:ascii="Arial" w:cs="Arial" w:eastAsia="Arial" w:hAnsi="Arial"/>
                <w:sz w:val="17"/>
                <w:szCs w:val="17"/>
                <w:color w:val="003551"/>
              </w:rPr>
              <w:t>$187,192</w:t>
            </w:r>
          </w:p>
        </w:tc>
      </w:tr>
      <w:tr>
        <w:trPr>
          <w:trHeight w:val="432"/>
        </w:trPr>
        <w:tc>
          <w:tcPr>
            <w:tcW w:w="4100" w:type="dxa"/>
            <w:vAlign w:val="bottom"/>
          </w:tcPr>
          <w:p>
            <w:pPr>
              <w:ind w:left="140"/>
              <w:spacing w:after="0"/>
              <w:rPr>
                <w:sz w:val="20"/>
                <w:szCs w:val="20"/>
                <w:color w:val="auto"/>
              </w:rPr>
            </w:pPr>
            <w:r>
              <w:rPr>
                <w:rFonts w:ascii="Arial" w:cs="Arial" w:eastAsia="Arial" w:hAnsi="Arial"/>
                <w:sz w:val="17"/>
                <w:szCs w:val="17"/>
                <w:b w:val="1"/>
                <w:bCs w:val="1"/>
                <w:color w:val="003551"/>
              </w:rPr>
              <w:t>Net income</w:t>
            </w:r>
          </w:p>
        </w:tc>
        <w:tc>
          <w:tcPr>
            <w:tcW w:w="3320" w:type="dxa"/>
            <w:vAlign w:val="bottom"/>
          </w:tcPr>
          <w:p>
            <w:pPr>
              <w:ind w:left="2500"/>
              <w:spacing w:after="0"/>
              <w:rPr>
                <w:sz w:val="20"/>
                <w:szCs w:val="20"/>
                <w:color w:val="auto"/>
              </w:rPr>
            </w:pPr>
            <w:r>
              <w:rPr>
                <w:rFonts w:ascii="Arial" w:cs="Arial" w:eastAsia="Arial" w:hAnsi="Arial"/>
                <w:sz w:val="17"/>
                <w:szCs w:val="17"/>
                <w:color w:val="003551"/>
              </w:rPr>
              <w:t>$86,941</w:t>
            </w:r>
          </w:p>
        </w:tc>
        <w:tc>
          <w:tcPr>
            <w:tcW w:w="980" w:type="dxa"/>
            <w:vAlign w:val="bottom"/>
          </w:tcPr>
          <w:p>
            <w:pPr>
              <w:ind w:left="120"/>
              <w:spacing w:after="0"/>
              <w:rPr>
                <w:sz w:val="20"/>
                <w:szCs w:val="20"/>
                <w:color w:val="auto"/>
              </w:rPr>
            </w:pPr>
            <w:r>
              <w:rPr>
                <w:rFonts w:ascii="Arial" w:cs="Arial" w:eastAsia="Arial" w:hAnsi="Arial"/>
                <w:sz w:val="17"/>
                <w:szCs w:val="17"/>
                <w:color w:val="003551"/>
              </w:rPr>
              <w:t>$(28,920)</w:t>
            </w:r>
          </w:p>
        </w:tc>
      </w:tr>
      <w:tr>
        <w:trPr>
          <w:trHeight w:val="594"/>
        </w:trPr>
        <w:tc>
          <w:tcPr>
            <w:tcW w:w="4100" w:type="dxa"/>
            <w:vAlign w:val="bottom"/>
          </w:tcPr>
          <w:p>
            <w:pPr>
              <w:ind w:left="140"/>
              <w:spacing w:after="0"/>
              <w:rPr>
                <w:sz w:val="20"/>
                <w:szCs w:val="20"/>
                <w:color w:val="auto"/>
              </w:rPr>
            </w:pPr>
            <w:r>
              <w:rPr>
                <w:rFonts w:ascii="Arial" w:cs="Arial" w:eastAsia="Arial" w:hAnsi="Arial"/>
                <w:sz w:val="17"/>
                <w:szCs w:val="17"/>
                <w:b w:val="1"/>
                <w:bCs w:val="1"/>
                <w:color w:val="003551"/>
              </w:rPr>
              <w:t>Adjusted EBITDA</w:t>
            </w:r>
            <w:r>
              <w:rPr>
                <w:rFonts w:ascii="Arial" w:cs="Arial" w:eastAsia="Arial" w:hAnsi="Arial"/>
                <w:sz w:val="29"/>
                <w:szCs w:val="29"/>
                <w:b w:val="1"/>
                <w:bCs w:val="1"/>
                <w:color w:val="003551"/>
                <w:vertAlign w:val="superscript"/>
              </w:rPr>
              <w:t>(1)</w:t>
            </w:r>
          </w:p>
        </w:tc>
        <w:tc>
          <w:tcPr>
            <w:tcW w:w="3320" w:type="dxa"/>
            <w:vAlign w:val="bottom"/>
          </w:tcPr>
          <w:p>
            <w:pPr>
              <w:ind w:left="2500"/>
              <w:spacing w:after="0"/>
              <w:rPr>
                <w:sz w:val="20"/>
                <w:szCs w:val="20"/>
                <w:color w:val="auto"/>
              </w:rPr>
            </w:pPr>
            <w:r>
              <w:rPr>
                <w:rFonts w:ascii="Arial" w:cs="Arial" w:eastAsia="Arial" w:hAnsi="Arial"/>
                <w:sz w:val="17"/>
                <w:szCs w:val="17"/>
                <w:color w:val="003551"/>
              </w:rPr>
              <w:t>$269,672</w:t>
            </w:r>
          </w:p>
        </w:tc>
        <w:tc>
          <w:tcPr>
            <w:tcW w:w="980" w:type="dxa"/>
            <w:vAlign w:val="bottom"/>
          </w:tcPr>
          <w:p>
            <w:pPr>
              <w:ind w:left="120"/>
              <w:spacing w:after="0"/>
              <w:rPr>
                <w:sz w:val="20"/>
                <w:szCs w:val="20"/>
                <w:color w:val="auto"/>
              </w:rPr>
            </w:pPr>
            <w:r>
              <w:rPr>
                <w:rFonts w:ascii="Arial" w:cs="Arial" w:eastAsia="Arial" w:hAnsi="Arial"/>
                <w:sz w:val="17"/>
                <w:szCs w:val="17"/>
                <w:color w:val="003551"/>
              </w:rPr>
              <w:t>$54,427</w:t>
            </w:r>
          </w:p>
        </w:tc>
      </w:tr>
      <w:tr>
        <w:trPr>
          <w:trHeight w:val="472"/>
        </w:trPr>
        <w:tc>
          <w:tcPr>
            <w:tcW w:w="4100" w:type="dxa"/>
            <w:vAlign w:val="bottom"/>
          </w:tcPr>
          <w:p>
            <w:pPr>
              <w:ind w:left="140"/>
              <w:spacing w:after="0"/>
              <w:rPr>
                <w:sz w:val="20"/>
                <w:szCs w:val="20"/>
                <w:color w:val="auto"/>
              </w:rPr>
            </w:pPr>
            <w:r>
              <w:rPr>
                <w:rFonts w:ascii="Arial" w:cs="Arial" w:eastAsia="Arial" w:hAnsi="Arial"/>
                <w:sz w:val="17"/>
                <w:szCs w:val="17"/>
                <w:b w:val="1"/>
                <w:bCs w:val="1"/>
                <w:color w:val="003551"/>
              </w:rPr>
              <w:t>EBITDA</w:t>
            </w:r>
            <w:r>
              <w:rPr>
                <w:rFonts w:ascii="Arial" w:cs="Arial" w:eastAsia="Arial" w:hAnsi="Arial"/>
                <w:sz w:val="29"/>
                <w:szCs w:val="29"/>
                <w:b w:val="1"/>
                <w:bCs w:val="1"/>
                <w:color w:val="003551"/>
                <w:vertAlign w:val="superscript"/>
              </w:rPr>
              <w:t>(1)</w:t>
            </w:r>
          </w:p>
        </w:tc>
        <w:tc>
          <w:tcPr>
            <w:tcW w:w="3320" w:type="dxa"/>
            <w:vAlign w:val="bottom"/>
          </w:tcPr>
          <w:p>
            <w:pPr>
              <w:ind w:left="2500"/>
              <w:spacing w:after="0"/>
              <w:rPr>
                <w:sz w:val="20"/>
                <w:szCs w:val="20"/>
                <w:color w:val="auto"/>
              </w:rPr>
            </w:pPr>
            <w:r>
              <w:rPr>
                <w:rFonts w:ascii="Arial" w:cs="Arial" w:eastAsia="Arial" w:hAnsi="Arial"/>
                <w:sz w:val="17"/>
                <w:szCs w:val="17"/>
                <w:color w:val="003551"/>
              </w:rPr>
              <w:t>$278,178</w:t>
            </w:r>
          </w:p>
        </w:tc>
        <w:tc>
          <w:tcPr>
            <w:tcW w:w="980" w:type="dxa"/>
            <w:vAlign w:val="bottom"/>
          </w:tcPr>
          <w:p>
            <w:pPr>
              <w:ind w:left="120"/>
              <w:spacing w:after="0"/>
              <w:rPr>
                <w:sz w:val="20"/>
                <w:szCs w:val="20"/>
                <w:color w:val="auto"/>
              </w:rPr>
            </w:pPr>
            <w:r>
              <w:rPr>
                <w:rFonts w:ascii="Arial" w:cs="Arial" w:eastAsia="Arial" w:hAnsi="Arial"/>
                <w:sz w:val="17"/>
                <w:szCs w:val="17"/>
                <w:color w:val="003551"/>
              </w:rPr>
              <w:t>$19,270</w:t>
            </w:r>
          </w:p>
        </w:tc>
      </w:tr>
      <w:tr>
        <w:trPr>
          <w:trHeight w:val="310"/>
        </w:trPr>
        <w:tc>
          <w:tcPr>
            <w:tcW w:w="4100" w:type="dxa"/>
            <w:vAlign w:val="bottom"/>
          </w:tcPr>
          <w:p>
            <w:pPr>
              <w:ind w:left="140"/>
              <w:spacing w:after="0"/>
              <w:rPr>
                <w:sz w:val="20"/>
                <w:szCs w:val="20"/>
                <w:color w:val="auto"/>
              </w:rPr>
            </w:pPr>
            <w:r>
              <w:rPr>
                <w:rFonts w:ascii="Arial" w:cs="Arial" w:eastAsia="Arial" w:hAnsi="Arial"/>
                <w:sz w:val="17"/>
                <w:szCs w:val="17"/>
                <w:b w:val="1"/>
                <w:bCs w:val="1"/>
                <w:color w:val="003551"/>
              </w:rPr>
              <w:t>Earnings (loss) per common share (basic)</w:t>
            </w:r>
          </w:p>
        </w:tc>
        <w:tc>
          <w:tcPr>
            <w:tcW w:w="3320" w:type="dxa"/>
            <w:vAlign w:val="bottom"/>
          </w:tcPr>
          <w:p>
            <w:pPr>
              <w:ind w:left="2500"/>
              <w:spacing w:after="0"/>
              <w:rPr>
                <w:sz w:val="20"/>
                <w:szCs w:val="20"/>
                <w:color w:val="auto"/>
              </w:rPr>
            </w:pPr>
            <w:r>
              <w:rPr>
                <w:rFonts w:ascii="Arial" w:cs="Arial" w:eastAsia="Arial" w:hAnsi="Arial"/>
                <w:sz w:val="17"/>
                <w:szCs w:val="17"/>
                <w:color w:val="003551"/>
              </w:rPr>
              <w:t>$0.41</w:t>
            </w:r>
          </w:p>
        </w:tc>
        <w:tc>
          <w:tcPr>
            <w:tcW w:w="980" w:type="dxa"/>
            <w:vAlign w:val="bottom"/>
          </w:tcPr>
          <w:p>
            <w:pPr>
              <w:ind w:left="120"/>
              <w:spacing w:after="0"/>
              <w:rPr>
                <w:sz w:val="20"/>
                <w:szCs w:val="20"/>
                <w:color w:val="auto"/>
              </w:rPr>
            </w:pPr>
            <w:r>
              <w:rPr>
                <w:rFonts w:ascii="Arial" w:cs="Arial" w:eastAsia="Arial" w:hAnsi="Arial"/>
                <w:sz w:val="17"/>
                <w:szCs w:val="17"/>
                <w:color w:val="003551"/>
              </w:rPr>
              <w:t>$(0.29)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-1087755</wp:posOffset>
            </wp:positionV>
            <wp:extent cx="53314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31460"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-813435</wp:posOffset>
            </wp:positionV>
            <wp:extent cx="53314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31460"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-514350</wp:posOffset>
            </wp:positionV>
            <wp:extent cx="53314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31460"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-214630</wp:posOffset>
            </wp:positionV>
            <wp:extent cx="53314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31460" cy="8255"/>
                    </a:xfrm>
                    <a:prstGeom prst="rect">
                      <a:avLst/>
                    </a:prstGeom>
                    <a:noFill/>
                  </pic:spPr>
                </pic:pic>
              </a:graphicData>
            </a:graphic>
          </wp:anchor>
        </w:drawing>
      </w:r>
    </w:p>
    <w:p>
      <w:pPr>
        <w:spacing w:after="0" w:line="201" w:lineRule="exact"/>
        <w:rPr>
          <w:sz w:val="20"/>
          <w:szCs w:val="20"/>
          <w:color w:val="auto"/>
        </w:rPr>
      </w:pPr>
    </w:p>
    <w:p>
      <w:pPr>
        <w:ind w:left="1280" w:hanging="337"/>
        <w:spacing w:after="0"/>
        <w:tabs>
          <w:tab w:leader="none" w:pos="1280" w:val="left"/>
        </w:tabs>
        <w:numPr>
          <w:ilvl w:val="0"/>
          <w:numId w:val="5"/>
        </w:numPr>
        <w:rPr>
          <w:rFonts w:ascii="Arial" w:cs="Arial" w:eastAsia="Arial" w:hAnsi="Arial"/>
          <w:sz w:val="12"/>
          <w:szCs w:val="12"/>
          <w:i w:val="1"/>
          <w:iCs w:val="1"/>
          <w:color w:val="003551"/>
        </w:rPr>
      </w:pPr>
      <w:r>
        <w:rPr>
          <w:rFonts w:ascii="Arial" w:cs="Arial" w:eastAsia="Arial" w:hAnsi="Arial"/>
          <w:sz w:val="12"/>
          <w:szCs w:val="12"/>
          <w:i w:val="1"/>
          <w:iCs w:val="1"/>
          <w:color w:val="003551"/>
        </w:rPr>
        <w:t>Non-GAAP financial measure. See Appendix A for a reconciliation to the nearest GAAP financial measure.</w:t>
      </w:r>
    </w:p>
    <w:p>
      <w:pPr>
        <w:spacing w:after="0" w:line="20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Overview of 2025 Executive Compensation Program</w:t>
      </w:r>
    </w:p>
    <w:p>
      <w:pPr>
        <w:spacing w:after="0" w:line="41" w:lineRule="exact"/>
        <w:rPr>
          <w:sz w:val="20"/>
          <w:szCs w:val="20"/>
          <w:color w:val="auto"/>
        </w:rPr>
      </w:pPr>
    </w:p>
    <w:p>
      <w:pPr>
        <w:ind w:left="940" w:right="900"/>
        <w:spacing w:after="0" w:line="246" w:lineRule="auto"/>
        <w:rPr>
          <w:sz w:val="20"/>
          <w:szCs w:val="20"/>
          <w:color w:val="auto"/>
        </w:rPr>
      </w:pPr>
      <w:r>
        <w:rPr>
          <w:rFonts w:ascii="Arial" w:cs="Arial" w:eastAsia="Arial" w:hAnsi="Arial"/>
          <w:sz w:val="17"/>
          <w:szCs w:val="17"/>
          <w:color w:val="003551"/>
        </w:rPr>
        <w:t>Our executive compensation program is designed to align the interests of directors and senior management with those of shareholders and IREN’s long-term strategic objectives. Our philosophy is grounded in the belief that a well-structured remuneration program supports the attraction, retention, and motivation of high-caliber leadership, while fostering sustainable performance and responsible governance. The following principles help guide us in designing our pay programs:</w:t>
      </w:r>
    </w:p>
    <w:p>
      <w:pPr>
        <w:spacing w:after="0" w:line="96" w:lineRule="exact"/>
        <w:rPr>
          <w:sz w:val="20"/>
          <w:szCs w:val="20"/>
          <w:color w:val="auto"/>
        </w:rPr>
      </w:pPr>
    </w:p>
    <w:p>
      <w:pPr>
        <w:ind w:left="1640" w:right="1600" w:hanging="348"/>
        <w:spacing w:after="0" w:line="283" w:lineRule="auto"/>
        <w:tabs>
          <w:tab w:leader="none" w:pos="1640" w:val="left"/>
        </w:tabs>
        <w:numPr>
          <w:ilvl w:val="0"/>
          <w:numId w:val="6"/>
        </w:numPr>
        <w:rPr>
          <w:rFonts w:ascii="Arial" w:cs="Arial" w:eastAsia="Arial" w:hAnsi="Arial"/>
          <w:sz w:val="17"/>
          <w:szCs w:val="17"/>
          <w:color w:val="003551"/>
        </w:rPr>
      </w:pPr>
      <w:r>
        <w:rPr>
          <w:rFonts w:ascii="Arial" w:cs="Arial" w:eastAsia="Arial" w:hAnsi="Arial"/>
          <w:sz w:val="17"/>
          <w:szCs w:val="17"/>
          <w:color w:val="003551"/>
        </w:rPr>
        <w:t>provide a total compensation program that takes into consideration competitive market requirements and strategic business needs;</w:t>
      </w:r>
    </w:p>
    <w:p>
      <w:pPr>
        <w:spacing w:after="0" w:line="76" w:lineRule="exact"/>
        <w:rPr>
          <w:rFonts w:ascii="Arial" w:cs="Arial" w:eastAsia="Arial" w:hAnsi="Arial"/>
          <w:sz w:val="17"/>
          <w:szCs w:val="17"/>
          <w:color w:val="003551"/>
        </w:rPr>
      </w:pPr>
    </w:p>
    <w:p>
      <w:pPr>
        <w:ind w:left="1640" w:right="1220" w:hanging="348"/>
        <w:spacing w:after="0" w:line="283" w:lineRule="auto"/>
        <w:tabs>
          <w:tab w:leader="none" w:pos="1640" w:val="left"/>
        </w:tabs>
        <w:numPr>
          <w:ilvl w:val="0"/>
          <w:numId w:val="6"/>
        </w:numPr>
        <w:rPr>
          <w:rFonts w:ascii="Arial" w:cs="Arial" w:eastAsia="Arial" w:hAnsi="Arial"/>
          <w:sz w:val="17"/>
          <w:szCs w:val="17"/>
          <w:color w:val="003551"/>
        </w:rPr>
      </w:pPr>
      <w:r>
        <w:rPr>
          <w:rFonts w:ascii="Arial" w:cs="Arial" w:eastAsia="Arial" w:hAnsi="Arial"/>
          <w:sz w:val="17"/>
          <w:szCs w:val="17"/>
          <w:color w:val="003551"/>
        </w:rPr>
        <w:t>motivate and reward executives to drive and achieve IREN’s goal of increasing shareholder value;</w:t>
      </w:r>
    </w:p>
    <w:p>
      <w:pPr>
        <w:spacing w:after="0" w:line="76" w:lineRule="exact"/>
        <w:rPr>
          <w:rFonts w:ascii="Arial" w:cs="Arial" w:eastAsia="Arial" w:hAnsi="Arial"/>
          <w:sz w:val="17"/>
          <w:szCs w:val="17"/>
          <w:color w:val="003551"/>
        </w:rPr>
      </w:pPr>
    </w:p>
    <w:p>
      <w:pPr>
        <w:ind w:left="1640" w:right="960" w:hanging="348"/>
        <w:spacing w:after="0" w:line="262" w:lineRule="auto"/>
        <w:tabs>
          <w:tab w:leader="none" w:pos="1640" w:val="left"/>
        </w:tabs>
        <w:numPr>
          <w:ilvl w:val="0"/>
          <w:numId w:val="6"/>
        </w:numPr>
        <w:rPr>
          <w:rFonts w:ascii="Arial" w:cs="Arial" w:eastAsia="Arial" w:hAnsi="Arial"/>
          <w:sz w:val="17"/>
          <w:szCs w:val="17"/>
          <w:color w:val="003551"/>
        </w:rPr>
      </w:pPr>
      <w:r>
        <w:rPr>
          <w:rFonts w:ascii="Arial" w:cs="Arial" w:eastAsia="Arial" w:hAnsi="Arial"/>
          <w:sz w:val="17"/>
          <w:szCs w:val="17"/>
          <w:color w:val="003551"/>
        </w:rPr>
        <w:t>align total compensation levels with those paid by industry leaders of comparable financial size and complexity, including industry-specific and size-appropriate peer group for benchmarking compensation; and</w:t>
      </w:r>
    </w:p>
    <w:p>
      <w:pPr>
        <w:spacing w:after="0" w:line="80" w:lineRule="exact"/>
        <w:rPr>
          <w:rFonts w:ascii="Arial" w:cs="Arial" w:eastAsia="Arial" w:hAnsi="Arial"/>
          <w:sz w:val="17"/>
          <w:szCs w:val="17"/>
          <w:color w:val="003551"/>
        </w:rPr>
      </w:pPr>
    </w:p>
    <w:p>
      <w:pPr>
        <w:ind w:left="1640" w:right="780" w:hanging="348"/>
        <w:spacing w:after="0" w:line="283" w:lineRule="auto"/>
        <w:tabs>
          <w:tab w:leader="none" w:pos="1640" w:val="left"/>
        </w:tabs>
        <w:numPr>
          <w:ilvl w:val="0"/>
          <w:numId w:val="6"/>
        </w:numPr>
        <w:rPr>
          <w:rFonts w:ascii="Arial" w:cs="Arial" w:eastAsia="Arial" w:hAnsi="Arial"/>
          <w:sz w:val="17"/>
          <w:szCs w:val="17"/>
          <w:color w:val="003551"/>
        </w:rPr>
      </w:pPr>
      <w:r>
        <w:rPr>
          <w:rFonts w:ascii="Arial" w:cs="Arial" w:eastAsia="Arial" w:hAnsi="Arial"/>
          <w:sz w:val="17"/>
          <w:szCs w:val="17"/>
          <w:color w:val="003551"/>
        </w:rPr>
        <w:t>allocate incentives for the achievement of short-term and long-term objectives, without motivating executives to take excessive risk.</w:t>
      </w:r>
    </w:p>
    <w:p>
      <w:pPr>
        <w:spacing w:after="0" w:line="89"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Executive remuneration comprises a combination of:</w:t>
      </w:r>
    </w:p>
    <w:p>
      <w:pPr>
        <w:spacing w:after="0" w:line="132" w:lineRule="exact"/>
        <w:rPr>
          <w:sz w:val="20"/>
          <w:szCs w:val="20"/>
          <w:color w:val="auto"/>
        </w:rPr>
      </w:pPr>
    </w:p>
    <w:p>
      <w:pPr>
        <w:ind w:left="1640" w:right="960" w:hanging="348"/>
        <w:spacing w:after="0" w:line="283" w:lineRule="auto"/>
        <w:tabs>
          <w:tab w:leader="none" w:pos="1640" w:val="left"/>
        </w:tabs>
        <w:numPr>
          <w:ilvl w:val="0"/>
          <w:numId w:val="7"/>
        </w:numPr>
        <w:rPr>
          <w:rFonts w:ascii="Arial" w:cs="Arial" w:eastAsia="Arial" w:hAnsi="Arial"/>
          <w:sz w:val="17"/>
          <w:szCs w:val="17"/>
          <w:color w:val="003551"/>
        </w:rPr>
      </w:pPr>
      <w:r>
        <w:rPr>
          <w:rFonts w:ascii="Arial" w:cs="Arial" w:eastAsia="Arial" w:hAnsi="Arial"/>
          <w:sz w:val="17"/>
          <w:szCs w:val="17"/>
          <w:color w:val="003551"/>
        </w:rPr>
        <w:t>Fixed Remuneration: Base salary and statutory benefits, reflecting the scope and complexity of the role, individual experience, and market benchmarks;</w:t>
      </w:r>
    </w:p>
    <w:p>
      <w:pPr>
        <w:spacing w:after="0" w:line="76" w:lineRule="exact"/>
        <w:rPr>
          <w:rFonts w:ascii="Arial" w:cs="Arial" w:eastAsia="Arial" w:hAnsi="Arial"/>
          <w:sz w:val="17"/>
          <w:szCs w:val="17"/>
          <w:color w:val="003551"/>
        </w:rPr>
      </w:pPr>
    </w:p>
    <w:p>
      <w:pPr>
        <w:ind w:left="1640" w:right="840" w:hanging="348"/>
        <w:spacing w:after="0" w:line="283" w:lineRule="auto"/>
        <w:tabs>
          <w:tab w:leader="none" w:pos="1640" w:val="left"/>
        </w:tabs>
        <w:numPr>
          <w:ilvl w:val="0"/>
          <w:numId w:val="7"/>
        </w:numPr>
        <w:rPr>
          <w:rFonts w:ascii="Arial" w:cs="Arial" w:eastAsia="Arial" w:hAnsi="Arial"/>
          <w:sz w:val="17"/>
          <w:szCs w:val="17"/>
          <w:color w:val="003551"/>
        </w:rPr>
      </w:pPr>
      <w:r>
        <w:rPr>
          <w:rFonts w:ascii="Arial" w:cs="Arial" w:eastAsia="Arial" w:hAnsi="Arial"/>
          <w:sz w:val="17"/>
          <w:szCs w:val="17"/>
          <w:color w:val="003551"/>
        </w:rPr>
        <w:t>Short-Term Incentives: Performance-based incentives based on annual financial and operational targets, as well as individual performance; and</w:t>
      </w:r>
    </w:p>
    <w:p>
      <w:pPr>
        <w:spacing w:after="0" w:line="76" w:lineRule="exact"/>
        <w:rPr>
          <w:rFonts w:ascii="Arial" w:cs="Arial" w:eastAsia="Arial" w:hAnsi="Arial"/>
          <w:sz w:val="17"/>
          <w:szCs w:val="17"/>
          <w:color w:val="003551"/>
        </w:rPr>
      </w:pPr>
    </w:p>
    <w:p>
      <w:pPr>
        <w:ind w:left="1640" w:right="740" w:hanging="348"/>
        <w:spacing w:after="0" w:line="262" w:lineRule="auto"/>
        <w:tabs>
          <w:tab w:leader="none" w:pos="1640" w:val="left"/>
        </w:tabs>
        <w:numPr>
          <w:ilvl w:val="0"/>
          <w:numId w:val="7"/>
        </w:numPr>
        <w:rPr>
          <w:rFonts w:ascii="Arial" w:cs="Arial" w:eastAsia="Arial" w:hAnsi="Arial"/>
          <w:sz w:val="17"/>
          <w:szCs w:val="17"/>
          <w:color w:val="003551"/>
        </w:rPr>
      </w:pPr>
      <w:r>
        <w:rPr>
          <w:rFonts w:ascii="Arial" w:cs="Arial" w:eastAsia="Arial" w:hAnsi="Arial"/>
          <w:sz w:val="17"/>
          <w:szCs w:val="17"/>
          <w:color w:val="003551"/>
        </w:rPr>
        <w:t>Long-Term Incentives: Equity-based awards designed to promote long-term value creation and align executive interests with shareholder returns. These awards typically vest over multiple years and are subject to continued service and/or performance hurdles.</w:t>
      </w:r>
    </w:p>
    <w:p>
      <w:pPr>
        <w:spacing w:after="0" w:line="52" w:lineRule="exact"/>
        <w:rPr>
          <w:sz w:val="20"/>
          <w:szCs w:val="20"/>
          <w:color w:val="auto"/>
        </w:rPr>
      </w:pPr>
    </w:p>
    <w:p>
      <w:pPr>
        <w:ind w:left="940" w:right="1380"/>
        <w:spacing w:after="0" w:line="286" w:lineRule="auto"/>
        <w:rPr>
          <w:sz w:val="20"/>
          <w:szCs w:val="20"/>
          <w:color w:val="auto"/>
        </w:rPr>
      </w:pPr>
      <w:r>
        <w:rPr>
          <w:rFonts w:ascii="Arial" w:cs="Arial" w:eastAsia="Arial" w:hAnsi="Arial"/>
          <w:sz w:val="17"/>
          <w:szCs w:val="17"/>
          <w:color w:val="003551"/>
        </w:rPr>
        <w:t>IREN’s board of directors (the “</w:t>
      </w:r>
      <w:r>
        <w:rPr>
          <w:rFonts w:ascii="Arial" w:cs="Arial" w:eastAsia="Arial" w:hAnsi="Arial"/>
          <w:sz w:val="17"/>
          <w:szCs w:val="17"/>
          <w:b w:val="1"/>
          <w:bCs w:val="1"/>
          <w:color w:val="003551"/>
        </w:rPr>
        <w:t>Board</w:t>
      </w:r>
      <w:r>
        <w:rPr>
          <w:rFonts w:ascii="Arial" w:cs="Arial" w:eastAsia="Arial" w:hAnsi="Arial"/>
          <w:sz w:val="17"/>
          <w:szCs w:val="17"/>
          <w:color w:val="003551"/>
        </w:rPr>
        <w:t>”) believes this structure promotes goal congruence between directors, executives, and shareholders, with leadership decisions being made with a view toward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98425</wp:posOffset>
            </wp:positionV>
            <wp:extent cx="540385" cy="6318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40" w:right="880"/>
        <w:spacing w:after="0" w:line="252" w:lineRule="auto"/>
        <w:rPr>
          <w:sz w:val="20"/>
          <w:szCs w:val="20"/>
          <w:color w:val="auto"/>
        </w:rPr>
      </w:pPr>
      <w:r>
        <w:rPr>
          <w:rFonts w:ascii="Arial" w:cs="Arial" w:eastAsia="Arial" w:hAnsi="Arial"/>
          <w:sz w:val="17"/>
          <w:szCs w:val="17"/>
          <w:color w:val="003551"/>
        </w:rPr>
        <w:t>sustainable growth and value creation. The compensation committee of the Board (the “</w:t>
      </w:r>
      <w:r>
        <w:rPr>
          <w:rFonts w:ascii="Arial" w:cs="Arial" w:eastAsia="Arial" w:hAnsi="Arial"/>
          <w:sz w:val="17"/>
          <w:szCs w:val="17"/>
          <w:b w:val="1"/>
          <w:bCs w:val="1"/>
          <w:color w:val="003551"/>
        </w:rPr>
        <w:t>Compensation</w:t>
      </w:r>
      <w:r>
        <w:rPr>
          <w:rFonts w:ascii="Arial" w:cs="Arial" w:eastAsia="Arial" w:hAnsi="Arial"/>
          <w:sz w:val="17"/>
          <w:szCs w:val="17"/>
          <w:color w:val="003551"/>
        </w:rPr>
        <w:t xml:space="preserve"> </w:t>
      </w:r>
      <w:r>
        <w:rPr>
          <w:rFonts w:ascii="Arial" w:cs="Arial" w:eastAsia="Arial" w:hAnsi="Arial"/>
          <w:sz w:val="17"/>
          <w:szCs w:val="17"/>
          <w:b w:val="1"/>
          <w:bCs w:val="1"/>
          <w:color w:val="003551"/>
        </w:rPr>
        <w:t>Committee</w:t>
      </w:r>
      <w:r>
        <w:rPr>
          <w:rFonts w:ascii="Arial" w:cs="Arial" w:eastAsia="Arial" w:hAnsi="Arial"/>
          <w:sz w:val="17"/>
          <w:szCs w:val="17"/>
          <w:color w:val="003551"/>
        </w:rPr>
        <w:t>”) is responsible for recommending the remuneration arrangements for executive officers and</w:t>
      </w:r>
      <w:r>
        <w:rPr>
          <w:rFonts w:ascii="Arial" w:cs="Arial" w:eastAsia="Arial" w:hAnsi="Arial"/>
          <w:sz w:val="17"/>
          <w:szCs w:val="17"/>
          <w:b w:val="1"/>
          <w:bCs w:val="1"/>
          <w:color w:val="003551"/>
        </w:rPr>
        <w:t xml:space="preserve"> </w:t>
      </w:r>
      <w:r>
        <w:rPr>
          <w:rFonts w:ascii="Arial" w:cs="Arial" w:eastAsia="Arial" w:hAnsi="Arial"/>
          <w:sz w:val="17"/>
          <w:szCs w:val="17"/>
          <w:color w:val="003551"/>
        </w:rPr>
        <w:t>non-employee directors, and the Board reviews these recommendations and approves such arrangements. In exercising this responsibility, the Board may seek independent advice from external executive compensation consultants. Remuneration decisions are guided by:</w:t>
      </w:r>
    </w:p>
    <w:p>
      <w:pPr>
        <w:spacing w:after="0" w:line="89" w:lineRule="exact"/>
        <w:rPr>
          <w:sz w:val="20"/>
          <w:szCs w:val="20"/>
          <w:color w:val="auto"/>
        </w:rPr>
      </w:pPr>
    </w:p>
    <w:p>
      <w:pPr>
        <w:ind w:left="1640" w:hanging="348"/>
        <w:spacing w:after="0"/>
        <w:tabs>
          <w:tab w:leader="none" w:pos="1640" w:val="left"/>
        </w:tabs>
        <w:numPr>
          <w:ilvl w:val="0"/>
          <w:numId w:val="8"/>
        </w:numPr>
        <w:rPr>
          <w:rFonts w:ascii="Arial" w:cs="Arial" w:eastAsia="Arial" w:hAnsi="Arial"/>
          <w:sz w:val="17"/>
          <w:szCs w:val="17"/>
          <w:color w:val="003551"/>
        </w:rPr>
      </w:pPr>
      <w:r>
        <w:rPr>
          <w:rFonts w:ascii="Arial" w:cs="Arial" w:eastAsia="Arial" w:hAnsi="Arial"/>
          <w:sz w:val="17"/>
          <w:szCs w:val="17"/>
          <w:color w:val="003551"/>
        </w:rPr>
        <w:t>performance evaluations at both individual and group levels;</w:t>
      </w:r>
    </w:p>
    <w:p>
      <w:pPr>
        <w:spacing w:after="0" w:line="145" w:lineRule="exact"/>
        <w:rPr>
          <w:rFonts w:ascii="Arial" w:cs="Arial" w:eastAsia="Arial" w:hAnsi="Arial"/>
          <w:sz w:val="17"/>
          <w:szCs w:val="17"/>
          <w:color w:val="003551"/>
        </w:rPr>
      </w:pPr>
    </w:p>
    <w:p>
      <w:pPr>
        <w:ind w:left="1640" w:hanging="348"/>
        <w:spacing w:after="0"/>
        <w:tabs>
          <w:tab w:leader="none" w:pos="1640" w:val="left"/>
        </w:tabs>
        <w:numPr>
          <w:ilvl w:val="0"/>
          <w:numId w:val="8"/>
        </w:numPr>
        <w:rPr>
          <w:rFonts w:ascii="Arial" w:cs="Arial" w:eastAsia="Arial" w:hAnsi="Arial"/>
          <w:sz w:val="17"/>
          <w:szCs w:val="17"/>
          <w:color w:val="003551"/>
        </w:rPr>
      </w:pPr>
      <w:r>
        <w:rPr>
          <w:rFonts w:ascii="Arial" w:cs="Arial" w:eastAsia="Arial" w:hAnsi="Arial"/>
          <w:sz w:val="17"/>
          <w:szCs w:val="17"/>
          <w:color w:val="003551"/>
        </w:rPr>
        <w:t>consideration of tenure and leadership contribution;</w:t>
      </w:r>
    </w:p>
    <w:p>
      <w:pPr>
        <w:spacing w:after="0" w:line="145" w:lineRule="exact"/>
        <w:rPr>
          <w:rFonts w:ascii="Arial" w:cs="Arial" w:eastAsia="Arial" w:hAnsi="Arial"/>
          <w:sz w:val="17"/>
          <w:szCs w:val="17"/>
          <w:color w:val="003551"/>
        </w:rPr>
      </w:pPr>
    </w:p>
    <w:p>
      <w:pPr>
        <w:ind w:left="1640" w:hanging="348"/>
        <w:spacing w:after="0"/>
        <w:tabs>
          <w:tab w:leader="none" w:pos="1640" w:val="left"/>
        </w:tabs>
        <w:numPr>
          <w:ilvl w:val="0"/>
          <w:numId w:val="8"/>
        </w:numPr>
        <w:rPr>
          <w:rFonts w:ascii="Arial" w:cs="Arial" w:eastAsia="Arial" w:hAnsi="Arial"/>
          <w:sz w:val="17"/>
          <w:szCs w:val="17"/>
          <w:color w:val="003551"/>
        </w:rPr>
      </w:pPr>
      <w:r>
        <w:rPr>
          <w:rFonts w:ascii="Arial" w:cs="Arial" w:eastAsia="Arial" w:hAnsi="Arial"/>
          <w:sz w:val="17"/>
          <w:szCs w:val="17"/>
          <w:color w:val="003551"/>
        </w:rPr>
        <w:t>external benchmarking against peer companies and industry norms; and</w:t>
      </w:r>
    </w:p>
    <w:p>
      <w:pPr>
        <w:spacing w:after="0" w:line="131" w:lineRule="exact"/>
        <w:rPr>
          <w:rFonts w:ascii="Arial" w:cs="Arial" w:eastAsia="Arial" w:hAnsi="Arial"/>
          <w:sz w:val="17"/>
          <w:szCs w:val="17"/>
          <w:color w:val="003551"/>
        </w:rPr>
      </w:pPr>
    </w:p>
    <w:p>
      <w:pPr>
        <w:ind w:left="1640" w:hanging="348"/>
        <w:spacing w:after="0"/>
        <w:tabs>
          <w:tab w:leader="none" w:pos="1640" w:val="left"/>
        </w:tabs>
        <w:numPr>
          <w:ilvl w:val="0"/>
          <w:numId w:val="8"/>
        </w:numPr>
        <w:rPr>
          <w:rFonts w:ascii="Arial" w:cs="Arial" w:eastAsia="Arial" w:hAnsi="Arial"/>
          <w:sz w:val="17"/>
          <w:szCs w:val="17"/>
          <w:color w:val="003551"/>
        </w:rPr>
      </w:pPr>
      <w:r>
        <w:rPr>
          <w:rFonts w:ascii="Arial" w:cs="Arial" w:eastAsia="Arial" w:hAnsi="Arial"/>
          <w:sz w:val="17"/>
          <w:szCs w:val="17"/>
          <w:color w:val="003551"/>
        </w:rPr>
        <w:t>regulatory compliance and governance best practices.</w:t>
      </w:r>
    </w:p>
    <w:p>
      <w:pPr>
        <w:spacing w:after="0" w:line="106" w:lineRule="exact"/>
        <w:rPr>
          <w:sz w:val="20"/>
          <w:szCs w:val="20"/>
          <w:color w:val="auto"/>
        </w:rPr>
      </w:pPr>
    </w:p>
    <w:p>
      <w:pPr>
        <w:ind w:left="940" w:right="900"/>
        <w:spacing w:after="0" w:line="262" w:lineRule="auto"/>
        <w:rPr>
          <w:sz w:val="20"/>
          <w:szCs w:val="20"/>
          <w:color w:val="auto"/>
        </w:rPr>
      </w:pPr>
      <w:r>
        <w:rPr>
          <w:rFonts w:ascii="Arial" w:cs="Arial" w:eastAsia="Arial" w:hAnsi="Arial"/>
          <w:sz w:val="17"/>
          <w:szCs w:val="17"/>
          <w:color w:val="003551"/>
        </w:rPr>
        <w:t>The Board remains committed to a transparent and performance-linked remuneration strategy that supports IREN’s ability to attract and retain exceptional talent, while ensuring alignment with shareholder interests and long-term corporate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111760</wp:posOffset>
            </wp:positionV>
            <wp:extent cx="540385" cy="6318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940"/>
        <w:spacing w:after="0"/>
        <w:rPr>
          <w:sz w:val="20"/>
          <w:szCs w:val="20"/>
          <w:color w:val="auto"/>
        </w:rPr>
      </w:pPr>
      <w:r>
        <w:rPr>
          <w:rFonts w:ascii="Arial" w:cs="Arial" w:eastAsia="Arial" w:hAnsi="Arial"/>
          <w:sz w:val="35"/>
          <w:szCs w:val="35"/>
          <w:color w:val="77C483"/>
        </w:rPr>
        <w:t>Corporate Governance at IREN</w:t>
      </w:r>
    </w:p>
    <w:p>
      <w:pPr>
        <w:spacing w:after="0" w:line="6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Board of Directors and Executive Officers</w:t>
      </w:r>
    </w:p>
    <w:p>
      <w:pPr>
        <w:spacing w:after="0" w:line="24" w:lineRule="exact"/>
        <w:rPr>
          <w:sz w:val="20"/>
          <w:szCs w:val="20"/>
          <w:color w:val="auto"/>
        </w:rPr>
      </w:pPr>
    </w:p>
    <w:p>
      <w:pPr>
        <w:jc w:val="both"/>
        <w:ind w:left="940" w:right="780"/>
        <w:spacing w:after="0" w:line="252" w:lineRule="auto"/>
        <w:rPr>
          <w:sz w:val="20"/>
          <w:szCs w:val="20"/>
          <w:color w:val="auto"/>
        </w:rPr>
      </w:pPr>
      <w:r>
        <w:rPr>
          <w:rFonts w:ascii="Arial" w:cs="Arial" w:eastAsia="Arial" w:hAnsi="Arial"/>
          <w:sz w:val="17"/>
          <w:szCs w:val="17"/>
          <w:color w:val="003551"/>
        </w:rPr>
        <w:t>The table below presents information for each of the directors, each of whom have been appointed by the Board and are not being voted on at the AGM. IREN believes that each of the below directors possess the qualifications to serve as a member of the Board. The table below also presents our executive officers.</w:t>
      </w:r>
    </w:p>
    <w:p>
      <w:pPr>
        <w:spacing w:after="0" w:line="119" w:lineRule="exact"/>
        <w:rPr>
          <w:sz w:val="20"/>
          <w:szCs w:val="20"/>
          <w:color w:val="auto"/>
        </w:rPr>
      </w:pPr>
    </w:p>
    <w:tbl>
      <w:tblPr>
        <w:tblLayout w:type="fixed"/>
        <w:tblInd w:w="940" w:type="dxa"/>
        <w:tblCellMar>
          <w:top w:w="0" w:type="dxa"/>
          <w:left w:w="0" w:type="dxa"/>
          <w:bottom w:w="0" w:type="dxa"/>
          <w:right w:w="0" w:type="dxa"/>
        </w:tblCellMar>
      </w:tblPr>
      <w:tr>
        <w:trPr>
          <w:trHeight w:val="335"/>
        </w:trPr>
        <w:tc>
          <w:tcPr>
            <w:tcW w:w="1780" w:type="dxa"/>
            <w:vAlign w:val="bottom"/>
            <w:shd w:val="clear" w:color="auto" w:fill="77C483"/>
          </w:tcPr>
          <w:p>
            <w:pPr>
              <w:spacing w:after="0"/>
              <w:rPr>
                <w:sz w:val="24"/>
                <w:szCs w:val="24"/>
                <w:color w:val="auto"/>
              </w:rPr>
            </w:pPr>
          </w:p>
        </w:tc>
        <w:tc>
          <w:tcPr>
            <w:tcW w:w="360" w:type="dxa"/>
            <w:vAlign w:val="bottom"/>
            <w:shd w:val="clear" w:color="auto" w:fill="77C483"/>
          </w:tcPr>
          <w:p>
            <w:pPr>
              <w:spacing w:after="0"/>
              <w:rPr>
                <w:sz w:val="24"/>
                <w:szCs w:val="24"/>
                <w:color w:val="auto"/>
              </w:rPr>
            </w:pPr>
          </w:p>
        </w:tc>
        <w:tc>
          <w:tcPr>
            <w:tcW w:w="2340" w:type="dxa"/>
            <w:vAlign w:val="bottom"/>
            <w:shd w:val="clear" w:color="auto" w:fill="77C483"/>
          </w:tcPr>
          <w:p>
            <w:pPr>
              <w:spacing w:after="0"/>
              <w:rPr>
                <w:sz w:val="24"/>
                <w:szCs w:val="24"/>
                <w:color w:val="auto"/>
              </w:rPr>
            </w:pPr>
          </w:p>
        </w:tc>
        <w:tc>
          <w:tcPr>
            <w:tcW w:w="2080" w:type="dxa"/>
            <w:vAlign w:val="bottom"/>
            <w:shd w:val="clear" w:color="auto" w:fill="77C483"/>
          </w:tcPr>
          <w:p>
            <w:pPr>
              <w:spacing w:after="0"/>
              <w:rPr>
                <w:sz w:val="24"/>
                <w:szCs w:val="24"/>
                <w:color w:val="auto"/>
              </w:rPr>
            </w:pPr>
          </w:p>
        </w:tc>
        <w:tc>
          <w:tcPr>
            <w:tcW w:w="1680" w:type="dxa"/>
            <w:vAlign w:val="bottom"/>
            <w:shd w:val="clear" w:color="auto" w:fill="77C483"/>
          </w:tcPr>
          <w:p>
            <w:pPr>
              <w:ind w:left="80"/>
              <w:spacing w:after="0"/>
              <w:rPr>
                <w:sz w:val="20"/>
                <w:szCs w:val="20"/>
                <w:color w:val="auto"/>
              </w:rPr>
            </w:pPr>
            <w:r>
              <w:rPr>
                <w:rFonts w:ascii="Arial" w:cs="Arial" w:eastAsia="Arial" w:hAnsi="Arial"/>
                <w:sz w:val="17"/>
                <w:szCs w:val="17"/>
                <w:b w:val="1"/>
                <w:bCs w:val="1"/>
                <w:color w:val="003551"/>
              </w:rPr>
              <w:t>Year First</w:t>
            </w:r>
          </w:p>
        </w:tc>
      </w:tr>
      <w:tr>
        <w:trPr>
          <w:trHeight w:val="196"/>
        </w:trPr>
        <w:tc>
          <w:tcPr>
            <w:tcW w:w="1780" w:type="dxa"/>
            <w:vAlign w:val="bottom"/>
            <w:shd w:val="clear" w:color="auto" w:fill="77C483"/>
          </w:tcPr>
          <w:p>
            <w:pPr>
              <w:spacing w:after="0"/>
              <w:rPr>
                <w:sz w:val="17"/>
                <w:szCs w:val="17"/>
                <w:color w:val="auto"/>
              </w:rPr>
            </w:pPr>
          </w:p>
        </w:tc>
        <w:tc>
          <w:tcPr>
            <w:tcW w:w="360" w:type="dxa"/>
            <w:vAlign w:val="bottom"/>
            <w:shd w:val="clear" w:color="auto" w:fill="77C483"/>
          </w:tcPr>
          <w:p>
            <w:pPr>
              <w:spacing w:after="0"/>
              <w:rPr>
                <w:sz w:val="17"/>
                <w:szCs w:val="17"/>
                <w:color w:val="auto"/>
              </w:rPr>
            </w:pPr>
          </w:p>
        </w:tc>
        <w:tc>
          <w:tcPr>
            <w:tcW w:w="2340" w:type="dxa"/>
            <w:vAlign w:val="bottom"/>
            <w:shd w:val="clear" w:color="auto" w:fill="77C483"/>
          </w:tcPr>
          <w:p>
            <w:pPr>
              <w:spacing w:after="0"/>
              <w:rPr>
                <w:sz w:val="17"/>
                <w:szCs w:val="17"/>
                <w:color w:val="auto"/>
              </w:rPr>
            </w:pPr>
          </w:p>
        </w:tc>
        <w:tc>
          <w:tcPr>
            <w:tcW w:w="2080" w:type="dxa"/>
            <w:vAlign w:val="bottom"/>
            <w:shd w:val="clear" w:color="auto" w:fill="77C483"/>
          </w:tcPr>
          <w:p>
            <w:pPr>
              <w:spacing w:after="0"/>
              <w:rPr>
                <w:sz w:val="17"/>
                <w:szCs w:val="17"/>
                <w:color w:val="auto"/>
              </w:rPr>
            </w:pPr>
          </w:p>
        </w:tc>
        <w:tc>
          <w:tcPr>
            <w:tcW w:w="1680" w:type="dxa"/>
            <w:vAlign w:val="bottom"/>
            <w:shd w:val="clear" w:color="auto" w:fill="77C483"/>
          </w:tcPr>
          <w:p>
            <w:pPr>
              <w:ind w:left="80"/>
              <w:spacing w:after="0"/>
              <w:rPr>
                <w:sz w:val="20"/>
                <w:szCs w:val="20"/>
                <w:color w:val="auto"/>
              </w:rPr>
            </w:pPr>
            <w:r>
              <w:rPr>
                <w:rFonts w:ascii="Arial" w:cs="Arial" w:eastAsia="Arial" w:hAnsi="Arial"/>
                <w:sz w:val="17"/>
                <w:szCs w:val="17"/>
                <w:b w:val="1"/>
                <w:bCs w:val="1"/>
                <w:color w:val="003551"/>
              </w:rPr>
              <w:t>Appointed</w:t>
            </w:r>
          </w:p>
        </w:tc>
      </w:tr>
      <w:tr>
        <w:trPr>
          <w:trHeight w:val="240"/>
        </w:trPr>
        <w:tc>
          <w:tcPr>
            <w:tcW w:w="1780" w:type="dxa"/>
            <w:vAlign w:val="bottom"/>
            <w:shd w:val="clear" w:color="auto" w:fill="77C483"/>
          </w:tcPr>
          <w:p>
            <w:pPr>
              <w:ind w:left="160"/>
              <w:spacing w:after="0"/>
              <w:rPr>
                <w:sz w:val="20"/>
                <w:szCs w:val="20"/>
                <w:color w:val="auto"/>
              </w:rPr>
            </w:pPr>
            <w:r>
              <w:rPr>
                <w:rFonts w:ascii="Arial" w:cs="Arial" w:eastAsia="Arial" w:hAnsi="Arial"/>
                <w:sz w:val="17"/>
                <w:szCs w:val="17"/>
                <w:b w:val="1"/>
                <w:bCs w:val="1"/>
                <w:color w:val="003551"/>
              </w:rPr>
              <w:t>Name</w:t>
            </w:r>
          </w:p>
        </w:tc>
        <w:tc>
          <w:tcPr>
            <w:tcW w:w="2700" w:type="dxa"/>
            <w:vAlign w:val="bottom"/>
            <w:gridSpan w:val="2"/>
            <w:shd w:val="clear" w:color="auto" w:fill="77C483"/>
          </w:tcPr>
          <w:p>
            <w:pPr>
              <w:ind w:left="60"/>
              <w:spacing w:after="0"/>
              <w:rPr>
                <w:sz w:val="20"/>
                <w:szCs w:val="20"/>
                <w:color w:val="auto"/>
              </w:rPr>
            </w:pPr>
            <w:r>
              <w:rPr>
                <w:rFonts w:ascii="Arial" w:cs="Arial" w:eastAsia="Arial" w:hAnsi="Arial"/>
                <w:sz w:val="17"/>
                <w:szCs w:val="17"/>
                <w:b w:val="1"/>
                <w:bCs w:val="1"/>
                <w:color w:val="003551"/>
              </w:rPr>
              <w:t>Age Committee Roles</w:t>
            </w:r>
          </w:p>
        </w:tc>
        <w:tc>
          <w:tcPr>
            <w:tcW w:w="2080" w:type="dxa"/>
            <w:vAlign w:val="bottom"/>
            <w:shd w:val="clear" w:color="auto" w:fill="77C483"/>
          </w:tcPr>
          <w:p>
            <w:pPr>
              <w:ind w:left="220"/>
              <w:spacing w:after="0"/>
              <w:rPr>
                <w:sz w:val="20"/>
                <w:szCs w:val="20"/>
                <w:color w:val="auto"/>
              </w:rPr>
            </w:pPr>
            <w:r>
              <w:rPr>
                <w:rFonts w:ascii="Arial" w:cs="Arial" w:eastAsia="Arial" w:hAnsi="Arial"/>
                <w:sz w:val="17"/>
                <w:szCs w:val="17"/>
                <w:b w:val="1"/>
                <w:bCs w:val="1"/>
                <w:color w:val="003551"/>
              </w:rPr>
              <w:t>Position</w:t>
            </w:r>
          </w:p>
        </w:tc>
        <w:tc>
          <w:tcPr>
            <w:tcW w:w="1680" w:type="dxa"/>
            <w:vAlign w:val="bottom"/>
            <w:shd w:val="clear" w:color="auto" w:fill="77C483"/>
          </w:tcPr>
          <w:p>
            <w:pPr>
              <w:ind w:left="80"/>
              <w:spacing w:after="0"/>
              <w:rPr>
                <w:sz w:val="20"/>
                <w:szCs w:val="20"/>
                <w:color w:val="auto"/>
              </w:rPr>
            </w:pPr>
            <w:r>
              <w:rPr>
                <w:rFonts w:ascii="Arial" w:cs="Arial" w:eastAsia="Arial" w:hAnsi="Arial"/>
                <w:sz w:val="17"/>
                <w:szCs w:val="17"/>
                <w:b w:val="1"/>
                <w:bCs w:val="1"/>
                <w:color w:val="003551"/>
              </w:rPr>
              <w:t>to Board</w:t>
            </w:r>
          </w:p>
        </w:tc>
      </w:tr>
      <w:tr>
        <w:trPr>
          <w:trHeight w:val="93"/>
        </w:trPr>
        <w:tc>
          <w:tcPr>
            <w:tcW w:w="4480" w:type="dxa"/>
            <w:vAlign w:val="bottom"/>
            <w:tcBorders>
              <w:bottom w:val="single" w:sz="8" w:color="003551"/>
            </w:tcBorders>
            <w:gridSpan w:val="3"/>
            <w:shd w:val="clear" w:color="auto" w:fill="77C483"/>
          </w:tcPr>
          <w:p>
            <w:pPr>
              <w:spacing w:after="0"/>
              <w:rPr>
                <w:sz w:val="8"/>
                <w:szCs w:val="8"/>
                <w:color w:val="auto"/>
              </w:rPr>
            </w:pPr>
          </w:p>
        </w:tc>
        <w:tc>
          <w:tcPr>
            <w:tcW w:w="2080" w:type="dxa"/>
            <w:vAlign w:val="bottom"/>
            <w:tcBorders>
              <w:bottom w:val="single" w:sz="8" w:color="003551"/>
            </w:tcBorders>
            <w:shd w:val="clear" w:color="auto" w:fill="77C483"/>
          </w:tcPr>
          <w:p>
            <w:pPr>
              <w:spacing w:after="0"/>
              <w:rPr>
                <w:sz w:val="8"/>
                <w:szCs w:val="8"/>
                <w:color w:val="auto"/>
              </w:rPr>
            </w:pPr>
          </w:p>
        </w:tc>
        <w:tc>
          <w:tcPr>
            <w:tcW w:w="1680" w:type="dxa"/>
            <w:vAlign w:val="bottom"/>
            <w:tcBorders>
              <w:bottom w:val="single" w:sz="8" w:color="003551"/>
            </w:tcBorders>
            <w:shd w:val="clear" w:color="auto" w:fill="77C483"/>
          </w:tcPr>
          <w:p>
            <w:pPr>
              <w:spacing w:after="0"/>
              <w:rPr>
                <w:sz w:val="8"/>
                <w:szCs w:val="8"/>
                <w:color w:val="auto"/>
              </w:rPr>
            </w:pPr>
          </w:p>
        </w:tc>
      </w:tr>
      <w:tr>
        <w:trPr>
          <w:trHeight w:val="332"/>
        </w:trPr>
        <w:tc>
          <w:tcPr>
            <w:tcW w:w="4480" w:type="dxa"/>
            <w:vAlign w:val="bottom"/>
            <w:gridSpan w:val="3"/>
          </w:tcPr>
          <w:p>
            <w:pPr>
              <w:ind w:left="160"/>
              <w:spacing w:after="0"/>
              <w:rPr>
                <w:sz w:val="20"/>
                <w:szCs w:val="20"/>
                <w:color w:val="auto"/>
              </w:rPr>
            </w:pPr>
            <w:r>
              <w:rPr>
                <w:rFonts w:ascii="Arial" w:cs="Arial" w:eastAsia="Arial" w:hAnsi="Arial"/>
                <w:sz w:val="17"/>
                <w:szCs w:val="17"/>
                <w:b w:val="1"/>
                <w:bCs w:val="1"/>
                <w:i w:val="1"/>
                <w:iCs w:val="1"/>
                <w:color w:val="003551"/>
              </w:rPr>
              <w:t>Independent Non-Executive Directors</w:t>
            </w:r>
          </w:p>
        </w:tc>
        <w:tc>
          <w:tcPr>
            <w:tcW w:w="20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91"/>
        </w:trPr>
        <w:tc>
          <w:tcPr>
            <w:tcW w:w="2140" w:type="dxa"/>
            <w:vAlign w:val="bottom"/>
            <w:gridSpan w:val="2"/>
          </w:tcPr>
          <w:p>
            <w:pPr>
              <w:ind w:left="160"/>
              <w:spacing w:after="0"/>
              <w:rPr>
                <w:sz w:val="20"/>
                <w:szCs w:val="20"/>
                <w:color w:val="auto"/>
              </w:rPr>
            </w:pPr>
            <w:r>
              <w:rPr>
                <w:rFonts w:ascii="Arial" w:cs="Arial" w:eastAsia="Arial" w:hAnsi="Arial"/>
                <w:sz w:val="17"/>
                <w:szCs w:val="17"/>
                <w:b w:val="1"/>
                <w:bCs w:val="1"/>
                <w:color w:val="003551"/>
              </w:rPr>
              <w:t xml:space="preserve">David Bartholomew </w:t>
            </w:r>
            <w:r>
              <w:rPr>
                <w:rFonts w:ascii="Arial" w:cs="Arial" w:eastAsia="Arial" w:hAnsi="Arial"/>
                <w:sz w:val="17"/>
                <w:szCs w:val="17"/>
                <w:color w:val="003551"/>
              </w:rPr>
              <w:t>64</w:t>
            </w:r>
          </w:p>
        </w:tc>
        <w:tc>
          <w:tcPr>
            <w:tcW w:w="2340" w:type="dxa"/>
            <w:vAlign w:val="bottom"/>
          </w:tcPr>
          <w:p>
            <w:pPr>
              <w:ind w:left="100"/>
              <w:spacing w:after="0"/>
              <w:rPr>
                <w:sz w:val="20"/>
                <w:szCs w:val="20"/>
                <w:color w:val="auto"/>
              </w:rPr>
            </w:pPr>
            <w:r>
              <w:rPr>
                <w:rFonts w:ascii="Arial" w:cs="Arial" w:eastAsia="Arial" w:hAnsi="Arial"/>
                <w:sz w:val="17"/>
                <w:szCs w:val="17"/>
                <w:color w:val="003551"/>
              </w:rPr>
              <w:t>Audit and Risk Committee</w:t>
            </w:r>
          </w:p>
        </w:tc>
        <w:tc>
          <w:tcPr>
            <w:tcW w:w="2080" w:type="dxa"/>
            <w:vAlign w:val="bottom"/>
          </w:tcPr>
          <w:p>
            <w:pPr>
              <w:ind w:left="220"/>
              <w:spacing w:after="0"/>
              <w:rPr>
                <w:sz w:val="20"/>
                <w:szCs w:val="20"/>
                <w:color w:val="auto"/>
              </w:rPr>
            </w:pPr>
            <w:r>
              <w:rPr>
                <w:rFonts w:ascii="Arial" w:cs="Arial" w:eastAsia="Arial" w:hAnsi="Arial"/>
                <w:sz w:val="17"/>
                <w:szCs w:val="17"/>
                <w:color w:val="003551"/>
              </w:rPr>
              <w:t>Chair</w:t>
            </w:r>
          </w:p>
        </w:tc>
        <w:tc>
          <w:tcPr>
            <w:tcW w:w="1680" w:type="dxa"/>
            <w:vAlign w:val="bottom"/>
          </w:tcPr>
          <w:p>
            <w:pPr>
              <w:ind w:left="80"/>
              <w:spacing w:after="0"/>
              <w:rPr>
                <w:sz w:val="20"/>
                <w:szCs w:val="20"/>
                <w:color w:val="auto"/>
              </w:rPr>
            </w:pPr>
            <w:r>
              <w:rPr>
                <w:rFonts w:ascii="Arial" w:cs="Arial" w:eastAsia="Arial" w:hAnsi="Arial"/>
                <w:sz w:val="17"/>
                <w:szCs w:val="17"/>
                <w:color w:val="003551"/>
              </w:rPr>
              <w:t>2021</w:t>
            </w:r>
          </w:p>
        </w:tc>
      </w:tr>
      <w:tr>
        <w:trPr>
          <w:trHeight w:val="196"/>
        </w:trPr>
        <w:tc>
          <w:tcPr>
            <w:tcW w:w="1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40" w:type="dxa"/>
            <w:vAlign w:val="bottom"/>
          </w:tcPr>
          <w:p>
            <w:pPr>
              <w:ind w:left="100"/>
              <w:spacing w:after="0"/>
              <w:rPr>
                <w:sz w:val="20"/>
                <w:szCs w:val="20"/>
                <w:color w:val="auto"/>
              </w:rPr>
            </w:pPr>
            <w:r>
              <w:rPr>
                <w:rFonts w:ascii="Arial" w:cs="Arial" w:eastAsia="Arial" w:hAnsi="Arial"/>
                <w:sz w:val="17"/>
                <w:szCs w:val="17"/>
                <w:color w:val="003551"/>
              </w:rPr>
              <w:t>Compensation Committee</w:t>
            </w:r>
          </w:p>
        </w:tc>
        <w:tc>
          <w:tcPr>
            <w:tcW w:w="20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0"/>
        </w:trPr>
        <w:tc>
          <w:tcPr>
            <w:tcW w:w="1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40" w:type="dxa"/>
            <w:vAlign w:val="bottom"/>
          </w:tcPr>
          <w:p>
            <w:pPr>
              <w:ind w:left="100"/>
              <w:spacing w:after="0"/>
              <w:rPr>
                <w:sz w:val="20"/>
                <w:szCs w:val="20"/>
                <w:color w:val="auto"/>
              </w:rPr>
            </w:pPr>
            <w:r>
              <w:rPr>
                <w:rFonts w:ascii="Arial" w:cs="Arial" w:eastAsia="Arial" w:hAnsi="Arial"/>
                <w:sz w:val="17"/>
                <w:szCs w:val="17"/>
                <w:color w:val="003551"/>
              </w:rPr>
              <w:t>(Chair)</w:t>
            </w:r>
          </w:p>
        </w:tc>
        <w:tc>
          <w:tcPr>
            <w:tcW w:w="20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99"/>
        </w:trPr>
        <w:tc>
          <w:tcPr>
            <w:tcW w:w="1780" w:type="dxa"/>
            <w:vAlign w:val="bottom"/>
          </w:tcPr>
          <w:p>
            <w:pPr>
              <w:ind w:left="160"/>
              <w:spacing w:after="0"/>
              <w:rPr>
                <w:sz w:val="20"/>
                <w:szCs w:val="20"/>
                <w:color w:val="auto"/>
              </w:rPr>
            </w:pPr>
            <w:r>
              <w:rPr>
                <w:rFonts w:ascii="Arial" w:cs="Arial" w:eastAsia="Arial" w:hAnsi="Arial"/>
                <w:sz w:val="17"/>
                <w:szCs w:val="17"/>
                <w:b w:val="1"/>
                <w:bCs w:val="1"/>
                <w:color w:val="003551"/>
              </w:rPr>
              <w:t>Michael Alfred</w:t>
            </w:r>
          </w:p>
        </w:tc>
        <w:tc>
          <w:tcPr>
            <w:tcW w:w="360" w:type="dxa"/>
            <w:vAlign w:val="bottom"/>
          </w:tcPr>
          <w:p>
            <w:pPr>
              <w:ind w:left="60"/>
              <w:spacing w:after="0"/>
              <w:rPr>
                <w:sz w:val="20"/>
                <w:szCs w:val="20"/>
                <w:color w:val="auto"/>
              </w:rPr>
            </w:pPr>
            <w:r>
              <w:rPr>
                <w:rFonts w:ascii="Arial" w:cs="Arial" w:eastAsia="Arial" w:hAnsi="Arial"/>
                <w:sz w:val="17"/>
                <w:szCs w:val="17"/>
                <w:color w:val="003551"/>
              </w:rPr>
              <w:t>44</w:t>
            </w:r>
          </w:p>
        </w:tc>
        <w:tc>
          <w:tcPr>
            <w:tcW w:w="2340" w:type="dxa"/>
            <w:vAlign w:val="bottom"/>
          </w:tcPr>
          <w:p>
            <w:pPr>
              <w:ind w:left="100"/>
              <w:spacing w:after="0"/>
              <w:rPr>
                <w:sz w:val="20"/>
                <w:szCs w:val="20"/>
                <w:color w:val="auto"/>
              </w:rPr>
            </w:pPr>
            <w:r>
              <w:rPr>
                <w:rFonts w:ascii="Arial" w:cs="Arial" w:eastAsia="Arial" w:hAnsi="Arial"/>
                <w:sz w:val="17"/>
                <w:szCs w:val="17"/>
                <w:color w:val="003551"/>
              </w:rPr>
              <w:t>Audit and Risk Committee</w:t>
            </w:r>
          </w:p>
        </w:tc>
        <w:tc>
          <w:tcPr>
            <w:tcW w:w="2080" w:type="dxa"/>
            <w:vAlign w:val="bottom"/>
          </w:tcPr>
          <w:p>
            <w:pPr>
              <w:ind w:left="220"/>
              <w:spacing w:after="0"/>
              <w:rPr>
                <w:sz w:val="20"/>
                <w:szCs w:val="20"/>
                <w:color w:val="auto"/>
              </w:rPr>
            </w:pPr>
            <w:r>
              <w:rPr>
                <w:rFonts w:ascii="Arial" w:cs="Arial" w:eastAsia="Arial" w:hAnsi="Arial"/>
                <w:sz w:val="17"/>
                <w:szCs w:val="17"/>
                <w:color w:val="003551"/>
              </w:rPr>
              <w:t>Director</w:t>
            </w:r>
          </w:p>
        </w:tc>
        <w:tc>
          <w:tcPr>
            <w:tcW w:w="1680" w:type="dxa"/>
            <w:vAlign w:val="bottom"/>
          </w:tcPr>
          <w:p>
            <w:pPr>
              <w:ind w:left="80"/>
              <w:spacing w:after="0"/>
              <w:rPr>
                <w:sz w:val="20"/>
                <w:szCs w:val="20"/>
                <w:color w:val="auto"/>
              </w:rPr>
            </w:pPr>
            <w:r>
              <w:rPr>
                <w:rFonts w:ascii="Arial" w:cs="Arial" w:eastAsia="Arial" w:hAnsi="Arial"/>
                <w:sz w:val="17"/>
                <w:szCs w:val="17"/>
                <w:color w:val="003551"/>
              </w:rPr>
              <w:t>2021</w:t>
            </w:r>
          </w:p>
        </w:tc>
      </w:tr>
      <w:tr>
        <w:trPr>
          <w:trHeight w:val="230"/>
        </w:trPr>
        <w:tc>
          <w:tcPr>
            <w:tcW w:w="1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40" w:type="dxa"/>
            <w:vAlign w:val="bottom"/>
          </w:tcPr>
          <w:p>
            <w:pPr>
              <w:ind w:left="100"/>
              <w:spacing w:after="0"/>
              <w:rPr>
                <w:sz w:val="20"/>
                <w:szCs w:val="20"/>
                <w:color w:val="auto"/>
              </w:rPr>
            </w:pPr>
            <w:r>
              <w:rPr>
                <w:rFonts w:ascii="Arial" w:cs="Arial" w:eastAsia="Arial" w:hAnsi="Arial"/>
                <w:sz w:val="17"/>
                <w:szCs w:val="17"/>
                <w:color w:val="003551"/>
              </w:rPr>
              <w:t>Compensation Committee</w:t>
            </w:r>
          </w:p>
        </w:tc>
        <w:tc>
          <w:tcPr>
            <w:tcW w:w="20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97"/>
        </w:trPr>
        <w:tc>
          <w:tcPr>
            <w:tcW w:w="1780" w:type="dxa"/>
            <w:vAlign w:val="bottom"/>
          </w:tcPr>
          <w:p>
            <w:pPr>
              <w:ind w:left="160"/>
              <w:spacing w:after="0"/>
              <w:rPr>
                <w:sz w:val="20"/>
                <w:szCs w:val="20"/>
                <w:color w:val="auto"/>
              </w:rPr>
            </w:pPr>
            <w:r>
              <w:rPr>
                <w:rFonts w:ascii="Arial" w:cs="Arial" w:eastAsia="Arial" w:hAnsi="Arial"/>
                <w:sz w:val="17"/>
                <w:szCs w:val="17"/>
                <w:b w:val="1"/>
                <w:bCs w:val="1"/>
                <w:color w:val="003551"/>
              </w:rPr>
              <w:t>Christopher</w:t>
            </w:r>
          </w:p>
        </w:tc>
        <w:tc>
          <w:tcPr>
            <w:tcW w:w="360" w:type="dxa"/>
            <w:vAlign w:val="bottom"/>
          </w:tcPr>
          <w:p>
            <w:pPr>
              <w:ind w:left="60"/>
              <w:spacing w:after="0"/>
              <w:rPr>
                <w:sz w:val="20"/>
                <w:szCs w:val="20"/>
                <w:color w:val="auto"/>
              </w:rPr>
            </w:pPr>
            <w:r>
              <w:rPr>
                <w:rFonts w:ascii="Arial" w:cs="Arial" w:eastAsia="Arial" w:hAnsi="Arial"/>
                <w:sz w:val="17"/>
                <w:szCs w:val="17"/>
                <w:color w:val="003551"/>
              </w:rPr>
              <w:t>40</w:t>
            </w:r>
          </w:p>
        </w:tc>
        <w:tc>
          <w:tcPr>
            <w:tcW w:w="2340" w:type="dxa"/>
            <w:vAlign w:val="bottom"/>
          </w:tcPr>
          <w:p>
            <w:pPr>
              <w:ind w:left="100"/>
              <w:spacing w:after="0"/>
              <w:rPr>
                <w:sz w:val="20"/>
                <w:szCs w:val="20"/>
                <w:color w:val="auto"/>
              </w:rPr>
            </w:pPr>
            <w:r>
              <w:rPr>
                <w:rFonts w:ascii="Arial" w:cs="Arial" w:eastAsia="Arial" w:hAnsi="Arial"/>
                <w:sz w:val="17"/>
                <w:szCs w:val="17"/>
                <w:color w:val="003551"/>
              </w:rPr>
              <w:t>Audit and Risk Committee</w:t>
            </w:r>
          </w:p>
        </w:tc>
        <w:tc>
          <w:tcPr>
            <w:tcW w:w="2080" w:type="dxa"/>
            <w:vAlign w:val="bottom"/>
          </w:tcPr>
          <w:p>
            <w:pPr>
              <w:ind w:left="220"/>
              <w:spacing w:after="0"/>
              <w:rPr>
                <w:sz w:val="20"/>
                <w:szCs w:val="20"/>
                <w:color w:val="auto"/>
              </w:rPr>
            </w:pPr>
            <w:r>
              <w:rPr>
                <w:rFonts w:ascii="Arial" w:cs="Arial" w:eastAsia="Arial" w:hAnsi="Arial"/>
                <w:sz w:val="17"/>
                <w:szCs w:val="17"/>
                <w:color w:val="003551"/>
              </w:rPr>
              <w:t>Director</w:t>
            </w:r>
          </w:p>
        </w:tc>
        <w:tc>
          <w:tcPr>
            <w:tcW w:w="1680" w:type="dxa"/>
            <w:vAlign w:val="bottom"/>
          </w:tcPr>
          <w:p>
            <w:pPr>
              <w:ind w:left="80"/>
              <w:spacing w:after="0"/>
              <w:rPr>
                <w:sz w:val="20"/>
                <w:szCs w:val="20"/>
                <w:color w:val="auto"/>
              </w:rPr>
            </w:pPr>
            <w:r>
              <w:rPr>
                <w:rFonts w:ascii="Arial" w:cs="Arial" w:eastAsia="Arial" w:hAnsi="Arial"/>
                <w:sz w:val="17"/>
                <w:szCs w:val="17"/>
                <w:color w:val="003551"/>
              </w:rPr>
              <w:t>2019</w:t>
            </w:r>
          </w:p>
        </w:tc>
      </w:tr>
      <w:tr>
        <w:trPr>
          <w:trHeight w:val="240"/>
        </w:trPr>
        <w:tc>
          <w:tcPr>
            <w:tcW w:w="1780" w:type="dxa"/>
            <w:vAlign w:val="bottom"/>
          </w:tcPr>
          <w:p>
            <w:pPr>
              <w:ind w:left="340"/>
              <w:spacing w:after="0"/>
              <w:rPr>
                <w:sz w:val="20"/>
                <w:szCs w:val="20"/>
                <w:color w:val="auto"/>
              </w:rPr>
            </w:pPr>
            <w:r>
              <w:rPr>
                <w:rFonts w:ascii="Arial" w:cs="Arial" w:eastAsia="Arial" w:hAnsi="Arial"/>
                <w:sz w:val="17"/>
                <w:szCs w:val="17"/>
                <w:b w:val="1"/>
                <w:bCs w:val="1"/>
                <w:color w:val="003551"/>
              </w:rPr>
              <w:t>Guzowski</w:t>
            </w:r>
          </w:p>
        </w:tc>
        <w:tc>
          <w:tcPr>
            <w:tcW w:w="360" w:type="dxa"/>
            <w:vAlign w:val="bottom"/>
          </w:tcPr>
          <w:p>
            <w:pPr>
              <w:spacing w:after="0"/>
              <w:rPr>
                <w:sz w:val="20"/>
                <w:szCs w:val="20"/>
                <w:color w:val="auto"/>
              </w:rPr>
            </w:pPr>
          </w:p>
        </w:tc>
        <w:tc>
          <w:tcPr>
            <w:tcW w:w="2340" w:type="dxa"/>
            <w:vAlign w:val="bottom"/>
          </w:tcPr>
          <w:p>
            <w:pPr>
              <w:ind w:left="100"/>
              <w:spacing w:after="0"/>
              <w:rPr>
                <w:sz w:val="20"/>
                <w:szCs w:val="20"/>
                <w:color w:val="auto"/>
              </w:rPr>
            </w:pPr>
            <w:r>
              <w:rPr>
                <w:rFonts w:ascii="Arial" w:cs="Arial" w:eastAsia="Arial" w:hAnsi="Arial"/>
                <w:sz w:val="17"/>
                <w:szCs w:val="17"/>
                <w:color w:val="003551"/>
              </w:rPr>
              <w:t>Compensation Committee</w:t>
            </w:r>
          </w:p>
        </w:tc>
        <w:tc>
          <w:tcPr>
            <w:tcW w:w="20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89"/>
        </w:trPr>
        <w:tc>
          <w:tcPr>
            <w:tcW w:w="1780" w:type="dxa"/>
            <w:vAlign w:val="bottom"/>
          </w:tcPr>
          <w:p>
            <w:pPr>
              <w:ind w:left="160"/>
              <w:spacing w:after="0"/>
              <w:rPr>
                <w:sz w:val="20"/>
                <w:szCs w:val="20"/>
                <w:color w:val="auto"/>
              </w:rPr>
            </w:pPr>
            <w:r>
              <w:rPr>
                <w:rFonts w:ascii="Arial" w:cs="Arial" w:eastAsia="Arial" w:hAnsi="Arial"/>
                <w:sz w:val="17"/>
                <w:szCs w:val="17"/>
                <w:b w:val="1"/>
                <w:bCs w:val="1"/>
                <w:color w:val="003551"/>
              </w:rPr>
              <w:t>Sunita</w:t>
            </w:r>
          </w:p>
        </w:tc>
        <w:tc>
          <w:tcPr>
            <w:tcW w:w="360" w:type="dxa"/>
            <w:vAlign w:val="bottom"/>
          </w:tcPr>
          <w:p>
            <w:pPr>
              <w:ind w:left="60"/>
              <w:spacing w:after="0"/>
              <w:rPr>
                <w:sz w:val="20"/>
                <w:szCs w:val="20"/>
                <w:color w:val="auto"/>
              </w:rPr>
            </w:pPr>
            <w:r>
              <w:rPr>
                <w:rFonts w:ascii="Arial" w:cs="Arial" w:eastAsia="Arial" w:hAnsi="Arial"/>
                <w:sz w:val="17"/>
                <w:szCs w:val="17"/>
                <w:color w:val="003551"/>
              </w:rPr>
              <w:t>52</w:t>
            </w:r>
          </w:p>
        </w:tc>
        <w:tc>
          <w:tcPr>
            <w:tcW w:w="2340" w:type="dxa"/>
            <w:vAlign w:val="bottom"/>
          </w:tcPr>
          <w:p>
            <w:pPr>
              <w:ind w:left="100"/>
              <w:spacing w:after="0"/>
              <w:rPr>
                <w:sz w:val="20"/>
                <w:szCs w:val="20"/>
                <w:color w:val="auto"/>
              </w:rPr>
            </w:pPr>
            <w:r>
              <w:rPr>
                <w:rFonts w:ascii="Arial" w:cs="Arial" w:eastAsia="Arial" w:hAnsi="Arial"/>
                <w:sz w:val="17"/>
                <w:szCs w:val="17"/>
                <w:color w:val="003551"/>
              </w:rPr>
              <w:t>Audit and Risk Committee</w:t>
            </w:r>
          </w:p>
        </w:tc>
        <w:tc>
          <w:tcPr>
            <w:tcW w:w="2080" w:type="dxa"/>
            <w:vAlign w:val="bottom"/>
          </w:tcPr>
          <w:p>
            <w:pPr>
              <w:ind w:left="220"/>
              <w:spacing w:after="0"/>
              <w:rPr>
                <w:sz w:val="20"/>
                <w:szCs w:val="20"/>
                <w:color w:val="auto"/>
              </w:rPr>
            </w:pPr>
            <w:r>
              <w:rPr>
                <w:rFonts w:ascii="Arial" w:cs="Arial" w:eastAsia="Arial" w:hAnsi="Arial"/>
                <w:sz w:val="17"/>
                <w:szCs w:val="17"/>
                <w:color w:val="003551"/>
              </w:rPr>
              <w:t>Director</w:t>
            </w:r>
          </w:p>
        </w:tc>
        <w:tc>
          <w:tcPr>
            <w:tcW w:w="1680" w:type="dxa"/>
            <w:vAlign w:val="bottom"/>
          </w:tcPr>
          <w:p>
            <w:pPr>
              <w:ind w:left="80"/>
              <w:spacing w:after="0"/>
              <w:rPr>
                <w:sz w:val="20"/>
                <w:szCs w:val="20"/>
                <w:color w:val="auto"/>
              </w:rPr>
            </w:pPr>
            <w:r>
              <w:rPr>
                <w:rFonts w:ascii="Arial" w:cs="Arial" w:eastAsia="Arial" w:hAnsi="Arial"/>
                <w:sz w:val="17"/>
                <w:szCs w:val="17"/>
                <w:color w:val="003551"/>
              </w:rPr>
              <w:t>2023</w:t>
            </w:r>
          </w:p>
        </w:tc>
      </w:tr>
      <w:tr>
        <w:trPr>
          <w:trHeight w:val="198"/>
        </w:trPr>
        <w:tc>
          <w:tcPr>
            <w:tcW w:w="1780" w:type="dxa"/>
            <w:vAlign w:val="bottom"/>
          </w:tcPr>
          <w:p>
            <w:pPr>
              <w:ind w:left="160"/>
              <w:spacing w:after="0"/>
              <w:rPr>
                <w:sz w:val="20"/>
                <w:szCs w:val="20"/>
                <w:color w:val="auto"/>
              </w:rPr>
            </w:pPr>
            <w:r>
              <w:rPr>
                <w:rFonts w:ascii="Arial" w:cs="Arial" w:eastAsia="Arial" w:hAnsi="Arial"/>
                <w:sz w:val="17"/>
                <w:szCs w:val="17"/>
                <w:b w:val="1"/>
                <w:bCs w:val="1"/>
                <w:color w:val="003551"/>
              </w:rPr>
              <w:t>Parasuraman</w:t>
            </w:r>
          </w:p>
        </w:tc>
        <w:tc>
          <w:tcPr>
            <w:tcW w:w="360" w:type="dxa"/>
            <w:vAlign w:val="bottom"/>
          </w:tcPr>
          <w:p>
            <w:pPr>
              <w:spacing w:after="0"/>
              <w:rPr>
                <w:sz w:val="17"/>
                <w:szCs w:val="17"/>
                <w:color w:val="auto"/>
              </w:rPr>
            </w:pPr>
          </w:p>
        </w:tc>
        <w:tc>
          <w:tcPr>
            <w:tcW w:w="2340" w:type="dxa"/>
            <w:vAlign w:val="bottom"/>
          </w:tcPr>
          <w:p>
            <w:pPr>
              <w:ind w:left="100"/>
              <w:spacing w:after="0"/>
              <w:rPr>
                <w:sz w:val="20"/>
                <w:szCs w:val="20"/>
                <w:color w:val="auto"/>
              </w:rPr>
            </w:pPr>
            <w:r>
              <w:rPr>
                <w:rFonts w:ascii="Arial" w:cs="Arial" w:eastAsia="Arial" w:hAnsi="Arial"/>
                <w:sz w:val="17"/>
                <w:szCs w:val="17"/>
                <w:color w:val="003551"/>
              </w:rPr>
              <w:t>(Chair) Compensation</w:t>
            </w:r>
          </w:p>
        </w:tc>
        <w:tc>
          <w:tcPr>
            <w:tcW w:w="20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0"/>
        </w:trPr>
        <w:tc>
          <w:tcPr>
            <w:tcW w:w="1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40" w:type="dxa"/>
            <w:vAlign w:val="bottom"/>
          </w:tcPr>
          <w:p>
            <w:pPr>
              <w:ind w:left="100"/>
              <w:spacing w:after="0"/>
              <w:rPr>
                <w:sz w:val="20"/>
                <w:szCs w:val="20"/>
                <w:color w:val="auto"/>
              </w:rPr>
            </w:pPr>
            <w:r>
              <w:rPr>
                <w:rFonts w:ascii="Arial" w:cs="Arial" w:eastAsia="Arial" w:hAnsi="Arial"/>
                <w:sz w:val="17"/>
                <w:szCs w:val="17"/>
                <w:color w:val="003551"/>
              </w:rPr>
              <w:t>Committee</w:t>
            </w:r>
          </w:p>
        </w:tc>
        <w:tc>
          <w:tcPr>
            <w:tcW w:w="20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40"/>
        </w:trPr>
        <w:tc>
          <w:tcPr>
            <w:tcW w:w="4480" w:type="dxa"/>
            <w:vAlign w:val="bottom"/>
            <w:gridSpan w:val="3"/>
          </w:tcPr>
          <w:p>
            <w:pPr>
              <w:ind w:left="160"/>
              <w:spacing w:after="0"/>
              <w:rPr>
                <w:sz w:val="20"/>
                <w:szCs w:val="20"/>
                <w:color w:val="auto"/>
              </w:rPr>
            </w:pPr>
            <w:r>
              <w:rPr>
                <w:rFonts w:ascii="Arial" w:cs="Arial" w:eastAsia="Arial" w:hAnsi="Arial"/>
                <w:sz w:val="17"/>
                <w:szCs w:val="17"/>
                <w:b w:val="1"/>
                <w:bCs w:val="1"/>
                <w:i w:val="1"/>
                <w:iCs w:val="1"/>
                <w:color w:val="003551"/>
              </w:rPr>
              <w:t>Executive Officers and Directors</w:t>
            </w:r>
          </w:p>
        </w:tc>
        <w:tc>
          <w:tcPr>
            <w:tcW w:w="20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91"/>
        </w:trPr>
        <w:tc>
          <w:tcPr>
            <w:tcW w:w="1780" w:type="dxa"/>
            <w:vAlign w:val="bottom"/>
          </w:tcPr>
          <w:p>
            <w:pPr>
              <w:ind w:left="160"/>
              <w:spacing w:after="0"/>
              <w:rPr>
                <w:sz w:val="20"/>
                <w:szCs w:val="20"/>
                <w:color w:val="auto"/>
              </w:rPr>
            </w:pPr>
            <w:r>
              <w:rPr>
                <w:rFonts w:ascii="Arial" w:cs="Arial" w:eastAsia="Arial" w:hAnsi="Arial"/>
                <w:sz w:val="17"/>
                <w:szCs w:val="17"/>
                <w:b w:val="1"/>
                <w:bCs w:val="1"/>
                <w:color w:val="003551"/>
              </w:rPr>
              <w:t>Daniel Roberts</w:t>
            </w:r>
          </w:p>
        </w:tc>
        <w:tc>
          <w:tcPr>
            <w:tcW w:w="360" w:type="dxa"/>
            <w:vAlign w:val="bottom"/>
          </w:tcPr>
          <w:p>
            <w:pPr>
              <w:ind w:left="60"/>
              <w:spacing w:after="0"/>
              <w:rPr>
                <w:sz w:val="20"/>
                <w:szCs w:val="20"/>
                <w:color w:val="auto"/>
              </w:rPr>
            </w:pPr>
            <w:r>
              <w:rPr>
                <w:rFonts w:ascii="Arial" w:cs="Arial" w:eastAsia="Arial" w:hAnsi="Arial"/>
                <w:sz w:val="17"/>
                <w:szCs w:val="17"/>
                <w:color w:val="003551"/>
              </w:rPr>
              <w:t>41</w:t>
            </w:r>
          </w:p>
        </w:tc>
        <w:tc>
          <w:tcPr>
            <w:tcW w:w="2340" w:type="dxa"/>
            <w:vAlign w:val="bottom"/>
          </w:tcPr>
          <w:p>
            <w:pPr>
              <w:ind w:left="100"/>
              <w:spacing w:after="0"/>
              <w:rPr>
                <w:sz w:val="20"/>
                <w:szCs w:val="20"/>
                <w:color w:val="auto"/>
              </w:rPr>
            </w:pPr>
            <w:r>
              <w:rPr>
                <w:rFonts w:ascii="Arial" w:cs="Arial" w:eastAsia="Arial" w:hAnsi="Arial"/>
                <w:sz w:val="17"/>
                <w:szCs w:val="17"/>
                <w:color w:val="003551"/>
              </w:rPr>
              <w:t>N/A</w:t>
            </w:r>
          </w:p>
        </w:tc>
        <w:tc>
          <w:tcPr>
            <w:tcW w:w="2080" w:type="dxa"/>
            <w:vAlign w:val="bottom"/>
          </w:tcPr>
          <w:p>
            <w:pPr>
              <w:ind w:left="220"/>
              <w:spacing w:after="0"/>
              <w:rPr>
                <w:sz w:val="20"/>
                <w:szCs w:val="20"/>
                <w:color w:val="auto"/>
              </w:rPr>
            </w:pPr>
            <w:r>
              <w:rPr>
                <w:rFonts w:ascii="Arial" w:cs="Arial" w:eastAsia="Arial" w:hAnsi="Arial"/>
                <w:sz w:val="17"/>
                <w:szCs w:val="17"/>
                <w:color w:val="003551"/>
              </w:rPr>
              <w:t>Director and Co-Chief</w:t>
            </w:r>
          </w:p>
        </w:tc>
        <w:tc>
          <w:tcPr>
            <w:tcW w:w="1680" w:type="dxa"/>
            <w:vAlign w:val="bottom"/>
          </w:tcPr>
          <w:p>
            <w:pPr>
              <w:ind w:left="80"/>
              <w:spacing w:after="0"/>
              <w:rPr>
                <w:sz w:val="20"/>
                <w:szCs w:val="20"/>
                <w:color w:val="auto"/>
              </w:rPr>
            </w:pPr>
            <w:r>
              <w:rPr>
                <w:rFonts w:ascii="Arial" w:cs="Arial" w:eastAsia="Arial" w:hAnsi="Arial"/>
                <w:sz w:val="17"/>
                <w:szCs w:val="17"/>
                <w:color w:val="003551"/>
              </w:rPr>
              <w:t>2018</w:t>
            </w:r>
          </w:p>
        </w:tc>
      </w:tr>
      <w:tr>
        <w:trPr>
          <w:trHeight w:val="230"/>
        </w:trPr>
        <w:tc>
          <w:tcPr>
            <w:tcW w:w="1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80" w:type="dxa"/>
            <w:vAlign w:val="bottom"/>
          </w:tcPr>
          <w:p>
            <w:pPr>
              <w:ind w:left="220"/>
              <w:spacing w:after="0"/>
              <w:rPr>
                <w:sz w:val="20"/>
                <w:szCs w:val="20"/>
                <w:color w:val="auto"/>
              </w:rPr>
            </w:pPr>
            <w:r>
              <w:rPr>
                <w:rFonts w:ascii="Arial" w:cs="Arial" w:eastAsia="Arial" w:hAnsi="Arial"/>
                <w:sz w:val="17"/>
                <w:szCs w:val="17"/>
                <w:color w:val="003551"/>
              </w:rPr>
              <w:t>Executive Officer</w:t>
            </w:r>
          </w:p>
        </w:tc>
        <w:tc>
          <w:tcPr>
            <w:tcW w:w="1680" w:type="dxa"/>
            <w:vAlign w:val="bottom"/>
          </w:tcPr>
          <w:p>
            <w:pPr>
              <w:spacing w:after="0"/>
              <w:rPr>
                <w:sz w:val="20"/>
                <w:szCs w:val="20"/>
                <w:color w:val="auto"/>
              </w:rPr>
            </w:pPr>
          </w:p>
        </w:tc>
      </w:tr>
      <w:tr>
        <w:trPr>
          <w:trHeight w:val="399"/>
        </w:trPr>
        <w:tc>
          <w:tcPr>
            <w:tcW w:w="1780" w:type="dxa"/>
            <w:vAlign w:val="bottom"/>
          </w:tcPr>
          <w:p>
            <w:pPr>
              <w:ind w:left="160"/>
              <w:spacing w:after="0"/>
              <w:rPr>
                <w:sz w:val="20"/>
                <w:szCs w:val="20"/>
                <w:color w:val="auto"/>
              </w:rPr>
            </w:pPr>
            <w:r>
              <w:rPr>
                <w:rFonts w:ascii="Arial" w:cs="Arial" w:eastAsia="Arial" w:hAnsi="Arial"/>
                <w:sz w:val="17"/>
                <w:szCs w:val="17"/>
                <w:b w:val="1"/>
                <w:bCs w:val="1"/>
                <w:color w:val="003551"/>
              </w:rPr>
              <w:t>William Roberts</w:t>
            </w:r>
          </w:p>
        </w:tc>
        <w:tc>
          <w:tcPr>
            <w:tcW w:w="360" w:type="dxa"/>
            <w:vAlign w:val="bottom"/>
          </w:tcPr>
          <w:p>
            <w:pPr>
              <w:ind w:left="60"/>
              <w:spacing w:after="0"/>
              <w:rPr>
                <w:sz w:val="20"/>
                <w:szCs w:val="20"/>
                <w:color w:val="auto"/>
              </w:rPr>
            </w:pPr>
            <w:r>
              <w:rPr>
                <w:rFonts w:ascii="Arial" w:cs="Arial" w:eastAsia="Arial" w:hAnsi="Arial"/>
                <w:sz w:val="17"/>
                <w:szCs w:val="17"/>
                <w:color w:val="003551"/>
              </w:rPr>
              <w:t>35</w:t>
            </w:r>
          </w:p>
        </w:tc>
        <w:tc>
          <w:tcPr>
            <w:tcW w:w="2340" w:type="dxa"/>
            <w:vAlign w:val="bottom"/>
          </w:tcPr>
          <w:p>
            <w:pPr>
              <w:ind w:left="100"/>
              <w:spacing w:after="0"/>
              <w:rPr>
                <w:sz w:val="20"/>
                <w:szCs w:val="20"/>
                <w:color w:val="auto"/>
              </w:rPr>
            </w:pPr>
            <w:r>
              <w:rPr>
                <w:rFonts w:ascii="Arial" w:cs="Arial" w:eastAsia="Arial" w:hAnsi="Arial"/>
                <w:sz w:val="17"/>
                <w:szCs w:val="17"/>
                <w:color w:val="003551"/>
              </w:rPr>
              <w:t>N/A</w:t>
            </w:r>
          </w:p>
        </w:tc>
        <w:tc>
          <w:tcPr>
            <w:tcW w:w="2080" w:type="dxa"/>
            <w:vAlign w:val="bottom"/>
          </w:tcPr>
          <w:p>
            <w:pPr>
              <w:ind w:left="220"/>
              <w:spacing w:after="0"/>
              <w:rPr>
                <w:sz w:val="20"/>
                <w:szCs w:val="20"/>
                <w:color w:val="auto"/>
              </w:rPr>
            </w:pPr>
            <w:r>
              <w:rPr>
                <w:rFonts w:ascii="Arial" w:cs="Arial" w:eastAsia="Arial" w:hAnsi="Arial"/>
                <w:sz w:val="17"/>
                <w:szCs w:val="17"/>
                <w:color w:val="003551"/>
              </w:rPr>
              <w:t>Director and Co-Chief</w:t>
            </w:r>
          </w:p>
        </w:tc>
        <w:tc>
          <w:tcPr>
            <w:tcW w:w="1680" w:type="dxa"/>
            <w:vAlign w:val="bottom"/>
          </w:tcPr>
          <w:p>
            <w:pPr>
              <w:ind w:left="80"/>
              <w:spacing w:after="0"/>
              <w:rPr>
                <w:sz w:val="20"/>
                <w:szCs w:val="20"/>
                <w:color w:val="auto"/>
              </w:rPr>
            </w:pPr>
            <w:r>
              <w:rPr>
                <w:rFonts w:ascii="Arial" w:cs="Arial" w:eastAsia="Arial" w:hAnsi="Arial"/>
                <w:sz w:val="17"/>
                <w:szCs w:val="17"/>
                <w:color w:val="003551"/>
              </w:rPr>
              <w:t>2018</w:t>
            </w:r>
          </w:p>
        </w:tc>
      </w:tr>
      <w:tr>
        <w:trPr>
          <w:trHeight w:val="230"/>
        </w:trPr>
        <w:tc>
          <w:tcPr>
            <w:tcW w:w="1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80" w:type="dxa"/>
            <w:vAlign w:val="bottom"/>
          </w:tcPr>
          <w:p>
            <w:pPr>
              <w:ind w:left="220"/>
              <w:spacing w:after="0"/>
              <w:rPr>
                <w:sz w:val="20"/>
                <w:szCs w:val="20"/>
                <w:color w:val="auto"/>
              </w:rPr>
            </w:pPr>
            <w:r>
              <w:rPr>
                <w:rFonts w:ascii="Arial" w:cs="Arial" w:eastAsia="Arial" w:hAnsi="Arial"/>
                <w:sz w:val="17"/>
                <w:szCs w:val="17"/>
                <w:color w:val="003551"/>
              </w:rPr>
              <w:t>Executive Officer</w:t>
            </w:r>
          </w:p>
        </w:tc>
        <w:tc>
          <w:tcPr>
            <w:tcW w:w="1680" w:type="dxa"/>
            <w:vAlign w:val="bottom"/>
          </w:tcPr>
          <w:p>
            <w:pPr>
              <w:spacing w:after="0"/>
              <w:rPr>
                <w:sz w:val="20"/>
                <w:szCs w:val="20"/>
                <w:color w:val="auto"/>
              </w:rPr>
            </w:pPr>
          </w:p>
        </w:tc>
      </w:tr>
      <w:tr>
        <w:trPr>
          <w:trHeight w:val="416"/>
        </w:trPr>
        <w:tc>
          <w:tcPr>
            <w:tcW w:w="1780" w:type="dxa"/>
            <w:vAlign w:val="bottom"/>
          </w:tcPr>
          <w:p>
            <w:pPr>
              <w:ind w:left="160"/>
              <w:spacing w:after="0"/>
              <w:rPr>
                <w:sz w:val="20"/>
                <w:szCs w:val="20"/>
                <w:color w:val="auto"/>
              </w:rPr>
            </w:pPr>
            <w:r>
              <w:rPr>
                <w:rFonts w:ascii="Arial" w:cs="Arial" w:eastAsia="Arial" w:hAnsi="Arial"/>
                <w:sz w:val="17"/>
                <w:szCs w:val="17"/>
                <w:b w:val="1"/>
                <w:bCs w:val="1"/>
                <w:color w:val="003551"/>
              </w:rPr>
              <w:t>Belinda Nucifora</w:t>
            </w:r>
            <w:r>
              <w:rPr>
                <w:rFonts w:ascii="Arial" w:cs="Arial" w:eastAsia="Arial" w:hAnsi="Arial"/>
                <w:sz w:val="29"/>
                <w:szCs w:val="29"/>
                <w:b w:val="1"/>
                <w:bCs w:val="1"/>
                <w:color w:val="003551"/>
                <w:vertAlign w:val="superscript"/>
              </w:rPr>
              <w:t>(1)</w:t>
            </w:r>
          </w:p>
        </w:tc>
        <w:tc>
          <w:tcPr>
            <w:tcW w:w="360" w:type="dxa"/>
            <w:vAlign w:val="bottom"/>
          </w:tcPr>
          <w:p>
            <w:pPr>
              <w:ind w:left="60"/>
              <w:spacing w:after="0"/>
              <w:rPr>
                <w:sz w:val="20"/>
                <w:szCs w:val="20"/>
                <w:color w:val="auto"/>
              </w:rPr>
            </w:pPr>
            <w:r>
              <w:rPr>
                <w:rFonts w:ascii="Arial" w:cs="Arial" w:eastAsia="Arial" w:hAnsi="Arial"/>
                <w:sz w:val="17"/>
                <w:szCs w:val="17"/>
                <w:color w:val="003551"/>
              </w:rPr>
              <w:t>52</w:t>
            </w:r>
          </w:p>
        </w:tc>
        <w:tc>
          <w:tcPr>
            <w:tcW w:w="2340" w:type="dxa"/>
            <w:vAlign w:val="bottom"/>
          </w:tcPr>
          <w:p>
            <w:pPr>
              <w:ind w:left="100"/>
              <w:spacing w:after="0"/>
              <w:rPr>
                <w:sz w:val="20"/>
                <w:szCs w:val="20"/>
                <w:color w:val="auto"/>
              </w:rPr>
            </w:pPr>
            <w:r>
              <w:rPr>
                <w:rFonts w:ascii="Arial" w:cs="Arial" w:eastAsia="Arial" w:hAnsi="Arial"/>
                <w:sz w:val="17"/>
                <w:szCs w:val="17"/>
                <w:color w:val="003551"/>
              </w:rPr>
              <w:t>N/A</w:t>
            </w:r>
          </w:p>
        </w:tc>
        <w:tc>
          <w:tcPr>
            <w:tcW w:w="2080" w:type="dxa"/>
            <w:vAlign w:val="bottom"/>
          </w:tcPr>
          <w:p>
            <w:pPr>
              <w:ind w:left="220"/>
              <w:spacing w:after="0"/>
              <w:rPr>
                <w:sz w:val="20"/>
                <w:szCs w:val="20"/>
                <w:color w:val="auto"/>
              </w:rPr>
            </w:pPr>
            <w:r>
              <w:rPr>
                <w:rFonts w:ascii="Arial" w:cs="Arial" w:eastAsia="Arial" w:hAnsi="Arial"/>
                <w:sz w:val="17"/>
                <w:szCs w:val="17"/>
                <w:color w:val="003551"/>
              </w:rPr>
              <w:t>Former Chief Financial</w:t>
            </w:r>
          </w:p>
        </w:tc>
        <w:tc>
          <w:tcPr>
            <w:tcW w:w="1680" w:type="dxa"/>
            <w:vAlign w:val="bottom"/>
          </w:tcPr>
          <w:p>
            <w:pPr>
              <w:ind w:left="80"/>
              <w:spacing w:after="0"/>
              <w:rPr>
                <w:sz w:val="20"/>
                <w:szCs w:val="20"/>
                <w:color w:val="auto"/>
              </w:rPr>
            </w:pPr>
            <w:r>
              <w:rPr>
                <w:rFonts w:ascii="Arial" w:cs="Arial" w:eastAsia="Arial" w:hAnsi="Arial"/>
                <w:sz w:val="17"/>
                <w:szCs w:val="17"/>
                <w:color w:val="003551"/>
              </w:rPr>
              <w:t>N/A</w:t>
            </w:r>
          </w:p>
        </w:tc>
      </w:tr>
      <w:tr>
        <w:trPr>
          <w:trHeight w:val="230"/>
        </w:trPr>
        <w:tc>
          <w:tcPr>
            <w:tcW w:w="1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80" w:type="dxa"/>
            <w:vAlign w:val="bottom"/>
          </w:tcPr>
          <w:p>
            <w:pPr>
              <w:ind w:left="220"/>
              <w:spacing w:after="0"/>
              <w:rPr>
                <w:sz w:val="20"/>
                <w:szCs w:val="20"/>
                <w:color w:val="auto"/>
              </w:rPr>
            </w:pPr>
            <w:r>
              <w:rPr>
                <w:rFonts w:ascii="Arial" w:cs="Arial" w:eastAsia="Arial" w:hAnsi="Arial"/>
                <w:sz w:val="17"/>
                <w:szCs w:val="17"/>
                <w:color w:val="003551"/>
              </w:rPr>
              <w:t>Officer</w:t>
            </w:r>
          </w:p>
        </w:tc>
        <w:tc>
          <w:tcPr>
            <w:tcW w:w="1680" w:type="dxa"/>
            <w:vAlign w:val="bottom"/>
          </w:tcPr>
          <w:p>
            <w:pPr>
              <w:spacing w:after="0"/>
              <w:rPr>
                <w:sz w:val="20"/>
                <w:szCs w:val="20"/>
                <w:color w:val="auto"/>
              </w:rPr>
            </w:pPr>
          </w:p>
        </w:tc>
      </w:tr>
      <w:tr>
        <w:trPr>
          <w:trHeight w:val="585"/>
        </w:trPr>
        <w:tc>
          <w:tcPr>
            <w:tcW w:w="1780" w:type="dxa"/>
            <w:vAlign w:val="bottom"/>
          </w:tcPr>
          <w:p>
            <w:pPr>
              <w:ind w:left="160"/>
              <w:spacing w:after="0"/>
              <w:rPr>
                <w:sz w:val="20"/>
                <w:szCs w:val="20"/>
                <w:color w:val="auto"/>
              </w:rPr>
            </w:pPr>
            <w:r>
              <w:rPr>
                <w:rFonts w:ascii="Arial" w:cs="Arial" w:eastAsia="Arial" w:hAnsi="Arial"/>
                <w:sz w:val="17"/>
                <w:szCs w:val="17"/>
                <w:b w:val="1"/>
                <w:bCs w:val="1"/>
                <w:color w:val="003551"/>
              </w:rPr>
              <w:t>Anthony Lewis</w:t>
            </w:r>
            <w:r>
              <w:rPr>
                <w:rFonts w:ascii="Arial" w:cs="Arial" w:eastAsia="Arial" w:hAnsi="Arial"/>
                <w:sz w:val="29"/>
                <w:szCs w:val="29"/>
                <w:b w:val="1"/>
                <w:bCs w:val="1"/>
                <w:color w:val="003551"/>
                <w:vertAlign w:val="superscript"/>
              </w:rPr>
              <w:t>(1)</w:t>
            </w:r>
          </w:p>
        </w:tc>
        <w:tc>
          <w:tcPr>
            <w:tcW w:w="360" w:type="dxa"/>
            <w:vAlign w:val="bottom"/>
          </w:tcPr>
          <w:p>
            <w:pPr>
              <w:ind w:left="60"/>
              <w:spacing w:after="0"/>
              <w:rPr>
                <w:sz w:val="20"/>
                <w:szCs w:val="20"/>
                <w:color w:val="auto"/>
              </w:rPr>
            </w:pPr>
            <w:r>
              <w:rPr>
                <w:rFonts w:ascii="Arial" w:cs="Arial" w:eastAsia="Arial" w:hAnsi="Arial"/>
                <w:sz w:val="17"/>
                <w:szCs w:val="17"/>
                <w:color w:val="003551"/>
              </w:rPr>
              <w:t>49</w:t>
            </w:r>
          </w:p>
        </w:tc>
        <w:tc>
          <w:tcPr>
            <w:tcW w:w="2340" w:type="dxa"/>
            <w:vAlign w:val="bottom"/>
          </w:tcPr>
          <w:p>
            <w:pPr>
              <w:ind w:left="100"/>
              <w:spacing w:after="0"/>
              <w:rPr>
                <w:sz w:val="20"/>
                <w:szCs w:val="20"/>
                <w:color w:val="auto"/>
              </w:rPr>
            </w:pPr>
            <w:r>
              <w:rPr>
                <w:rFonts w:ascii="Arial" w:cs="Arial" w:eastAsia="Arial" w:hAnsi="Arial"/>
                <w:sz w:val="17"/>
                <w:szCs w:val="17"/>
                <w:color w:val="003551"/>
              </w:rPr>
              <w:t>N/A</w:t>
            </w:r>
          </w:p>
        </w:tc>
        <w:tc>
          <w:tcPr>
            <w:tcW w:w="2080" w:type="dxa"/>
            <w:vAlign w:val="bottom"/>
          </w:tcPr>
          <w:p>
            <w:pPr>
              <w:ind w:left="220"/>
              <w:spacing w:after="0"/>
              <w:rPr>
                <w:sz w:val="20"/>
                <w:szCs w:val="20"/>
                <w:color w:val="auto"/>
              </w:rPr>
            </w:pPr>
            <w:r>
              <w:rPr>
                <w:rFonts w:ascii="Arial" w:cs="Arial" w:eastAsia="Arial" w:hAnsi="Arial"/>
                <w:sz w:val="17"/>
                <w:szCs w:val="17"/>
                <w:color w:val="003551"/>
              </w:rPr>
              <w:t>Chief Financial Officer</w:t>
            </w:r>
          </w:p>
        </w:tc>
        <w:tc>
          <w:tcPr>
            <w:tcW w:w="1680" w:type="dxa"/>
            <w:vAlign w:val="bottom"/>
          </w:tcPr>
          <w:p>
            <w:pPr>
              <w:ind w:left="80"/>
              <w:spacing w:after="0"/>
              <w:rPr>
                <w:sz w:val="20"/>
                <w:szCs w:val="20"/>
                <w:color w:val="auto"/>
              </w:rPr>
            </w:pPr>
            <w:r>
              <w:rPr>
                <w:rFonts w:ascii="Arial" w:cs="Arial" w:eastAsia="Arial" w:hAnsi="Arial"/>
                <w:sz w:val="17"/>
                <w:szCs w:val="17"/>
                <w:color w:val="003551"/>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-3636010</wp:posOffset>
            </wp:positionV>
            <wp:extent cx="52235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23510"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-3111500</wp:posOffset>
            </wp:positionV>
            <wp:extent cx="52235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23510"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-2712720</wp:posOffset>
            </wp:positionV>
            <wp:extent cx="52235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23510"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-2313305</wp:posOffset>
            </wp:positionV>
            <wp:extent cx="52235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23510"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-1789430</wp:posOffset>
            </wp:positionV>
            <wp:extent cx="52235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23510"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-1515110</wp:posOffset>
            </wp:positionV>
            <wp:extent cx="52235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23510"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-1115695</wp:posOffset>
            </wp:positionV>
            <wp:extent cx="52235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23510"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-716280</wp:posOffset>
            </wp:positionV>
            <wp:extent cx="52235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23510"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-316865</wp:posOffset>
            </wp:positionV>
            <wp:extent cx="52235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23510" cy="8255"/>
                    </a:xfrm>
                    <a:prstGeom prst="rect">
                      <a:avLst/>
                    </a:prstGeom>
                    <a:noFill/>
                  </pic:spPr>
                </pic:pic>
              </a:graphicData>
            </a:graphic>
          </wp:anchor>
        </w:drawing>
      </w:r>
    </w:p>
    <w:p>
      <w:pPr>
        <w:spacing w:after="0" w:line="14" w:lineRule="exact"/>
        <w:rPr>
          <w:sz w:val="20"/>
          <w:szCs w:val="20"/>
          <w:color w:val="auto"/>
        </w:rPr>
      </w:pPr>
    </w:p>
    <w:p>
      <w:pPr>
        <w:ind w:left="1280" w:right="740" w:hanging="337"/>
        <w:spacing w:after="0" w:line="263" w:lineRule="auto"/>
        <w:tabs>
          <w:tab w:leader="none" w:pos="1280" w:val="left"/>
        </w:tabs>
        <w:numPr>
          <w:ilvl w:val="0"/>
          <w:numId w:val="9"/>
        </w:numPr>
        <w:rPr>
          <w:rFonts w:ascii="Arial" w:cs="Arial" w:eastAsia="Arial" w:hAnsi="Arial"/>
          <w:sz w:val="12"/>
          <w:szCs w:val="12"/>
          <w:i w:val="1"/>
          <w:iCs w:val="1"/>
          <w:color w:val="003551"/>
        </w:rPr>
      </w:pPr>
      <w:r>
        <w:rPr>
          <w:rFonts w:ascii="Arial" w:cs="Arial" w:eastAsia="Arial" w:hAnsi="Arial"/>
          <w:sz w:val="12"/>
          <w:szCs w:val="12"/>
          <w:i w:val="1"/>
          <w:iCs w:val="1"/>
          <w:color w:val="003551"/>
        </w:rPr>
        <w:t>On September 8, 2025, IREN announced the appointment of Anthony Lewis as Chief Financial Officer to replace Belinda Nucifora, who ceased employment with IREN effective as of such date.</w:t>
      </w:r>
    </w:p>
    <w:p>
      <w:pPr>
        <w:spacing w:after="0" w:line="61" w:lineRule="exact"/>
        <w:rPr>
          <w:sz w:val="20"/>
          <w:szCs w:val="20"/>
          <w:color w:val="auto"/>
        </w:rPr>
      </w:pPr>
    </w:p>
    <w:p>
      <w:pPr>
        <w:ind w:left="940"/>
        <w:spacing w:after="0"/>
        <w:rPr>
          <w:sz w:val="20"/>
          <w:szCs w:val="20"/>
          <w:color w:val="auto"/>
        </w:rPr>
      </w:pPr>
      <w:r>
        <w:rPr>
          <w:rFonts w:ascii="Arial" w:cs="Arial" w:eastAsia="Arial" w:hAnsi="Arial"/>
          <w:sz w:val="17"/>
          <w:szCs w:val="17"/>
          <w:b w:val="1"/>
          <w:bCs w:val="1"/>
          <w:i w:val="1"/>
          <w:iCs w:val="1"/>
          <w:color w:val="003551"/>
        </w:rPr>
        <w:t xml:space="preserve">David Bartholomew </w:t>
      </w:r>
      <w:r>
        <w:rPr>
          <w:rFonts w:ascii="Arial" w:cs="Arial" w:eastAsia="Arial" w:hAnsi="Arial"/>
          <w:sz w:val="17"/>
          <w:szCs w:val="17"/>
          <w:color w:val="003551"/>
        </w:rPr>
        <w:t>has served as the chair of the Board (the “</w:t>
      </w:r>
      <w:r>
        <w:rPr>
          <w:rFonts w:ascii="Arial" w:cs="Arial" w:eastAsia="Arial" w:hAnsi="Arial"/>
          <w:sz w:val="17"/>
          <w:szCs w:val="17"/>
          <w:b w:val="1"/>
          <w:bCs w:val="1"/>
          <w:color w:val="003551"/>
        </w:rPr>
        <w:t>Chair</w:t>
      </w:r>
      <w:r>
        <w:rPr>
          <w:rFonts w:ascii="Arial" w:cs="Arial" w:eastAsia="Arial" w:hAnsi="Arial"/>
          <w:sz w:val="17"/>
          <w:szCs w:val="17"/>
          <w:color w:val="003551"/>
        </w:rPr>
        <w:t>”) since September 2021.</w:t>
      </w:r>
    </w:p>
    <w:p>
      <w:pPr>
        <w:spacing w:after="0" w:line="19" w:lineRule="exact"/>
        <w:rPr>
          <w:sz w:val="20"/>
          <w:szCs w:val="20"/>
          <w:color w:val="auto"/>
        </w:rPr>
      </w:pPr>
    </w:p>
    <w:p>
      <w:pPr>
        <w:ind w:left="940" w:right="740"/>
        <w:spacing w:after="0" w:line="243" w:lineRule="auto"/>
        <w:rPr>
          <w:sz w:val="20"/>
          <w:szCs w:val="20"/>
          <w:color w:val="auto"/>
        </w:rPr>
      </w:pPr>
      <w:r>
        <w:rPr>
          <w:rFonts w:ascii="Arial" w:cs="Arial" w:eastAsia="Arial" w:hAnsi="Arial"/>
          <w:sz w:val="17"/>
          <w:szCs w:val="17"/>
          <w:color w:val="003551"/>
        </w:rPr>
        <w:t>Mr. Bartholomew currently serves as a non-executive director on the boards of Atlas Arteria – an ASX listed global owner and operator of toll roads, Endeavour Energy – a NSW electricity distributor, Atmos Renewables (Independent Non-Executive Chair) – an owner and developer of renewable generation assets in Australia and GHD - a global engineering services firm. Mr. Bartholomew’s executive background includes the role of Chief Executive Officer of DUET Group, where he oversaw the ASX listed company’s transition to a fully internalized management and governance structure and in which he was appointed to the boards of DUET’s portfolio companies including United Energy Distribution (Victorian electricity distribution), Multinet Gas (Victorian gas distribution), the Dampier to Bunbury Natural Gas Pipeline, Energy Developments Limited (remote and waste-to-energy electricity generation) and Duquesne Light (Pittsburgh,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250190</wp:posOffset>
            </wp:positionV>
            <wp:extent cx="540385" cy="6318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6" w:right="12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40" w:right="840"/>
        <w:spacing w:after="0" w:line="246" w:lineRule="auto"/>
        <w:rPr>
          <w:sz w:val="20"/>
          <w:szCs w:val="20"/>
          <w:color w:val="auto"/>
        </w:rPr>
      </w:pPr>
      <w:r>
        <w:rPr>
          <w:rFonts w:ascii="Arial" w:cs="Arial" w:eastAsia="Arial" w:hAnsi="Arial"/>
          <w:sz w:val="17"/>
          <w:szCs w:val="17"/>
          <w:color w:val="003551"/>
        </w:rPr>
        <w:t>USA electricity distribution). He has also held executive roles at Hastings Funds Management, Lend Lease, The Boston Consulting Group and BHP Minerals. Mr. Bartholomew has also served on the boards of Vector Limited, Power and Water Corporation (NT), Keolis Downer, Dussur (Saudi Arabia), The Helmsman Project, Interlink Roads, Statewide Roads, Epic Energy, Sydney Light Rail, Port of Geelong, various forestry companies and Nextgen Networks. Mr. Bartholomew holds a Bachelor of Economics (Honours) degree from Adelaide University and an MBA from The Australian Graduate School of Management. Mr. Bartholomew’s experience with Australian public companies, power and energy companies, and various executive roles, together with his background in economics, enable him to lead the Board on strategic and operational issues.</w:t>
      </w:r>
    </w:p>
    <w:p>
      <w:pPr>
        <w:spacing w:after="0" w:line="70" w:lineRule="exact"/>
        <w:rPr>
          <w:sz w:val="20"/>
          <w:szCs w:val="20"/>
          <w:color w:val="auto"/>
        </w:rPr>
      </w:pPr>
    </w:p>
    <w:p>
      <w:pPr>
        <w:jc w:val="both"/>
        <w:ind w:left="940" w:right="780"/>
        <w:spacing w:after="0" w:line="251" w:lineRule="auto"/>
        <w:rPr>
          <w:sz w:val="20"/>
          <w:szCs w:val="20"/>
          <w:color w:val="auto"/>
        </w:rPr>
      </w:pPr>
      <w:r>
        <w:rPr>
          <w:rFonts w:ascii="Arial" w:cs="Arial" w:eastAsia="Arial" w:hAnsi="Arial"/>
          <w:sz w:val="17"/>
          <w:szCs w:val="17"/>
          <w:b w:val="1"/>
          <w:bCs w:val="1"/>
          <w:i w:val="1"/>
          <w:iCs w:val="1"/>
          <w:color w:val="003551"/>
        </w:rPr>
        <w:t xml:space="preserve">Christopher Guzowski </w:t>
      </w:r>
      <w:r>
        <w:rPr>
          <w:rFonts w:ascii="Arial" w:cs="Arial" w:eastAsia="Arial" w:hAnsi="Arial"/>
          <w:sz w:val="17"/>
          <w:szCs w:val="17"/>
          <w:color w:val="003551"/>
        </w:rPr>
        <w:t>has served on the Board since December 2019. Mr. Guzowski has over 15 years’</w:t>
      </w:r>
      <w:r>
        <w:rPr>
          <w:rFonts w:ascii="Arial" w:cs="Arial" w:eastAsia="Arial" w:hAnsi="Arial"/>
          <w:sz w:val="17"/>
          <w:szCs w:val="17"/>
          <w:b w:val="1"/>
          <w:bCs w:val="1"/>
          <w:i w:val="1"/>
          <w:iCs w:val="1"/>
          <w:color w:val="003551"/>
        </w:rPr>
        <w:t xml:space="preserve"> </w:t>
      </w:r>
      <w:r>
        <w:rPr>
          <w:rFonts w:ascii="Arial" w:cs="Arial" w:eastAsia="Arial" w:hAnsi="Arial"/>
          <w:sz w:val="17"/>
          <w:szCs w:val="17"/>
          <w:color w:val="003551"/>
        </w:rPr>
        <w:t>international experience in renewable energy project development across Europe and Australia.</w:t>
      </w:r>
    </w:p>
    <w:p>
      <w:pPr>
        <w:jc w:val="both"/>
        <w:ind w:left="940" w:right="800"/>
        <w:spacing w:after="0" w:line="241" w:lineRule="auto"/>
        <w:rPr>
          <w:sz w:val="20"/>
          <w:szCs w:val="20"/>
          <w:color w:val="auto"/>
        </w:rPr>
      </w:pPr>
      <w:r>
        <w:rPr>
          <w:rFonts w:ascii="Arial" w:cs="Arial" w:eastAsia="Arial" w:hAnsi="Arial"/>
          <w:sz w:val="17"/>
          <w:szCs w:val="17"/>
          <w:color w:val="003551"/>
        </w:rPr>
        <w:t>Mr. Guzowski founded Baltic Wind, developing large scale wind farm projects in Europe from greenfield to operations. He also founded Mithra Energy, developing a multitude of Wind, Solar PV and BESS projects in Poland since 2012. Mr. Guzowski was the Project Development Director and commercial development partner of Photon Energy, successfully developing a major solar PV project portfolio in Australia.</w:t>
      </w:r>
    </w:p>
    <w:p>
      <w:pPr>
        <w:spacing w:after="0" w:line="1" w:lineRule="exact"/>
        <w:rPr>
          <w:sz w:val="20"/>
          <w:szCs w:val="20"/>
          <w:color w:val="auto"/>
        </w:rPr>
      </w:pPr>
    </w:p>
    <w:p>
      <w:pPr>
        <w:ind w:left="940" w:right="880"/>
        <w:spacing w:after="0" w:line="244" w:lineRule="auto"/>
        <w:rPr>
          <w:sz w:val="20"/>
          <w:szCs w:val="20"/>
          <w:color w:val="auto"/>
        </w:rPr>
      </w:pPr>
      <w:r>
        <w:rPr>
          <w:rFonts w:ascii="Arial" w:cs="Arial" w:eastAsia="Arial" w:hAnsi="Arial"/>
          <w:sz w:val="17"/>
          <w:szCs w:val="17"/>
          <w:color w:val="003551"/>
        </w:rPr>
        <w:t>Mr. Guzowski was the Founding Director of ADCCA - Australian Digital Currency Commerce Association and was a founder of ABA Technology in 2014. He started his career at PricewaterhouseCoopers and since then has continuously been an active angel and technology start up investor. Mr. Guzowski holds a Bachelor of Business from University of Technology Sydney and an MBA in Energy Management from Vienna University of Economics and Business. Mr. Guzowski’s history working with renewable energy project development and digital currency and blockchain, together with his background in business and energy management, allow him to contribute significant knowledge and guidance on relevant company strategy.</w:t>
      </w:r>
    </w:p>
    <w:p>
      <w:pPr>
        <w:spacing w:after="0" w:line="71" w:lineRule="exact"/>
        <w:rPr>
          <w:sz w:val="20"/>
          <w:szCs w:val="20"/>
          <w:color w:val="auto"/>
        </w:rPr>
      </w:pPr>
    </w:p>
    <w:p>
      <w:pPr>
        <w:ind w:left="940" w:right="760"/>
        <w:spacing w:after="0" w:line="243" w:lineRule="auto"/>
        <w:rPr>
          <w:sz w:val="20"/>
          <w:szCs w:val="20"/>
          <w:color w:val="auto"/>
        </w:rPr>
      </w:pPr>
      <w:r>
        <w:rPr>
          <w:rFonts w:ascii="Arial" w:cs="Arial" w:eastAsia="Arial" w:hAnsi="Arial"/>
          <w:sz w:val="17"/>
          <w:szCs w:val="17"/>
          <w:b w:val="1"/>
          <w:bCs w:val="1"/>
          <w:i w:val="1"/>
          <w:iCs w:val="1"/>
          <w:color w:val="003551"/>
        </w:rPr>
        <w:t xml:space="preserve">Michael Alfred </w:t>
      </w:r>
      <w:r>
        <w:rPr>
          <w:rFonts w:ascii="Arial" w:cs="Arial" w:eastAsia="Arial" w:hAnsi="Arial"/>
          <w:sz w:val="17"/>
          <w:szCs w:val="17"/>
          <w:color w:val="003551"/>
        </w:rPr>
        <w:t>has served on the Board since October 2021. Mr. Alfred is a private investor, advisor, and</w:t>
      </w:r>
      <w:r>
        <w:rPr>
          <w:rFonts w:ascii="Arial" w:cs="Arial" w:eastAsia="Arial" w:hAnsi="Arial"/>
          <w:sz w:val="17"/>
          <w:szCs w:val="17"/>
          <w:b w:val="1"/>
          <w:bCs w:val="1"/>
          <w:i w:val="1"/>
          <w:iCs w:val="1"/>
          <w:color w:val="003551"/>
        </w:rPr>
        <w:t xml:space="preserve"> </w:t>
      </w:r>
      <w:r>
        <w:rPr>
          <w:rFonts w:ascii="Arial" w:cs="Arial" w:eastAsia="Arial" w:hAnsi="Arial"/>
          <w:sz w:val="17"/>
          <w:szCs w:val="17"/>
          <w:color w:val="003551"/>
        </w:rPr>
        <w:t>board member. He is the Founder &amp; Managing Partner of Alpine Fox LP, a private investment partnership focused on value equities and Bitcoin. Previously, he served as the Chief Executive Officer of Digital Assets Data, Inc., a financial technology and data company building enterprise-grade software and data feeds for the digital asset ecosystem, from when he co-founded Digital Assets Data, Inc. in January 2018 through its sale to New York Digital Investment Group LLC in November 2020. Mr. Alfred has served as an advisor to the Chief Executive Officer of Amenify, a real estate technology company, since July 2020. From October 2016 to January 2018, Mr. Alfred was a Managing Director and member of the five-person executive committee for Strategic Insight, Inc., a provider of data and software to the global asset management industry, which was acquired by Institutional Shareholder Services (ISS) in 2019. Prior to that, Mr. Alfred served as the Chief Executive Officer of BrightScope, Inc., a financial information company providing 401k analyses and tools for retirement plan participants, sponsors and advisors, from February 2008 until it was acquired by Strategic Insight, Inc. in October 2016. Prior to co-founding BrightScope, Inc., Mr. Alfred served as Co-Founder and Portfolio Manager of Alfred Capital Management, LLC, a registered investment advisor serving high net worth individuals. Mr. Alfred also serves as a principal investor in a variety of industries including technology and consumer products. Mr. Alfred has served on the boards of Crestone Group, LLC, a national artisan bakery, since March 2015, Eaglebrook Advisors, a tech-driven digital asset management platform for financial advisors and their clients, since September 2019, and Wealthie Inc., a home equity management platform since April 2025. Mr. Alfred received a Bachelor of Arts degree in History from Stanford University. Mr. Alfred brings to the Board significant experience with digital assets and technology companies, together with his background in investment and growth companies.</w:t>
      </w:r>
    </w:p>
    <w:p>
      <w:pPr>
        <w:spacing w:after="0" w:line="271" w:lineRule="exact"/>
        <w:rPr>
          <w:sz w:val="20"/>
          <w:szCs w:val="20"/>
          <w:color w:val="auto"/>
        </w:rPr>
      </w:pPr>
    </w:p>
    <w:p>
      <w:pPr>
        <w:ind w:left="940" w:right="740"/>
        <w:spacing w:after="0" w:line="246" w:lineRule="auto"/>
        <w:rPr>
          <w:sz w:val="20"/>
          <w:szCs w:val="20"/>
          <w:color w:val="auto"/>
        </w:rPr>
      </w:pPr>
      <w:r>
        <w:rPr>
          <w:rFonts w:ascii="Arial" w:cs="Arial" w:eastAsia="Arial" w:hAnsi="Arial"/>
          <w:sz w:val="17"/>
          <w:szCs w:val="17"/>
          <w:b w:val="1"/>
          <w:bCs w:val="1"/>
          <w:i w:val="1"/>
          <w:iCs w:val="1"/>
          <w:color w:val="003551"/>
        </w:rPr>
        <w:t xml:space="preserve">Sunita Parasuraman </w:t>
      </w:r>
      <w:r>
        <w:rPr>
          <w:rFonts w:ascii="Arial" w:cs="Arial" w:eastAsia="Arial" w:hAnsi="Arial"/>
          <w:sz w:val="17"/>
          <w:szCs w:val="17"/>
          <w:color w:val="003551"/>
        </w:rPr>
        <w:t>has served on the Board since July 2023. During her career as a senior technology</w:t>
      </w:r>
      <w:r>
        <w:rPr>
          <w:rFonts w:ascii="Arial" w:cs="Arial" w:eastAsia="Arial" w:hAnsi="Arial"/>
          <w:sz w:val="17"/>
          <w:szCs w:val="17"/>
          <w:b w:val="1"/>
          <w:bCs w:val="1"/>
          <w:i w:val="1"/>
          <w:iCs w:val="1"/>
          <w:color w:val="003551"/>
        </w:rPr>
        <w:t xml:space="preserve"> </w:t>
      </w:r>
      <w:r>
        <w:rPr>
          <w:rFonts w:ascii="Arial" w:cs="Arial" w:eastAsia="Arial" w:hAnsi="Arial"/>
          <w:sz w:val="17"/>
          <w:szCs w:val="17"/>
          <w:color w:val="003551"/>
        </w:rPr>
        <w:t>executive, Ms. Parasuraman has built and scaled world-class teams at Meta (Facebook), VMware, Genentech, and Apple. Ms. Parasuraman most recently served as the Head of Investments, New Product Experimentation at Meta (Facebook) and, prior to that, served as Facebook’s Global Head of Treasury and Head of Treasury for Facebook’s blockchain initiative (Libra). Ms. Parasuraman currently serves on the board of The Baldwin Group (Nasdaq: BWIN), a leading publicly-traded insurance distribution company, where she is a member of its Audit and Technology &amp; Cyber Risk Committees. She also serves on the board of the IIT Bombay Heritage Foundation, where she is Chair of the Nomination &amp; Governance Committee and member of its Finance Committee. Ms. Parasuraman holds a Bachelor’s degree in Engineering from the Indian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246380</wp:posOffset>
            </wp:positionV>
            <wp:extent cx="540385" cy="6318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6" w:right="12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40" w:right="1480"/>
        <w:spacing w:after="0" w:line="251" w:lineRule="auto"/>
        <w:rPr>
          <w:sz w:val="20"/>
          <w:szCs w:val="20"/>
          <w:color w:val="auto"/>
        </w:rPr>
      </w:pPr>
      <w:r>
        <w:rPr>
          <w:rFonts w:ascii="Arial" w:cs="Arial" w:eastAsia="Arial" w:hAnsi="Arial"/>
          <w:sz w:val="17"/>
          <w:szCs w:val="17"/>
          <w:color w:val="003551"/>
        </w:rPr>
        <w:t>Institute of Technology (IIT), Bombay, a Master’s degree in Engineering from the University of Pennsylvania and an MBA from the University of California, Berkeley’s Haas School of Business.</w:t>
      </w:r>
    </w:p>
    <w:p>
      <w:pPr>
        <w:ind w:left="940" w:right="820"/>
        <w:spacing w:after="0" w:line="252" w:lineRule="auto"/>
        <w:rPr>
          <w:sz w:val="20"/>
          <w:szCs w:val="20"/>
          <w:color w:val="auto"/>
        </w:rPr>
      </w:pPr>
      <w:r>
        <w:rPr>
          <w:rFonts w:ascii="Arial" w:cs="Arial" w:eastAsia="Arial" w:hAnsi="Arial"/>
          <w:sz w:val="17"/>
          <w:szCs w:val="17"/>
          <w:color w:val="003551"/>
        </w:rPr>
        <w:t>Ms. Parasuraman’s experience as an executive at various technology companies as well as her roles on various board and committees, together with her background in finance, treasury and engineering, enable her to provide knowledge guidance to the Board on financial and operational matters.</w:t>
      </w:r>
    </w:p>
    <w:p>
      <w:pPr>
        <w:spacing w:after="0" w:line="62" w:lineRule="exact"/>
        <w:rPr>
          <w:sz w:val="20"/>
          <w:szCs w:val="20"/>
          <w:color w:val="auto"/>
        </w:rPr>
      </w:pPr>
    </w:p>
    <w:p>
      <w:pPr>
        <w:ind w:left="940" w:right="800"/>
        <w:spacing w:after="0" w:line="244" w:lineRule="auto"/>
        <w:rPr>
          <w:sz w:val="20"/>
          <w:szCs w:val="20"/>
          <w:color w:val="auto"/>
        </w:rPr>
      </w:pPr>
      <w:r>
        <w:rPr>
          <w:rFonts w:ascii="Arial" w:cs="Arial" w:eastAsia="Arial" w:hAnsi="Arial"/>
          <w:sz w:val="17"/>
          <w:szCs w:val="17"/>
          <w:b w:val="1"/>
          <w:bCs w:val="1"/>
          <w:i w:val="1"/>
          <w:iCs w:val="1"/>
          <w:color w:val="003551"/>
        </w:rPr>
        <w:t xml:space="preserve">Daniel Roberts </w:t>
      </w:r>
      <w:r>
        <w:rPr>
          <w:rFonts w:ascii="Arial" w:cs="Arial" w:eastAsia="Arial" w:hAnsi="Arial"/>
          <w:sz w:val="17"/>
          <w:szCs w:val="17"/>
          <w:color w:val="003551"/>
        </w:rPr>
        <w:t>is a Co-Founder, Co-Chief Executive Officer and director of IREN. Mr. Roberts has over</w:t>
      </w:r>
      <w:r>
        <w:rPr>
          <w:rFonts w:ascii="Arial" w:cs="Arial" w:eastAsia="Arial" w:hAnsi="Arial"/>
          <w:sz w:val="17"/>
          <w:szCs w:val="17"/>
          <w:b w:val="1"/>
          <w:bCs w:val="1"/>
          <w:i w:val="1"/>
          <w:iCs w:val="1"/>
          <w:color w:val="003551"/>
        </w:rPr>
        <w:t xml:space="preserve"> </w:t>
      </w:r>
      <w:r>
        <w:rPr>
          <w:rFonts w:ascii="Arial" w:cs="Arial" w:eastAsia="Arial" w:hAnsi="Arial"/>
          <w:sz w:val="17"/>
          <w:szCs w:val="17"/>
          <w:color w:val="003551"/>
        </w:rPr>
        <w:t>20 years’ experience in the finance, infrastructure and renewables industries. Mr. Roberts co-founded IREN in 2018 with the vision of building one of the world’s leading infrastructure platforms for sustainable computing, leveraging his deep expertise across energy and capital markets. Prior to founding IREN, Mr. Roberts was an Executive Director and the second largest individual shareholder of Palisade Investment Partners, a specialist infrastructure fund manager. He previously held roles at Macquarie Group and PricewaterhouseCoopers in London and Sydney. Mr. Roberts currently serves on the board of JOLT, a BlackRock-backed EV charging business, where he is also the second largest individual shareholder. He has previously served on the boards of entities across the energy and infrastructure sectors, including Northern Territory Airports, Sunshine Coast Airport, Granville Harbour Wind Farm, Ross River Solar Farm, ANZ Terminals and the Tasmanian Gas Pipeline. He holds a Bachelor of Business from the University of Technology Sydney and a Master of Finance (Dean’s List) from INSEAD Business School. Mr. Roberts is the brother of William Roberts, who also serves as a Co-Chief Executive Officer of IREN. Mr. Roberts brings to the Board significant experience in finance, infrastructure and renewables, together with his background in finance and investment, providing leadership to IREN and guiding strategic plans.</w:t>
      </w:r>
    </w:p>
    <w:p>
      <w:pPr>
        <w:spacing w:after="0" w:line="267" w:lineRule="exact"/>
        <w:rPr>
          <w:sz w:val="20"/>
          <w:szCs w:val="20"/>
          <w:color w:val="auto"/>
        </w:rPr>
      </w:pPr>
    </w:p>
    <w:p>
      <w:pPr>
        <w:ind w:left="940" w:right="780"/>
        <w:spacing w:after="0" w:line="246" w:lineRule="auto"/>
        <w:rPr>
          <w:sz w:val="20"/>
          <w:szCs w:val="20"/>
          <w:color w:val="auto"/>
        </w:rPr>
      </w:pPr>
      <w:r>
        <w:rPr>
          <w:rFonts w:ascii="Arial" w:cs="Arial" w:eastAsia="Arial" w:hAnsi="Arial"/>
          <w:sz w:val="17"/>
          <w:szCs w:val="17"/>
          <w:b w:val="1"/>
          <w:bCs w:val="1"/>
          <w:i w:val="1"/>
          <w:iCs w:val="1"/>
          <w:color w:val="003551"/>
        </w:rPr>
        <w:t xml:space="preserve">William Roberts </w:t>
      </w:r>
      <w:r>
        <w:rPr>
          <w:rFonts w:ascii="Arial" w:cs="Arial" w:eastAsia="Arial" w:hAnsi="Arial"/>
          <w:sz w:val="17"/>
          <w:szCs w:val="17"/>
          <w:color w:val="003551"/>
        </w:rPr>
        <w:t>is a Co-Founder, Co-Chief Executive Officer and director of IREN. Mr. Roberts has over</w:t>
      </w:r>
      <w:r>
        <w:rPr>
          <w:rFonts w:ascii="Arial" w:cs="Arial" w:eastAsia="Arial" w:hAnsi="Arial"/>
          <w:sz w:val="17"/>
          <w:szCs w:val="17"/>
          <w:b w:val="1"/>
          <w:bCs w:val="1"/>
          <w:i w:val="1"/>
          <w:iCs w:val="1"/>
          <w:color w:val="003551"/>
        </w:rPr>
        <w:t xml:space="preserve"> </w:t>
      </w:r>
      <w:r>
        <w:rPr>
          <w:rFonts w:ascii="Arial" w:cs="Arial" w:eastAsia="Arial" w:hAnsi="Arial"/>
          <w:sz w:val="17"/>
          <w:szCs w:val="17"/>
          <w:color w:val="003551"/>
        </w:rPr>
        <w:t>14 years’ experience in finance, real assets and commodities markets, including debt financing and principal investment across resources mining projects, as well as managing foreign exchange and commodity price risks. Prior to founding IREN, Mr. Roberts worked across accounting and banking, resources, commodities and real assets at Macquarie Group, Westpac and Brookfield Multiplex. At Macquarie Group, he co-founded the newly established Digital Assets team. Mr. Roberts holds a Bachelor of Business (Distinction) from the University of Technology Sydney. Mr. Roberts is the brother of Daniel Roberts, who also serves as a Co-Chief Executive Officer of IREN. Mr. Roberts’ experience in finance and real assets, as well as his background in resources, enable him to help guide the Board on strategic decisions.</w:t>
      </w:r>
    </w:p>
    <w:p>
      <w:pPr>
        <w:spacing w:after="0" w:line="266" w:lineRule="exact"/>
        <w:rPr>
          <w:sz w:val="20"/>
          <w:szCs w:val="20"/>
          <w:color w:val="auto"/>
        </w:rPr>
      </w:pPr>
    </w:p>
    <w:p>
      <w:pPr>
        <w:ind w:left="940"/>
        <w:spacing w:after="0"/>
        <w:rPr>
          <w:sz w:val="20"/>
          <w:szCs w:val="20"/>
          <w:color w:val="auto"/>
        </w:rPr>
      </w:pPr>
      <w:r>
        <w:rPr>
          <w:rFonts w:ascii="Arial" w:cs="Arial" w:eastAsia="Arial" w:hAnsi="Arial"/>
          <w:sz w:val="17"/>
          <w:szCs w:val="17"/>
          <w:b w:val="1"/>
          <w:bCs w:val="1"/>
          <w:i w:val="1"/>
          <w:iCs w:val="1"/>
          <w:color w:val="003551"/>
        </w:rPr>
        <w:t xml:space="preserve">Belinda Nucifora </w:t>
      </w:r>
      <w:r>
        <w:rPr>
          <w:rFonts w:ascii="Arial" w:cs="Arial" w:eastAsia="Arial" w:hAnsi="Arial"/>
          <w:sz w:val="17"/>
          <w:szCs w:val="17"/>
          <w:color w:val="003551"/>
        </w:rPr>
        <w:t>was the Chief Financial Officer of IREN from May 2022 until September 2025.</w:t>
      </w:r>
    </w:p>
    <w:p>
      <w:pPr>
        <w:spacing w:after="0" w:line="17" w:lineRule="exact"/>
        <w:rPr>
          <w:sz w:val="20"/>
          <w:szCs w:val="20"/>
          <w:color w:val="auto"/>
        </w:rPr>
      </w:pPr>
    </w:p>
    <w:p>
      <w:pPr>
        <w:ind w:left="940" w:right="760"/>
        <w:spacing w:after="0" w:line="244" w:lineRule="auto"/>
        <w:rPr>
          <w:sz w:val="20"/>
          <w:szCs w:val="20"/>
          <w:color w:val="auto"/>
        </w:rPr>
      </w:pPr>
      <w:r>
        <w:rPr>
          <w:rFonts w:ascii="Arial" w:cs="Arial" w:eastAsia="Arial" w:hAnsi="Arial"/>
          <w:sz w:val="17"/>
          <w:szCs w:val="17"/>
          <w:color w:val="003551"/>
        </w:rPr>
        <w:t>Ms. Nucifora is a Chartered Accountant and experienced Chief Financial Officer with more than 25 years’ experience in the financial services and alternative asset management industries. She has previously held chief financial officer and senior finance roles in both listed and private companies, including Merrill Lynch, Alinta Energy, Challenger, Travelex, Slater &amp; Gordon and Laser Clinics Australia. She has deep experience in financial and strategic business leadership, including leadership of successful growth companies both organically and through M&amp;A activity. Ms. Nucifora holds a Bachelor of Commerce degree and a Bachelor of Economics degree from the University of Queensland, Brisbane, Australia, and is a Graduate of the Australian Institute of Company Directors. Ms. Nucifora ceased employment with IREN effective September 8, 2025.</w:t>
      </w:r>
    </w:p>
    <w:p>
      <w:pPr>
        <w:spacing w:after="0" w:line="68" w:lineRule="exact"/>
        <w:rPr>
          <w:sz w:val="20"/>
          <w:szCs w:val="20"/>
          <w:color w:val="auto"/>
        </w:rPr>
      </w:pPr>
    </w:p>
    <w:p>
      <w:pPr>
        <w:ind w:left="940" w:right="780"/>
        <w:spacing w:after="0" w:line="244" w:lineRule="auto"/>
        <w:rPr>
          <w:sz w:val="20"/>
          <w:szCs w:val="20"/>
          <w:color w:val="auto"/>
        </w:rPr>
      </w:pPr>
      <w:r>
        <w:rPr>
          <w:rFonts w:ascii="Arial" w:cs="Arial" w:eastAsia="Arial" w:hAnsi="Arial"/>
          <w:sz w:val="17"/>
          <w:szCs w:val="17"/>
          <w:b w:val="1"/>
          <w:bCs w:val="1"/>
          <w:i w:val="1"/>
          <w:iCs w:val="1"/>
          <w:color w:val="003551"/>
        </w:rPr>
        <w:t xml:space="preserve">Anthony Lewis </w:t>
      </w:r>
      <w:r>
        <w:rPr>
          <w:rFonts w:ascii="Arial" w:cs="Arial" w:eastAsia="Arial" w:hAnsi="Arial"/>
          <w:sz w:val="17"/>
          <w:szCs w:val="17"/>
          <w:color w:val="003551"/>
        </w:rPr>
        <w:t>was appointed as Chief Financial Officer of IREN on September 8, 2025. Prior to that</w:t>
      </w:r>
      <w:r>
        <w:rPr>
          <w:rFonts w:ascii="Arial" w:cs="Arial" w:eastAsia="Arial" w:hAnsi="Arial"/>
          <w:sz w:val="17"/>
          <w:szCs w:val="17"/>
          <w:b w:val="1"/>
          <w:bCs w:val="1"/>
          <w:i w:val="1"/>
          <w:iCs w:val="1"/>
          <w:color w:val="003551"/>
        </w:rPr>
        <w:t xml:space="preserve"> </w:t>
      </w:r>
      <w:r>
        <w:rPr>
          <w:rFonts w:ascii="Arial" w:cs="Arial" w:eastAsia="Arial" w:hAnsi="Arial"/>
          <w:sz w:val="17"/>
          <w:szCs w:val="17"/>
          <w:color w:val="003551"/>
        </w:rPr>
        <w:t>Mr. Lewis served as IREN’s Chief Capital Officer from July 1, 2025. Mr. Lewis brings more than two decades of experience in financial markets, including over 22 years at Macquarie Group, a global financial services and asset management firm with operations in over 30 markets. Anthony commenced his career with Macquarie Group in Sydney in 2002 in the investment banking group. During his career in investment banking Mr. Lewis worked across asset classes (including principal investing in renewable energy assets), in both Sydney and London. Anthony subsequently took on a number of roles in group treasury including Global Head of Transactions and Structuring, Head of Capital and ultimately Co-Treasurer. In this role he was responsible for global treasury operations including fund raising, liquidity and capital management, group structure and corporate development, regulatory reporting, and group financial planning. Mr. Lewis brings deep expertise in capital markets, financial and risk management, strategic planning and leadership. His educational background includes a Bachelor of Commerce and a Bachelor of Laws (First Class Honors) from the University of Sydney.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125095</wp:posOffset>
            </wp:positionV>
            <wp:extent cx="540385" cy="6318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6" w:right="12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Board Composition</w:t>
      </w:r>
    </w:p>
    <w:p>
      <w:pPr>
        <w:spacing w:after="0" w:line="41" w:lineRule="exact"/>
        <w:rPr>
          <w:sz w:val="20"/>
          <w:szCs w:val="20"/>
          <w:color w:val="auto"/>
        </w:rPr>
      </w:pPr>
    </w:p>
    <w:p>
      <w:pPr>
        <w:ind w:left="940" w:right="1480"/>
        <w:spacing w:after="0" w:line="263" w:lineRule="auto"/>
        <w:rPr>
          <w:sz w:val="20"/>
          <w:szCs w:val="20"/>
          <w:color w:val="auto"/>
        </w:rPr>
      </w:pPr>
      <w:r>
        <w:rPr>
          <w:rFonts w:ascii="Arial" w:cs="Arial" w:eastAsia="Arial" w:hAnsi="Arial"/>
          <w:sz w:val="17"/>
          <w:szCs w:val="17"/>
          <w:color w:val="003551"/>
        </w:rPr>
        <w:t>The Board consists of six directors, four of whom are independent non-executive directors. David Bartholomew is the Chair of the Board.</w:t>
      </w:r>
    </w:p>
    <w:p>
      <w:pPr>
        <w:spacing w:after="0" w:line="53" w:lineRule="exact"/>
        <w:rPr>
          <w:sz w:val="20"/>
          <w:szCs w:val="20"/>
          <w:color w:val="auto"/>
        </w:rPr>
      </w:pPr>
    </w:p>
    <w:p>
      <w:pPr>
        <w:ind w:left="940" w:right="780"/>
        <w:spacing w:after="0" w:line="245" w:lineRule="auto"/>
        <w:rPr>
          <w:sz w:val="20"/>
          <w:szCs w:val="20"/>
          <w:color w:val="auto"/>
        </w:rPr>
      </w:pPr>
      <w:r>
        <w:rPr>
          <w:rFonts w:ascii="Arial" w:cs="Arial" w:eastAsia="Arial" w:hAnsi="Arial"/>
          <w:sz w:val="17"/>
          <w:szCs w:val="17"/>
          <w:color w:val="003551"/>
        </w:rPr>
        <w:t xml:space="preserve">The Board has the power to, at any time, appoint any person to be a director either to fill a casual vacancy or as an additional director (up to a maximum of 10). The exact number of members on the Board may be modified from time to time by special resolution of our shareholders in a general meeting, subject to the terms of the constitution of IREN (the </w:t>
      </w:r>
      <w:r>
        <w:rPr>
          <w:rFonts w:ascii="Arial" w:cs="Arial" w:eastAsia="Arial" w:hAnsi="Arial"/>
          <w:sz w:val="17"/>
          <w:szCs w:val="17"/>
          <w:b w:val="1"/>
          <w:bCs w:val="1"/>
          <w:color w:val="003551"/>
        </w:rPr>
        <w:t>“Constitution</w:t>
      </w:r>
      <w:r>
        <w:rPr>
          <w:rFonts w:ascii="Arial" w:cs="Arial" w:eastAsia="Arial" w:hAnsi="Arial"/>
          <w:sz w:val="17"/>
          <w:szCs w:val="17"/>
          <w:color w:val="003551"/>
        </w:rPr>
        <w:t>”). Our directors are currently not subject to a term of office and will hold office until their successors have been duly elected and qualified or until the earlier of their respective death, resignation, disqualification, or removal. As described in more detail in Proposal 2, the Board has unanimously approved, adopted and declared advisable certain amendments to the Constitution to provide for the election of directors other than Founder Directors (as defined herein) to the Board at each annual general meeting. The summary of the composition of the Board reflects the Constitution as currently in effect, and does not reflect any of the amendments to the Constitution proposed in Proposal 2 or any of the other proposals described herein.</w:t>
      </w:r>
    </w:p>
    <w:p>
      <w:pPr>
        <w:spacing w:after="0" w:line="19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Director Independence</w:t>
      </w:r>
    </w:p>
    <w:p>
      <w:pPr>
        <w:spacing w:after="0" w:line="41"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Under the listing requirements and rules of the Nasdaq Stock Market LLC (“</w:t>
      </w:r>
      <w:r>
        <w:rPr>
          <w:rFonts w:ascii="Arial" w:cs="Arial" w:eastAsia="Arial" w:hAnsi="Arial"/>
          <w:sz w:val="17"/>
          <w:szCs w:val="17"/>
          <w:b w:val="1"/>
          <w:bCs w:val="1"/>
          <w:color w:val="003551"/>
        </w:rPr>
        <w:t>Nasdaq</w:t>
      </w:r>
      <w:r>
        <w:rPr>
          <w:rFonts w:ascii="Arial" w:cs="Arial" w:eastAsia="Arial" w:hAnsi="Arial"/>
          <w:sz w:val="17"/>
          <w:szCs w:val="17"/>
          <w:color w:val="003551"/>
        </w:rPr>
        <w:t>”), we are required to</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have a majority of independent directors on the Board, and our audit and risk committee of the Board</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w:t>
      </w:r>
      <w:r>
        <w:rPr>
          <w:rFonts w:ascii="Arial" w:cs="Arial" w:eastAsia="Arial" w:hAnsi="Arial"/>
          <w:sz w:val="17"/>
          <w:szCs w:val="17"/>
          <w:b w:val="1"/>
          <w:bCs w:val="1"/>
          <w:color w:val="003551"/>
        </w:rPr>
        <w:t>Audit and Risk Committee</w:t>
      </w:r>
      <w:r>
        <w:rPr>
          <w:rFonts w:ascii="Arial" w:cs="Arial" w:eastAsia="Arial" w:hAnsi="Arial"/>
          <w:sz w:val="17"/>
          <w:szCs w:val="17"/>
          <w:color w:val="003551"/>
        </w:rPr>
        <w:t>”) and Compensation Committee are required to consist fully of independent</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directors. The Board has undertaken a review of the independence of each director and, based on</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information provided by each non-employee director concerning their background, employment and</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affiliations, the Board determined that David Bartholomew, Christopher Guzowski, Michael Alfred and</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Sunita Parasuraman do not have a relationship that would interfere with the exercise of independent</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judgment in carrying out the responsibilities of director and that each of these directors is “independent” as</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that term is defined under Nasdaq rules.</w:t>
      </w:r>
    </w:p>
    <w:p>
      <w:pPr>
        <w:spacing w:after="0" w:line="90" w:lineRule="exact"/>
        <w:rPr>
          <w:sz w:val="20"/>
          <w:szCs w:val="20"/>
          <w:color w:val="auto"/>
        </w:rPr>
      </w:pPr>
    </w:p>
    <w:p>
      <w:pPr>
        <w:ind w:left="940" w:right="880"/>
        <w:spacing w:after="0" w:line="251" w:lineRule="auto"/>
        <w:rPr>
          <w:sz w:val="20"/>
          <w:szCs w:val="20"/>
          <w:color w:val="auto"/>
        </w:rPr>
      </w:pPr>
      <w:r>
        <w:rPr>
          <w:rFonts w:ascii="Arial" w:cs="Arial" w:eastAsia="Arial" w:hAnsi="Arial"/>
          <w:sz w:val="17"/>
          <w:szCs w:val="17"/>
          <w:color w:val="003551"/>
        </w:rPr>
        <w:t>In making these determinations, the Board considered the current and prior relationships that each non-employee director has with IREN and all other facts and circumstances the Board deemed relevant in determining their independence, including the beneficial ownership of IREN securities by each such non-employee director or affiliated entities, and their involvement in any transactions described under the heading “Related Party Transactions.”</w:t>
      </w:r>
    </w:p>
    <w:p>
      <w:pPr>
        <w:spacing w:after="0" w:line="20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Director Nominee Qualifications and Skills</w:t>
      </w:r>
    </w:p>
    <w:p>
      <w:pPr>
        <w:spacing w:after="0" w:line="41" w:lineRule="exact"/>
        <w:rPr>
          <w:sz w:val="20"/>
          <w:szCs w:val="20"/>
          <w:color w:val="auto"/>
        </w:rPr>
      </w:pPr>
    </w:p>
    <w:p>
      <w:pPr>
        <w:ind w:left="940" w:right="780"/>
        <w:spacing w:after="0" w:line="243" w:lineRule="auto"/>
        <w:rPr>
          <w:sz w:val="20"/>
          <w:szCs w:val="20"/>
          <w:color w:val="auto"/>
        </w:rPr>
      </w:pPr>
      <w:r>
        <w:rPr>
          <w:rFonts w:ascii="Arial" w:cs="Arial" w:eastAsia="Arial" w:hAnsi="Arial"/>
          <w:sz w:val="17"/>
          <w:szCs w:val="17"/>
          <w:color w:val="003551"/>
        </w:rPr>
        <w:t>We do not have a standing nominating committee. Rather, in accordance with Rule 5605(e) of the Nasdaq rules, a majority of the independent directors may recommend a director nominee for selection by the Board. The Board believes that the independent directors can satisfactorily carry out the responsibility of properly selecting or approving director nominees without the formation of a standing nominating committee. The directors who will participate in the consideration and recommendation of director nominees are David Bartholomew, Christopher Guzowski, Michael Alfred and Sunita Parasuraman. In accordance with Rule 5605 of the Nasdaq rules, all such directors are independent. As there is no standing nominating committee, we do not have a nominating committee charter in place but have adopted a Board resolution addressing the nominations process and related matters required under the federal securities laws.</w:t>
      </w:r>
    </w:p>
    <w:p>
      <w:pPr>
        <w:spacing w:after="0" w:line="272" w:lineRule="exact"/>
        <w:rPr>
          <w:sz w:val="20"/>
          <w:szCs w:val="20"/>
          <w:color w:val="auto"/>
        </w:rPr>
      </w:pPr>
    </w:p>
    <w:p>
      <w:pPr>
        <w:ind w:left="940" w:right="800"/>
        <w:spacing w:after="0" w:line="247" w:lineRule="auto"/>
        <w:rPr>
          <w:sz w:val="20"/>
          <w:szCs w:val="20"/>
          <w:color w:val="auto"/>
        </w:rPr>
      </w:pPr>
      <w:r>
        <w:rPr>
          <w:rFonts w:ascii="Arial" w:cs="Arial" w:eastAsia="Arial" w:hAnsi="Arial"/>
          <w:sz w:val="17"/>
          <w:szCs w:val="17"/>
          <w:color w:val="003551"/>
        </w:rPr>
        <w:t>Our independent directors are responsible for assessing with the Board the appropriate skills, experience, and background that we seek in Board members in the context of our business and the existing composition of the Board. This assessment includes numerous diverse factors, such as independence; understanding of and experience in digital asset mining, high-performance computing and AI Cloud Services, technology, infrastructure, finance and marketing; senior leadership experience; and international experience. The Board then determines whether a nominee’s background, experience, personal characteristics and skills will advance the Board’s goal of creating and sustaining a Board with a diversity of perspectives and viewpoints that can support and oversee IREN’s complex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120015</wp:posOffset>
            </wp:positionV>
            <wp:extent cx="540385" cy="6318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6" w:right="12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Board of Directors Leadership Structure</w:t>
      </w:r>
    </w:p>
    <w:p>
      <w:pPr>
        <w:spacing w:after="0" w:line="41" w:lineRule="exact"/>
        <w:rPr>
          <w:sz w:val="20"/>
          <w:szCs w:val="20"/>
          <w:color w:val="auto"/>
        </w:rPr>
      </w:pPr>
    </w:p>
    <w:p>
      <w:pPr>
        <w:ind w:left="940" w:right="960"/>
        <w:spacing w:after="0" w:line="248" w:lineRule="auto"/>
        <w:rPr>
          <w:sz w:val="20"/>
          <w:szCs w:val="20"/>
          <w:color w:val="auto"/>
        </w:rPr>
      </w:pPr>
      <w:r>
        <w:rPr>
          <w:rFonts w:ascii="Arial" w:cs="Arial" w:eastAsia="Arial" w:hAnsi="Arial"/>
          <w:sz w:val="17"/>
          <w:szCs w:val="17"/>
          <w:color w:val="003551"/>
        </w:rPr>
        <w:t>The Board periodically evaluates our leadership structure and the combination or separation of the chief executive officer and chair of the board of director roles. The combination or separation of the chief executive officer and chair of the board of director roles is and will be driven by IREN’s governance and leadership needs at any point in time.</w:t>
      </w:r>
    </w:p>
    <w:p>
      <w:pPr>
        <w:spacing w:after="0" w:line="65" w:lineRule="exact"/>
        <w:rPr>
          <w:sz w:val="20"/>
          <w:szCs w:val="20"/>
          <w:color w:val="auto"/>
        </w:rPr>
      </w:pPr>
    </w:p>
    <w:p>
      <w:pPr>
        <w:ind w:left="940" w:right="740"/>
        <w:spacing w:after="0" w:line="248" w:lineRule="auto"/>
        <w:rPr>
          <w:sz w:val="20"/>
          <w:szCs w:val="20"/>
          <w:color w:val="auto"/>
        </w:rPr>
      </w:pPr>
      <w:r>
        <w:rPr>
          <w:rFonts w:ascii="Arial" w:cs="Arial" w:eastAsia="Arial" w:hAnsi="Arial"/>
          <w:sz w:val="17"/>
          <w:szCs w:val="17"/>
          <w:color w:val="003551"/>
        </w:rPr>
        <w:t>At this time, IREN has two chief executive officers, Daniel Roberts and William Roberts (the “</w:t>
      </w:r>
      <w:r>
        <w:rPr>
          <w:rFonts w:ascii="Arial" w:cs="Arial" w:eastAsia="Arial" w:hAnsi="Arial"/>
          <w:sz w:val="17"/>
          <w:szCs w:val="17"/>
          <w:b w:val="1"/>
          <w:bCs w:val="1"/>
          <w:color w:val="003551"/>
        </w:rPr>
        <w:t>Co-Chief</w:t>
      </w:r>
      <w:r>
        <w:rPr>
          <w:rFonts w:ascii="Arial" w:cs="Arial" w:eastAsia="Arial" w:hAnsi="Arial"/>
          <w:sz w:val="17"/>
          <w:szCs w:val="17"/>
          <w:color w:val="003551"/>
        </w:rPr>
        <w:t xml:space="preserve"> </w:t>
      </w:r>
      <w:r>
        <w:rPr>
          <w:rFonts w:ascii="Arial" w:cs="Arial" w:eastAsia="Arial" w:hAnsi="Arial"/>
          <w:sz w:val="17"/>
          <w:szCs w:val="17"/>
          <w:b w:val="1"/>
          <w:bCs w:val="1"/>
          <w:color w:val="003551"/>
        </w:rPr>
        <w:t>Executive Officers</w:t>
      </w:r>
      <w:r>
        <w:rPr>
          <w:rFonts w:ascii="Arial" w:cs="Arial" w:eastAsia="Arial" w:hAnsi="Arial"/>
          <w:sz w:val="17"/>
          <w:szCs w:val="17"/>
          <w:color w:val="003551"/>
        </w:rPr>
        <w:t>”), and a separate Chair of the Board, David Bartholomew, who is independent. IREN</w:t>
      </w:r>
      <w:r>
        <w:rPr>
          <w:rFonts w:ascii="Arial" w:cs="Arial" w:eastAsia="Arial" w:hAnsi="Arial"/>
          <w:sz w:val="17"/>
          <w:szCs w:val="17"/>
          <w:b w:val="1"/>
          <w:bCs w:val="1"/>
          <w:color w:val="003551"/>
        </w:rPr>
        <w:t xml:space="preserve"> </w:t>
      </w:r>
      <w:r>
        <w:rPr>
          <w:rFonts w:ascii="Arial" w:cs="Arial" w:eastAsia="Arial" w:hAnsi="Arial"/>
          <w:sz w:val="17"/>
          <w:szCs w:val="17"/>
          <w:color w:val="003551"/>
        </w:rPr>
        <w:t>believes that having an independent Chair provides strong independent leadership and oversight for IREN and the Board. We believe that the separation of the Chair and Co-Chief Executive Officer positions allows our independent Chair to focus on the governance of the Board, Board meeting agenda planning, the recruitment of new directors and Board committee responsibilities. Furthermore, this structure allows our Co-Chief Executive Officers to focus their attention on the business and execution of IREN’s strategy.</w:t>
      </w:r>
    </w:p>
    <w:p>
      <w:pPr>
        <w:spacing w:after="0" w:line="19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Board of Directors’ Role in Risk Oversight</w:t>
      </w:r>
    </w:p>
    <w:p>
      <w:pPr>
        <w:spacing w:after="0" w:line="41" w:lineRule="exact"/>
        <w:rPr>
          <w:sz w:val="20"/>
          <w:szCs w:val="20"/>
          <w:color w:val="auto"/>
        </w:rPr>
      </w:pPr>
    </w:p>
    <w:p>
      <w:pPr>
        <w:ind w:left="940" w:right="740"/>
        <w:spacing w:after="0" w:line="243" w:lineRule="auto"/>
        <w:rPr>
          <w:sz w:val="20"/>
          <w:szCs w:val="20"/>
          <w:color w:val="auto"/>
        </w:rPr>
      </w:pPr>
      <w:r>
        <w:rPr>
          <w:rFonts w:ascii="Arial" w:cs="Arial" w:eastAsia="Arial" w:hAnsi="Arial"/>
          <w:sz w:val="17"/>
          <w:szCs w:val="17"/>
          <w:color w:val="003551"/>
        </w:rPr>
        <w:t xml:space="preserve">The Board oversees the risk management activities designed and implemented by our management team and also considers specific risk topics, including risks associated with our strategic initiatives, cybersecurity, business plans and capital structure. The Board executes its oversight responsibilities both directly and through its committees and believes its risk management processes are well-supported by the current Board leadership structure. Our management, including our executive officers, is primarily responsible for managing the risks associated with the operation and business of IREN and reports periodically to the Board and </w:t>
      </w:r>
      <w:r>
        <w:rPr>
          <w:rFonts w:ascii="Arial" w:cs="Arial" w:eastAsia="Arial" w:hAnsi="Arial"/>
          <w:sz w:val="17"/>
          <w:szCs w:val="17"/>
          <w:b w:val="1"/>
          <w:bCs w:val="1"/>
          <w:color w:val="003551"/>
        </w:rPr>
        <w:t>Audit and Risk Committee</w:t>
      </w:r>
      <w:r>
        <w:rPr>
          <w:rFonts w:ascii="Arial" w:cs="Arial" w:eastAsia="Arial" w:hAnsi="Arial"/>
          <w:sz w:val="17"/>
          <w:szCs w:val="17"/>
          <w:color w:val="003551"/>
        </w:rPr>
        <w:t xml:space="preserve"> on risk management activities, including cybersecurity. The Board has delegated to the Audit and Risk Committee oversight of its risk management process, and our other Board committees also consider risks related to the performance of their respective committee responsibilities. All committees report to the Board regularly and as frequently as appropriate, including when a matter rises to the level of a material or enterprise risk.</w:t>
      </w:r>
    </w:p>
    <w:p>
      <w:pPr>
        <w:spacing w:after="0" w:line="158" w:lineRule="exact"/>
        <w:rPr>
          <w:sz w:val="20"/>
          <w:szCs w:val="20"/>
          <w:color w:val="auto"/>
        </w:rPr>
      </w:pPr>
    </w:p>
    <w:p>
      <w:pPr>
        <w:ind w:left="940" w:right="1440"/>
        <w:spacing w:after="0" w:line="257" w:lineRule="auto"/>
        <w:rPr>
          <w:sz w:val="20"/>
          <w:szCs w:val="20"/>
          <w:color w:val="auto"/>
        </w:rPr>
      </w:pPr>
      <w:r>
        <w:rPr>
          <w:rFonts w:ascii="Times New Roman" w:cs="Times New Roman" w:eastAsia="Times New Roman" w:hAnsi="Times New Roman"/>
          <w:sz w:val="28"/>
          <w:szCs w:val="28"/>
          <w:i w:val="1"/>
          <w:iCs w:val="1"/>
          <w:color w:val="003551"/>
        </w:rPr>
        <w:t>Meetings of the Board of Directors and Annual General Meeting of Shareholders</w:t>
      </w:r>
    </w:p>
    <w:p>
      <w:pPr>
        <w:spacing w:after="0" w:line="1" w:lineRule="exact"/>
        <w:rPr>
          <w:sz w:val="20"/>
          <w:szCs w:val="20"/>
          <w:color w:val="auto"/>
        </w:rPr>
      </w:pPr>
    </w:p>
    <w:p>
      <w:pPr>
        <w:ind w:left="940" w:right="940"/>
        <w:spacing w:after="0" w:line="248" w:lineRule="auto"/>
        <w:rPr>
          <w:sz w:val="20"/>
          <w:szCs w:val="20"/>
          <w:color w:val="auto"/>
        </w:rPr>
      </w:pPr>
      <w:r>
        <w:rPr>
          <w:rFonts w:ascii="Arial" w:cs="Arial" w:eastAsia="Arial" w:hAnsi="Arial"/>
          <w:sz w:val="17"/>
          <w:szCs w:val="17"/>
          <w:color w:val="003551"/>
        </w:rPr>
        <w:t>The Board directs the management of our business and affairs as provided by Australian law and conducts its business through meetings of the Board and the operation of the Audit and Risk Committee and the Compensation Committee. In addition, from time to time, other committees may be established under the direction of the Board when necessary or advisable to address specific issues.</w:t>
      </w:r>
    </w:p>
    <w:p>
      <w:pPr>
        <w:spacing w:after="0" w:line="67" w:lineRule="exact"/>
        <w:rPr>
          <w:sz w:val="20"/>
          <w:szCs w:val="20"/>
          <w:color w:val="auto"/>
        </w:rPr>
      </w:pPr>
    </w:p>
    <w:p>
      <w:pPr>
        <w:ind w:left="940" w:right="960"/>
        <w:spacing w:after="0" w:line="262" w:lineRule="auto"/>
        <w:rPr>
          <w:sz w:val="20"/>
          <w:szCs w:val="20"/>
          <w:color w:val="auto"/>
        </w:rPr>
      </w:pPr>
      <w:r>
        <w:rPr>
          <w:rFonts w:ascii="Arial" w:cs="Arial" w:eastAsia="Arial" w:hAnsi="Arial"/>
          <w:sz w:val="17"/>
          <w:szCs w:val="17"/>
          <w:color w:val="003551"/>
        </w:rPr>
        <w:t>During the fiscal year ended June 30, 2025, the Board held seven meetings, and each of the incumbent directors attended at least 75% of the total of all meetings of the Board and committees on which the director served during his or her service as a director during the year.</w:t>
      </w:r>
    </w:p>
    <w:p>
      <w:pPr>
        <w:spacing w:after="0" w:line="54" w:lineRule="exact"/>
        <w:rPr>
          <w:sz w:val="20"/>
          <w:szCs w:val="20"/>
          <w:color w:val="auto"/>
        </w:rPr>
      </w:pPr>
    </w:p>
    <w:p>
      <w:pPr>
        <w:ind w:left="940" w:right="840"/>
        <w:spacing w:after="0" w:line="262" w:lineRule="auto"/>
        <w:rPr>
          <w:sz w:val="20"/>
          <w:szCs w:val="20"/>
          <w:color w:val="auto"/>
        </w:rPr>
      </w:pPr>
      <w:r>
        <w:rPr>
          <w:rFonts w:ascii="Arial" w:cs="Arial" w:eastAsia="Arial" w:hAnsi="Arial"/>
          <w:sz w:val="17"/>
          <w:szCs w:val="17"/>
          <w:color w:val="003551"/>
        </w:rPr>
        <w:t>Although IREN does not have a formal policy regarding attendance of directors at the annual general meeting of shareholders, all directors are encouraged to attend. Five directors on the Board at the time of our 2024 annual general meeting of shareholders attended the virtual meeting.</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Committees of the Board of Directors</w:t>
      </w:r>
    </w:p>
    <w:p>
      <w:pPr>
        <w:spacing w:after="0" w:line="41" w:lineRule="exact"/>
        <w:rPr>
          <w:sz w:val="20"/>
          <w:szCs w:val="20"/>
          <w:color w:val="auto"/>
        </w:rPr>
      </w:pPr>
    </w:p>
    <w:p>
      <w:pPr>
        <w:ind w:left="940" w:right="840"/>
        <w:spacing w:after="0" w:line="248" w:lineRule="auto"/>
        <w:rPr>
          <w:sz w:val="20"/>
          <w:szCs w:val="20"/>
          <w:color w:val="auto"/>
        </w:rPr>
      </w:pPr>
      <w:r>
        <w:rPr>
          <w:rFonts w:ascii="Arial" w:cs="Arial" w:eastAsia="Arial" w:hAnsi="Arial"/>
          <w:sz w:val="17"/>
          <w:szCs w:val="17"/>
          <w:color w:val="003551"/>
        </w:rPr>
        <w:t>The Board directs the management of our business and affairs and conducts its business through meetings of the Board and the operation of the Audit and Risk Committee and the Compensation Committee. In addition, from time to time, other committees may be established under the direction of the Board when necessary or advisable to address specific issues.</w:t>
      </w:r>
    </w:p>
    <w:p>
      <w:pPr>
        <w:spacing w:after="0" w:line="19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Audit and Risk Committee</w:t>
      </w:r>
    </w:p>
    <w:p>
      <w:pPr>
        <w:spacing w:after="0" w:line="41" w:lineRule="exact"/>
        <w:rPr>
          <w:sz w:val="20"/>
          <w:szCs w:val="20"/>
          <w:color w:val="auto"/>
        </w:rPr>
      </w:pPr>
    </w:p>
    <w:p>
      <w:pPr>
        <w:ind w:left="940" w:right="1020"/>
        <w:spacing w:after="0" w:line="263" w:lineRule="auto"/>
        <w:rPr>
          <w:sz w:val="20"/>
          <w:szCs w:val="20"/>
          <w:color w:val="auto"/>
        </w:rPr>
      </w:pPr>
      <w:r>
        <w:rPr>
          <w:rFonts w:ascii="Arial" w:cs="Arial" w:eastAsia="Arial" w:hAnsi="Arial"/>
          <w:sz w:val="17"/>
          <w:szCs w:val="17"/>
          <w:color w:val="003551"/>
        </w:rPr>
        <w:t>The Board approved the establishment of the Audit and Risk Committee on November 13, 2021, which operates under a charter, a copy of which is available on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111125</wp:posOffset>
            </wp:positionV>
            <wp:extent cx="540385" cy="6318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6" w:right="12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40" w:right="740"/>
        <w:spacing w:after="0" w:line="245" w:lineRule="auto"/>
        <w:rPr>
          <w:sz w:val="20"/>
          <w:szCs w:val="20"/>
          <w:color w:val="auto"/>
        </w:rPr>
      </w:pPr>
      <w:r>
        <w:rPr>
          <w:rFonts w:ascii="Arial" w:cs="Arial" w:eastAsia="Arial" w:hAnsi="Arial"/>
          <w:sz w:val="17"/>
          <w:szCs w:val="17"/>
          <w:color w:val="003551"/>
        </w:rPr>
        <w:t>The Audit and Risk Committee consists of Sunita Parasuraman (Chair), David Bartholomew, Christopher Guzowski and Michael Alfred. During the fiscal year ended June 30, 2025, the Audit and Risk Committee held six meetings. The Audit and Risk Committee has direct responsibility for the oversight of the work of our independent registered public accounting firm, including the sole authority for the establishment of pre-approval policies and procedures for all audit and non-audit engagements, and may terminate our registered public accounting firm’s engagement without the approval of IREN’s shareholders whenever the Audit and Risk Committee deems appropriate. The Audit and Risk Committee also oversees the integrity of our financial statements of IREN and its wholly owned subsidiaries and reports and the qualifications, performance and independence of our independent registered public accounting firm. The Audit and Risk Committee also reviews and discusses IREN’s risk management, including without limitation financial, operational, cybersecurity, legal, regulatory and reputational risks. The Audit and Risk Committee may delegate its responsibilities to any subcommittee, if approved by the Board.</w:t>
      </w:r>
    </w:p>
    <w:p>
      <w:pPr>
        <w:spacing w:after="0" w:line="68" w:lineRule="exact"/>
        <w:rPr>
          <w:sz w:val="20"/>
          <w:szCs w:val="20"/>
          <w:color w:val="auto"/>
        </w:rPr>
      </w:pPr>
    </w:p>
    <w:p>
      <w:pPr>
        <w:ind w:left="940" w:right="940"/>
        <w:spacing w:after="0" w:line="262" w:lineRule="auto"/>
        <w:rPr>
          <w:sz w:val="20"/>
          <w:szCs w:val="20"/>
          <w:color w:val="auto"/>
        </w:rPr>
      </w:pPr>
      <w:r>
        <w:rPr>
          <w:rFonts w:ascii="Arial" w:cs="Arial" w:eastAsia="Arial" w:hAnsi="Arial"/>
          <w:sz w:val="17"/>
          <w:szCs w:val="17"/>
          <w:color w:val="003551"/>
        </w:rPr>
        <w:t>The Board has determined that each member of the Audit and Risk Committee is “independent” as such term is defined in Rule 10A-3(b)(1) under the Exchange Act, which is different from the general test for independence of board and committee members.</w:t>
      </w:r>
    </w:p>
    <w:p>
      <w:pPr>
        <w:spacing w:after="0" w:line="54" w:lineRule="exact"/>
        <w:rPr>
          <w:sz w:val="20"/>
          <w:szCs w:val="20"/>
          <w:color w:val="auto"/>
        </w:rPr>
      </w:pPr>
    </w:p>
    <w:p>
      <w:pPr>
        <w:ind w:left="940" w:right="900"/>
        <w:spacing w:after="0" w:line="247" w:lineRule="auto"/>
        <w:rPr>
          <w:sz w:val="20"/>
          <w:szCs w:val="20"/>
          <w:color w:val="auto"/>
        </w:rPr>
      </w:pPr>
      <w:r>
        <w:rPr>
          <w:rFonts w:ascii="Arial" w:cs="Arial" w:eastAsia="Arial" w:hAnsi="Arial"/>
          <w:sz w:val="17"/>
          <w:szCs w:val="17"/>
          <w:color w:val="003551"/>
        </w:rPr>
        <w:t>All members of the Audit and Risk Committee are able to read and understand fundamental financial statements, are familiar with finance and accounting practices and principles, and are financially literate and the Board has determined that all members of the Audit and Risk Committee meet the requirements for financial literacy under the applicable rules of the SEC and the Nasdaq corporate governance rules. The Board has determined that each of David Bartholomew and Sunita Parasuraman is an “audit committee financial expert” as such term is defined under the applicable regulations of the SEC and has the requisite accounting or related financial management expertise and financial sophistication under the applicable rules and regulations of the Nasdaq.</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Compensation Committee</w:t>
      </w:r>
    </w:p>
    <w:p>
      <w:pPr>
        <w:spacing w:after="0" w:line="41" w:lineRule="exact"/>
        <w:rPr>
          <w:sz w:val="20"/>
          <w:szCs w:val="20"/>
          <w:color w:val="auto"/>
        </w:rPr>
      </w:pPr>
    </w:p>
    <w:p>
      <w:pPr>
        <w:ind w:left="940" w:right="760"/>
        <w:spacing w:after="0" w:line="263" w:lineRule="auto"/>
        <w:rPr>
          <w:sz w:val="20"/>
          <w:szCs w:val="20"/>
          <w:color w:val="auto"/>
        </w:rPr>
      </w:pPr>
      <w:r>
        <w:rPr>
          <w:rFonts w:ascii="Arial" w:cs="Arial" w:eastAsia="Arial" w:hAnsi="Arial"/>
          <w:sz w:val="17"/>
          <w:szCs w:val="17"/>
          <w:color w:val="003551"/>
        </w:rPr>
        <w:t>The Board approved the establishment of the Compensation Committee on April 11, 2024, which operates under a charter, a copy of which is available on our website.</w:t>
      </w:r>
    </w:p>
    <w:p>
      <w:pPr>
        <w:spacing w:after="0" w:line="53" w:lineRule="exact"/>
        <w:rPr>
          <w:sz w:val="20"/>
          <w:szCs w:val="20"/>
          <w:color w:val="auto"/>
        </w:rPr>
      </w:pPr>
    </w:p>
    <w:p>
      <w:pPr>
        <w:ind w:left="940" w:right="740"/>
        <w:spacing w:after="0" w:line="246" w:lineRule="auto"/>
        <w:rPr>
          <w:sz w:val="20"/>
          <w:szCs w:val="20"/>
          <w:color w:val="auto"/>
        </w:rPr>
      </w:pPr>
      <w:r>
        <w:rPr>
          <w:rFonts w:ascii="Arial" w:cs="Arial" w:eastAsia="Arial" w:hAnsi="Arial"/>
          <w:sz w:val="17"/>
          <w:szCs w:val="17"/>
          <w:color w:val="003551"/>
        </w:rPr>
        <w:t>The Compensation Committee consists of David Bartholomew (Chair), Michael Alfred, Christopher Guzowski and Sunita Parasuraman. During the fiscal year ended June 30, 2025, the Compensation Committee held three meetings. The Compensation Committee is responsible for reviewing and recommending to the Board: corporate goals and objectives relevant to executive compensation as well as base salary, bonus, equity and other benefits for senior executives, compensation of non-executive directors, and any changes to IREN’s incentive compensation and equity-based plans and arrangement. The Compensation Committee may delegate its responsibilities to a subcommittee, if approved by the Board, and has been aided in its review of, and recommendations regarding, executive compensation by an independent consultant, Frederic W. Cook &amp; Co., Inc. (“</w:t>
      </w:r>
      <w:r>
        <w:rPr>
          <w:rFonts w:ascii="Arial" w:cs="Arial" w:eastAsia="Arial" w:hAnsi="Arial"/>
          <w:sz w:val="17"/>
          <w:szCs w:val="17"/>
          <w:b w:val="1"/>
          <w:bCs w:val="1"/>
          <w:color w:val="003551"/>
        </w:rPr>
        <w:t>FW Cook</w:t>
      </w:r>
      <w:r>
        <w:rPr>
          <w:rFonts w:ascii="Arial" w:cs="Arial" w:eastAsia="Arial" w:hAnsi="Arial"/>
          <w:sz w:val="17"/>
          <w:szCs w:val="17"/>
          <w:color w:val="003551"/>
        </w:rPr>
        <w:t>”), which provides compensation benchmarking and consultation services.</w:t>
      </w:r>
    </w:p>
    <w:p>
      <w:pPr>
        <w:spacing w:after="0" w:line="266" w:lineRule="exact"/>
        <w:rPr>
          <w:sz w:val="20"/>
          <w:szCs w:val="20"/>
          <w:color w:val="auto"/>
        </w:rPr>
      </w:pPr>
    </w:p>
    <w:p>
      <w:pPr>
        <w:ind w:left="940" w:right="940"/>
        <w:spacing w:after="0" w:line="283" w:lineRule="auto"/>
        <w:rPr>
          <w:sz w:val="20"/>
          <w:szCs w:val="20"/>
          <w:color w:val="auto"/>
        </w:rPr>
      </w:pPr>
      <w:r>
        <w:rPr>
          <w:rFonts w:ascii="Arial" w:cs="Arial" w:eastAsia="Arial" w:hAnsi="Arial"/>
          <w:sz w:val="17"/>
          <w:szCs w:val="17"/>
          <w:color w:val="003551"/>
        </w:rPr>
        <w:t>The Board has determined that each member of the Compensation Committee is “independent” as such term is defined in Rule 10C-1(b)(1) under the Exchange Act.</w:t>
      </w:r>
    </w:p>
    <w:p>
      <w:pPr>
        <w:spacing w:after="0" w:line="162" w:lineRule="exact"/>
        <w:rPr>
          <w:sz w:val="20"/>
          <w:szCs w:val="20"/>
          <w:color w:val="auto"/>
        </w:rPr>
      </w:pPr>
    </w:p>
    <w:p>
      <w:pPr>
        <w:ind w:left="940" w:right="1580"/>
        <w:spacing w:after="0" w:line="257" w:lineRule="auto"/>
        <w:rPr>
          <w:sz w:val="20"/>
          <w:szCs w:val="20"/>
          <w:color w:val="auto"/>
        </w:rPr>
      </w:pPr>
      <w:r>
        <w:rPr>
          <w:rFonts w:ascii="Times New Roman" w:cs="Times New Roman" w:eastAsia="Times New Roman" w:hAnsi="Times New Roman"/>
          <w:sz w:val="28"/>
          <w:szCs w:val="28"/>
          <w:i w:val="1"/>
          <w:iCs w:val="1"/>
          <w:color w:val="003551"/>
        </w:rPr>
        <w:t>Corporate Governance Guidelines and Code of Business Conduct and Ethics</w:t>
      </w:r>
    </w:p>
    <w:p>
      <w:pPr>
        <w:spacing w:after="0" w:line="1" w:lineRule="exact"/>
        <w:rPr>
          <w:sz w:val="20"/>
          <w:szCs w:val="20"/>
          <w:color w:val="auto"/>
        </w:rPr>
      </w:pPr>
    </w:p>
    <w:p>
      <w:pPr>
        <w:ind w:left="940" w:right="820"/>
        <w:spacing w:after="0" w:line="248" w:lineRule="auto"/>
        <w:rPr>
          <w:sz w:val="20"/>
          <w:szCs w:val="20"/>
          <w:color w:val="auto"/>
        </w:rPr>
      </w:pPr>
      <w:r>
        <w:rPr>
          <w:rFonts w:ascii="Arial" w:cs="Arial" w:eastAsia="Arial" w:hAnsi="Arial"/>
          <w:sz w:val="17"/>
          <w:szCs w:val="17"/>
          <w:color w:val="003551"/>
        </w:rPr>
        <w:t>We have adopted corporate governance guidelines (“</w:t>
      </w:r>
      <w:r>
        <w:rPr>
          <w:rFonts w:ascii="Arial" w:cs="Arial" w:eastAsia="Arial" w:hAnsi="Arial"/>
          <w:sz w:val="17"/>
          <w:szCs w:val="17"/>
          <w:b w:val="1"/>
          <w:bCs w:val="1"/>
          <w:color w:val="003551"/>
        </w:rPr>
        <w:t>Corporate Governance Guidelines</w:t>
      </w:r>
      <w:r>
        <w:rPr>
          <w:rFonts w:ascii="Arial" w:cs="Arial" w:eastAsia="Arial" w:hAnsi="Arial"/>
          <w:sz w:val="17"/>
          <w:szCs w:val="17"/>
          <w:color w:val="003551"/>
        </w:rPr>
        <w:t>”) that address items such as the qualifications and responsibilities of the Board, directors and Board committees, conflicts of interest, succession planning, committee composition, director term limits, and other important governance policies and principles.</w:t>
      </w:r>
    </w:p>
    <w:p>
      <w:pPr>
        <w:spacing w:after="0" w:line="65" w:lineRule="exact"/>
        <w:rPr>
          <w:sz w:val="20"/>
          <w:szCs w:val="20"/>
          <w:color w:val="auto"/>
        </w:rPr>
      </w:pPr>
    </w:p>
    <w:p>
      <w:pPr>
        <w:ind w:left="940" w:right="840"/>
        <w:spacing w:after="0" w:line="263" w:lineRule="auto"/>
        <w:rPr>
          <w:sz w:val="20"/>
          <w:szCs w:val="20"/>
          <w:color w:val="auto"/>
        </w:rPr>
      </w:pPr>
      <w:r>
        <w:rPr>
          <w:rFonts w:ascii="Arial" w:cs="Arial" w:eastAsia="Arial" w:hAnsi="Arial"/>
          <w:sz w:val="17"/>
          <w:szCs w:val="17"/>
          <w:color w:val="003551"/>
        </w:rPr>
        <w:t>Additionally, we have adopted a code of business conduct and ethics (“</w:t>
      </w:r>
      <w:r>
        <w:rPr>
          <w:rFonts w:ascii="Arial" w:cs="Arial" w:eastAsia="Arial" w:hAnsi="Arial"/>
          <w:sz w:val="17"/>
          <w:szCs w:val="17"/>
          <w:b w:val="1"/>
          <w:bCs w:val="1"/>
          <w:color w:val="003551"/>
        </w:rPr>
        <w:t>Code of Business Conduct and</w:t>
      </w:r>
      <w:r>
        <w:rPr>
          <w:rFonts w:ascii="Arial" w:cs="Arial" w:eastAsia="Arial" w:hAnsi="Arial"/>
          <w:sz w:val="17"/>
          <w:szCs w:val="17"/>
          <w:color w:val="003551"/>
        </w:rPr>
        <w:t xml:space="preserve"> </w:t>
      </w:r>
      <w:r>
        <w:rPr>
          <w:rFonts w:ascii="Arial" w:cs="Arial" w:eastAsia="Arial" w:hAnsi="Arial"/>
          <w:sz w:val="17"/>
          <w:szCs w:val="17"/>
          <w:b w:val="1"/>
          <w:bCs w:val="1"/>
          <w:color w:val="003551"/>
        </w:rPr>
        <w:t>Ethics</w:t>
      </w:r>
      <w:r>
        <w:rPr>
          <w:rFonts w:ascii="Arial" w:cs="Arial" w:eastAsia="Arial" w:hAnsi="Arial"/>
          <w:sz w:val="17"/>
          <w:szCs w:val="17"/>
          <w:color w:val="003551"/>
        </w:rPr>
        <w:t>”) that applies to all our directors, and to our officers and other employees. Our Code of Business</w:t>
      </w:r>
      <w:r>
        <w:rPr>
          <w:rFonts w:ascii="Arial" w:cs="Arial" w:eastAsia="Arial" w:hAnsi="Arial"/>
          <w:sz w:val="17"/>
          <w:szCs w:val="17"/>
          <w:b w:val="1"/>
          <w:bCs w:val="1"/>
          <w:color w:val="003551"/>
        </w:rPr>
        <w:t xml:space="preserve"> </w:t>
      </w:r>
      <w:r>
        <w:rPr>
          <w:rFonts w:ascii="Arial" w:cs="Arial" w:eastAsia="Arial" w:hAnsi="Arial"/>
          <w:sz w:val="17"/>
          <w:szCs w:val="17"/>
          <w:color w:val="003551"/>
        </w:rPr>
        <w:t>Conduct and Ethics addresses, among other things, competition and fair dealing, gifts and 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111125</wp:posOffset>
            </wp:positionV>
            <wp:extent cx="540385" cy="6318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228600</wp:posOffset>
            </wp:positionV>
            <wp:extent cx="6786880"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6" w:right="12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40" w:right="740"/>
        <w:spacing w:after="0" w:line="251" w:lineRule="auto"/>
        <w:rPr>
          <w:sz w:val="20"/>
          <w:szCs w:val="20"/>
          <w:color w:val="auto"/>
        </w:rPr>
      </w:pPr>
      <w:r>
        <w:rPr>
          <w:rFonts w:ascii="Arial" w:cs="Arial" w:eastAsia="Arial" w:hAnsi="Arial"/>
          <w:sz w:val="17"/>
          <w:szCs w:val="17"/>
          <w:color w:val="003551"/>
        </w:rPr>
        <w:t>conflicts of interest, international trade laws, public communications and Regulation FD, modern slavery, compliance with laws, regulations and policies, confidentiality and corporate opportunity requirements and the process for reporting violations of the Code of Business Conduct and Ethics. We will promptly disclose, if required by applicable laws, any amendment to, or waiver from, our Code of Business Conduct and Ethics granted to directors or executive officers by timely posting such information on our website.</w:t>
      </w:r>
    </w:p>
    <w:p>
      <w:pPr>
        <w:spacing w:after="0" w:line="65" w:lineRule="exact"/>
        <w:rPr>
          <w:sz w:val="20"/>
          <w:szCs w:val="20"/>
          <w:color w:val="auto"/>
        </w:rPr>
      </w:pPr>
    </w:p>
    <w:p>
      <w:pPr>
        <w:ind w:left="940" w:right="820"/>
        <w:spacing w:after="0" w:line="283" w:lineRule="auto"/>
        <w:rPr>
          <w:sz w:val="20"/>
          <w:szCs w:val="20"/>
          <w:color w:val="auto"/>
        </w:rPr>
      </w:pPr>
      <w:r>
        <w:rPr>
          <w:rFonts w:ascii="Arial" w:cs="Arial" w:eastAsia="Arial" w:hAnsi="Arial"/>
          <w:sz w:val="17"/>
          <w:szCs w:val="17"/>
          <w:color w:val="003551"/>
        </w:rPr>
        <w:t>The Corporate Governance Guidelines and Code of Business Conduct and Ethics are available under the “Governance” section of our website at iren.com/investors/governance.</w:t>
      </w:r>
    </w:p>
    <w:p>
      <w:pPr>
        <w:spacing w:after="0" w:line="14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Communication with the Board of Directors</w:t>
      </w:r>
    </w:p>
    <w:p>
      <w:pPr>
        <w:spacing w:after="0" w:line="41" w:lineRule="exact"/>
        <w:rPr>
          <w:sz w:val="20"/>
          <w:szCs w:val="20"/>
          <w:color w:val="auto"/>
        </w:rPr>
      </w:pPr>
    </w:p>
    <w:p>
      <w:pPr>
        <w:ind w:left="940" w:right="760"/>
        <w:spacing w:after="0" w:line="245" w:lineRule="auto"/>
        <w:rPr>
          <w:sz w:val="20"/>
          <w:szCs w:val="20"/>
          <w:color w:val="auto"/>
        </w:rPr>
      </w:pPr>
      <w:r>
        <w:rPr>
          <w:rFonts w:ascii="Arial" w:cs="Arial" w:eastAsia="Arial" w:hAnsi="Arial"/>
          <w:sz w:val="17"/>
          <w:szCs w:val="17"/>
          <w:color w:val="003551"/>
        </w:rPr>
        <w:t>Shareholders and interested parties who wish to contact any member of the Board or the entire Board should address correspondence to the Chair in care of the secretary of IREN (“</w:t>
      </w:r>
      <w:r>
        <w:rPr>
          <w:rFonts w:ascii="Arial" w:cs="Arial" w:eastAsia="Arial" w:hAnsi="Arial"/>
          <w:sz w:val="17"/>
          <w:szCs w:val="17"/>
          <w:b w:val="1"/>
          <w:bCs w:val="1"/>
          <w:color w:val="003551"/>
        </w:rPr>
        <w:t>Secretary</w:t>
      </w:r>
      <w:r>
        <w:rPr>
          <w:rFonts w:ascii="Arial" w:cs="Arial" w:eastAsia="Arial" w:hAnsi="Arial"/>
          <w:sz w:val="17"/>
          <w:szCs w:val="17"/>
          <w:color w:val="003551"/>
        </w:rPr>
        <w:t>”) by email. The Secretary will review and forward correspondence to the Chair or the appropriate person or persons for response. Such items that are unrelated to a director’s duties and responsibilities as a Board member may be excluded by the Secretary, including, without limitation, solicitations and advertisements, junk mail, product-related communications, job referral materials and resumes, surveys, and material that is determined to be illegal or otherwise inappropriate.</w:t>
      </w:r>
    </w:p>
    <w:p>
      <w:pPr>
        <w:spacing w:after="0" w:line="67" w:lineRule="exact"/>
        <w:rPr>
          <w:sz w:val="20"/>
          <w:szCs w:val="20"/>
          <w:color w:val="auto"/>
        </w:rPr>
      </w:pPr>
    </w:p>
    <w:p>
      <w:pPr>
        <w:ind w:left="940" w:right="980"/>
        <w:spacing w:after="0" w:line="262" w:lineRule="auto"/>
        <w:rPr>
          <w:sz w:val="20"/>
          <w:szCs w:val="20"/>
          <w:color w:val="auto"/>
        </w:rPr>
      </w:pPr>
      <w:r>
        <w:rPr>
          <w:rFonts w:ascii="Arial" w:cs="Arial" w:eastAsia="Arial" w:hAnsi="Arial"/>
          <w:sz w:val="17"/>
          <w:szCs w:val="17"/>
          <w:color w:val="003551"/>
        </w:rPr>
        <w:t>Shareholders may recommend a candidate to the Board by following the procedures for communicating with the Board described above. The Board will evaluate director candidates recommended by shareholders in the same manner as other director candidates.</w:t>
      </w:r>
    </w:p>
    <w:p>
      <w:pPr>
        <w:spacing w:after="0" w:line="93"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003551"/>
        </w:rPr>
        <w:t>Chair of IREN Limited</w:t>
      </w:r>
    </w:p>
    <w:p>
      <w:pPr>
        <w:spacing w:after="0" w:line="17" w:lineRule="exact"/>
        <w:rPr>
          <w:sz w:val="20"/>
          <w:szCs w:val="20"/>
          <w:color w:val="auto"/>
        </w:rPr>
      </w:pPr>
    </w:p>
    <w:p>
      <w:pPr>
        <w:ind w:left="4020"/>
        <w:spacing w:after="0"/>
        <w:rPr>
          <w:sz w:val="20"/>
          <w:szCs w:val="20"/>
          <w:color w:val="auto"/>
        </w:rPr>
      </w:pPr>
      <w:r>
        <w:rPr>
          <w:rFonts w:ascii="Arial" w:cs="Arial" w:eastAsia="Arial" w:hAnsi="Arial"/>
          <w:sz w:val="17"/>
          <w:szCs w:val="17"/>
          <w:color w:val="003551"/>
        </w:rPr>
        <w:t>c/o Office of the Secretary</w:t>
      </w:r>
    </w:p>
    <w:p>
      <w:pPr>
        <w:spacing w:after="0" w:line="1" w:lineRule="exact"/>
        <w:rPr>
          <w:sz w:val="20"/>
          <w:szCs w:val="20"/>
          <w:color w:val="auto"/>
        </w:rPr>
      </w:pPr>
    </w:p>
    <w:p>
      <w:pPr>
        <w:ind w:left="4440"/>
        <w:spacing w:after="0"/>
        <w:rPr>
          <w:sz w:val="20"/>
          <w:szCs w:val="20"/>
          <w:color w:val="auto"/>
        </w:rPr>
      </w:pPr>
      <w:r>
        <w:rPr>
          <w:rFonts w:ascii="Arial" w:cs="Arial" w:eastAsia="Arial" w:hAnsi="Arial"/>
          <w:sz w:val="17"/>
          <w:szCs w:val="17"/>
          <w:color w:val="003551"/>
        </w:rPr>
        <w:t>AGM@iren.com</w:t>
      </w:r>
    </w:p>
    <w:p>
      <w:pPr>
        <w:spacing w:after="0" w:line="2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Related Party Transactions</w:t>
      </w:r>
    </w:p>
    <w:p>
      <w:pPr>
        <w:spacing w:after="0" w:line="41" w:lineRule="exact"/>
        <w:rPr>
          <w:sz w:val="20"/>
          <w:szCs w:val="20"/>
          <w:color w:val="auto"/>
        </w:rPr>
      </w:pPr>
    </w:p>
    <w:p>
      <w:pPr>
        <w:ind w:left="940" w:right="900"/>
        <w:spacing w:after="0" w:line="244" w:lineRule="auto"/>
        <w:rPr>
          <w:sz w:val="20"/>
          <w:szCs w:val="20"/>
          <w:color w:val="auto"/>
        </w:rPr>
      </w:pPr>
      <w:r>
        <w:rPr>
          <w:rFonts w:ascii="Arial" w:cs="Arial" w:eastAsia="Arial" w:hAnsi="Arial"/>
          <w:sz w:val="17"/>
          <w:szCs w:val="17"/>
          <w:color w:val="003551"/>
        </w:rPr>
        <w:t>Other than the compensation arrangements, which are described below under the caption “Executive Compensation,” since July 1, 2024 through the date of this Proxy Statement, we did not enter into any related transactions with any related parties as defined in IREN’s written related party transactions policy adopted by the Board (the “</w:t>
      </w:r>
      <w:r>
        <w:rPr>
          <w:rFonts w:ascii="Arial" w:cs="Arial" w:eastAsia="Arial" w:hAnsi="Arial"/>
          <w:sz w:val="17"/>
          <w:szCs w:val="17"/>
          <w:b w:val="1"/>
          <w:bCs w:val="1"/>
          <w:color w:val="003551"/>
        </w:rPr>
        <w:t>Related Party Transactions Policy</w:t>
      </w:r>
      <w:r>
        <w:rPr>
          <w:rFonts w:ascii="Arial" w:cs="Arial" w:eastAsia="Arial" w:hAnsi="Arial"/>
          <w:sz w:val="17"/>
          <w:szCs w:val="17"/>
          <w:color w:val="003551"/>
        </w:rPr>
        <w:t>”) in an amount that exceeded or will exceed $120,000 and including: (i) directors, director nominees and members of key management personnel, or their immediate family members; and (ii) individuals or entities that directly or indirectly, through one or more intermediaries, control us, or that hold 5% or more of any class of our voting securities.</w:t>
      </w:r>
    </w:p>
    <w:p>
      <w:pPr>
        <w:spacing w:after="0" w:line="71" w:lineRule="exact"/>
        <w:rPr>
          <w:sz w:val="20"/>
          <w:szCs w:val="20"/>
          <w:color w:val="auto"/>
        </w:rPr>
      </w:pPr>
    </w:p>
    <w:p>
      <w:pPr>
        <w:ind w:left="940" w:right="780"/>
        <w:spacing w:after="0" w:line="245" w:lineRule="auto"/>
        <w:rPr>
          <w:sz w:val="20"/>
          <w:szCs w:val="20"/>
          <w:color w:val="auto"/>
        </w:rPr>
      </w:pPr>
      <w:r>
        <w:rPr>
          <w:rFonts w:ascii="Arial" w:cs="Arial" w:eastAsia="Arial" w:hAnsi="Arial"/>
          <w:sz w:val="17"/>
          <w:szCs w:val="17"/>
          <w:color w:val="003551"/>
        </w:rPr>
        <w:t>Pursuant to the Related Party Transactions Policy, certain related party transactions will require shareholder approval under Australian law, while other related party transactions will only require approval by the Audit and Risk Committee. Shareholders or the Audit and Risk Committee, as applicable, will review all material facts of all related party transactions and either approve or disapprove entry into the related party transactions, subject to certain limited exceptions. In determining whether to approve or disapprove entry into a related party transaction, the Audit and Risk Committee will take into account, among other factors, the following: (i) whether the related party transaction is on terms no less favorable than terms generally available to an unrelated third-party under the same or similar circumstances and (ii) the extent of the related person’s interest in the transaction. Furthermore, the policy requires that all related party transactions required to be disclosed in our filings with the SEC be so disclosed in accordance with applicable laws,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122555</wp:posOffset>
            </wp:positionV>
            <wp:extent cx="540385" cy="6318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6" w:right="12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940"/>
        <w:spacing w:after="0"/>
        <w:rPr>
          <w:sz w:val="20"/>
          <w:szCs w:val="20"/>
          <w:color w:val="auto"/>
        </w:rPr>
      </w:pPr>
      <w:r>
        <w:rPr>
          <w:rFonts w:ascii="Arial" w:cs="Arial" w:eastAsia="Arial" w:hAnsi="Arial"/>
          <w:sz w:val="35"/>
          <w:szCs w:val="35"/>
          <w:color w:val="77C483"/>
        </w:rPr>
        <w:t>Executive Compensation</w:t>
      </w:r>
    </w:p>
    <w:p>
      <w:pPr>
        <w:spacing w:after="0" w:line="256" w:lineRule="exact"/>
        <w:rPr>
          <w:sz w:val="20"/>
          <w:szCs w:val="20"/>
          <w:color w:val="auto"/>
        </w:rPr>
      </w:pPr>
    </w:p>
    <w:p>
      <w:pPr>
        <w:ind w:left="940"/>
        <w:spacing w:after="0"/>
        <w:rPr>
          <w:sz w:val="20"/>
          <w:szCs w:val="20"/>
          <w:color w:val="auto"/>
        </w:rPr>
      </w:pPr>
      <w:r>
        <w:rPr>
          <w:rFonts w:ascii="Arial" w:cs="Arial" w:eastAsia="Arial" w:hAnsi="Arial"/>
          <w:sz w:val="28"/>
          <w:szCs w:val="28"/>
          <w:color w:val="003551"/>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15240</wp:posOffset>
            </wp:positionV>
            <wp:extent cx="52235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223510" cy="8255"/>
                    </a:xfrm>
                    <a:prstGeom prst="rect">
                      <a:avLst/>
                    </a:prstGeom>
                    <a:noFill/>
                  </pic:spPr>
                </pic:pic>
              </a:graphicData>
            </a:graphic>
          </wp:anchor>
        </w:drawing>
      </w:r>
    </w:p>
    <w:p>
      <w:pPr>
        <w:spacing w:after="0" w:line="90" w:lineRule="exact"/>
        <w:rPr>
          <w:sz w:val="20"/>
          <w:szCs w:val="20"/>
          <w:color w:val="auto"/>
        </w:rPr>
      </w:pPr>
    </w:p>
    <w:p>
      <w:pPr>
        <w:ind w:left="940" w:right="960"/>
        <w:spacing w:after="0" w:line="268" w:lineRule="auto"/>
        <w:rPr>
          <w:sz w:val="20"/>
          <w:szCs w:val="20"/>
          <w:color w:val="auto"/>
        </w:rPr>
      </w:pPr>
      <w:r>
        <w:rPr>
          <w:rFonts w:ascii="Arial" w:cs="Arial" w:eastAsia="Arial" w:hAnsi="Arial"/>
          <w:sz w:val="17"/>
          <w:szCs w:val="17"/>
          <w:color w:val="003551"/>
        </w:rPr>
        <w:t>This Compensation Discussion and Analysis (“</w:t>
      </w:r>
      <w:r>
        <w:rPr>
          <w:rFonts w:ascii="Arial" w:cs="Arial" w:eastAsia="Arial" w:hAnsi="Arial"/>
          <w:sz w:val="17"/>
          <w:szCs w:val="17"/>
          <w:b w:val="1"/>
          <w:bCs w:val="1"/>
          <w:color w:val="003551"/>
        </w:rPr>
        <w:t>CD&amp;A</w:t>
      </w:r>
      <w:r>
        <w:rPr>
          <w:rFonts w:ascii="Arial" w:cs="Arial" w:eastAsia="Arial" w:hAnsi="Arial"/>
          <w:sz w:val="17"/>
          <w:szCs w:val="17"/>
          <w:color w:val="003551"/>
        </w:rPr>
        <w:t>”) describes our compensation approach and programs for our named executive officers (“</w:t>
      </w:r>
      <w:r>
        <w:rPr>
          <w:rFonts w:ascii="Arial" w:cs="Arial" w:eastAsia="Arial" w:hAnsi="Arial"/>
          <w:sz w:val="17"/>
          <w:szCs w:val="17"/>
          <w:b w:val="1"/>
          <w:bCs w:val="1"/>
          <w:color w:val="003551"/>
        </w:rPr>
        <w:t>NEOs</w:t>
      </w:r>
      <w:r>
        <w:rPr>
          <w:rFonts w:ascii="Arial" w:cs="Arial" w:eastAsia="Arial" w:hAnsi="Arial"/>
          <w:sz w:val="17"/>
          <w:szCs w:val="17"/>
          <w:color w:val="003551"/>
        </w:rPr>
        <w:t>”). Our NEOs for the fiscal year ended June 30, 2025 (“</w:t>
      </w:r>
      <w:r>
        <w:rPr>
          <w:rFonts w:ascii="Arial" w:cs="Arial" w:eastAsia="Arial" w:hAnsi="Arial"/>
          <w:sz w:val="17"/>
          <w:szCs w:val="17"/>
          <w:b w:val="1"/>
          <w:bCs w:val="1"/>
          <w:color w:val="003551"/>
        </w:rPr>
        <w:t>Fiscal 2025</w:t>
      </w:r>
      <w:r>
        <w:rPr>
          <w:rFonts w:ascii="Arial" w:cs="Arial" w:eastAsia="Arial" w:hAnsi="Arial"/>
          <w:sz w:val="17"/>
          <w:szCs w:val="17"/>
          <w:color w:val="003551"/>
        </w:rPr>
        <w:t>”) are:</w:t>
      </w:r>
    </w:p>
    <w:p>
      <w:pPr>
        <w:spacing w:after="0" w:line="84" w:lineRule="exact"/>
        <w:rPr>
          <w:sz w:val="20"/>
          <w:szCs w:val="20"/>
          <w:color w:val="auto"/>
        </w:rPr>
      </w:pPr>
    </w:p>
    <w:tbl>
      <w:tblPr>
        <w:tblLayout w:type="fixed"/>
        <w:tblInd w:w="940" w:type="dxa"/>
        <w:tblCellMar>
          <w:top w:w="0" w:type="dxa"/>
          <w:left w:w="0" w:type="dxa"/>
          <w:bottom w:w="0" w:type="dxa"/>
          <w:right w:w="0" w:type="dxa"/>
        </w:tblCellMar>
      </w:tblPr>
      <w:tr>
        <w:trPr>
          <w:trHeight w:val="378"/>
        </w:trPr>
        <w:tc>
          <w:tcPr>
            <w:tcW w:w="2480" w:type="dxa"/>
            <w:vAlign w:val="bottom"/>
            <w:shd w:val="clear" w:color="auto" w:fill="77C483"/>
          </w:tcPr>
          <w:p>
            <w:pPr>
              <w:ind w:left="160"/>
              <w:spacing w:after="0"/>
              <w:rPr>
                <w:sz w:val="20"/>
                <w:szCs w:val="20"/>
                <w:color w:val="auto"/>
              </w:rPr>
            </w:pPr>
            <w:r>
              <w:rPr>
                <w:rFonts w:ascii="Arial" w:cs="Arial" w:eastAsia="Arial" w:hAnsi="Arial"/>
                <w:sz w:val="17"/>
                <w:szCs w:val="17"/>
                <w:b w:val="1"/>
                <w:bCs w:val="1"/>
                <w:color w:val="003551"/>
              </w:rPr>
              <w:t>NEO</w:t>
            </w:r>
          </w:p>
        </w:tc>
        <w:tc>
          <w:tcPr>
            <w:tcW w:w="5760" w:type="dxa"/>
            <w:vAlign w:val="bottom"/>
            <w:shd w:val="clear" w:color="auto" w:fill="77C483"/>
          </w:tcPr>
          <w:p>
            <w:pPr>
              <w:ind w:left="1040"/>
              <w:spacing w:after="0"/>
              <w:rPr>
                <w:sz w:val="20"/>
                <w:szCs w:val="20"/>
                <w:color w:val="auto"/>
              </w:rPr>
            </w:pPr>
            <w:r>
              <w:rPr>
                <w:rFonts w:ascii="Arial" w:cs="Arial" w:eastAsia="Arial" w:hAnsi="Arial"/>
                <w:sz w:val="17"/>
                <w:szCs w:val="17"/>
                <w:b w:val="1"/>
                <w:bCs w:val="1"/>
                <w:color w:val="003551"/>
              </w:rPr>
              <w:t>Title</w:t>
            </w:r>
          </w:p>
        </w:tc>
      </w:tr>
      <w:tr>
        <w:trPr>
          <w:trHeight w:val="93"/>
        </w:trPr>
        <w:tc>
          <w:tcPr>
            <w:tcW w:w="2480" w:type="dxa"/>
            <w:vAlign w:val="bottom"/>
            <w:tcBorders>
              <w:bottom w:val="single" w:sz="8" w:color="003551"/>
            </w:tcBorders>
            <w:shd w:val="clear" w:color="auto" w:fill="77C483"/>
          </w:tcPr>
          <w:p>
            <w:pPr>
              <w:spacing w:after="0"/>
              <w:rPr>
                <w:sz w:val="8"/>
                <w:szCs w:val="8"/>
                <w:color w:val="auto"/>
              </w:rPr>
            </w:pPr>
          </w:p>
        </w:tc>
        <w:tc>
          <w:tcPr>
            <w:tcW w:w="5760" w:type="dxa"/>
            <w:vAlign w:val="bottom"/>
            <w:tcBorders>
              <w:bottom w:val="single" w:sz="8" w:color="003551"/>
            </w:tcBorders>
            <w:shd w:val="clear" w:color="auto" w:fill="77C483"/>
          </w:tcPr>
          <w:p>
            <w:pPr>
              <w:spacing w:after="0"/>
              <w:rPr>
                <w:sz w:val="8"/>
                <w:szCs w:val="8"/>
                <w:color w:val="auto"/>
              </w:rPr>
            </w:pPr>
          </w:p>
        </w:tc>
      </w:tr>
      <w:tr>
        <w:trPr>
          <w:trHeight w:val="324"/>
        </w:trPr>
        <w:tc>
          <w:tcPr>
            <w:tcW w:w="2480" w:type="dxa"/>
            <w:vAlign w:val="bottom"/>
          </w:tcPr>
          <w:p>
            <w:pPr>
              <w:ind w:left="160"/>
              <w:spacing w:after="0"/>
              <w:rPr>
                <w:sz w:val="20"/>
                <w:szCs w:val="20"/>
                <w:color w:val="auto"/>
              </w:rPr>
            </w:pPr>
            <w:r>
              <w:rPr>
                <w:rFonts w:ascii="Arial" w:cs="Arial" w:eastAsia="Arial" w:hAnsi="Arial"/>
                <w:sz w:val="17"/>
                <w:szCs w:val="17"/>
                <w:color w:val="003551"/>
              </w:rPr>
              <w:t>William Roberts</w:t>
            </w:r>
          </w:p>
        </w:tc>
        <w:tc>
          <w:tcPr>
            <w:tcW w:w="5760" w:type="dxa"/>
            <w:vAlign w:val="bottom"/>
          </w:tcPr>
          <w:p>
            <w:pPr>
              <w:ind w:left="1040"/>
              <w:spacing w:after="0"/>
              <w:rPr>
                <w:sz w:val="20"/>
                <w:szCs w:val="20"/>
                <w:color w:val="auto"/>
              </w:rPr>
            </w:pPr>
            <w:r>
              <w:rPr>
                <w:rFonts w:ascii="Arial" w:cs="Arial" w:eastAsia="Arial" w:hAnsi="Arial"/>
                <w:sz w:val="17"/>
                <w:szCs w:val="17"/>
                <w:color w:val="003551"/>
              </w:rPr>
              <w:t>Co-Chief Executive Officer</w:t>
            </w:r>
          </w:p>
        </w:tc>
      </w:tr>
      <w:tr>
        <w:trPr>
          <w:trHeight w:val="432"/>
        </w:trPr>
        <w:tc>
          <w:tcPr>
            <w:tcW w:w="2480" w:type="dxa"/>
            <w:vAlign w:val="bottom"/>
          </w:tcPr>
          <w:p>
            <w:pPr>
              <w:ind w:left="160"/>
              <w:spacing w:after="0"/>
              <w:rPr>
                <w:sz w:val="20"/>
                <w:szCs w:val="20"/>
                <w:color w:val="auto"/>
              </w:rPr>
            </w:pPr>
            <w:r>
              <w:rPr>
                <w:rFonts w:ascii="Arial" w:cs="Arial" w:eastAsia="Arial" w:hAnsi="Arial"/>
                <w:sz w:val="17"/>
                <w:szCs w:val="17"/>
                <w:color w:val="003551"/>
              </w:rPr>
              <w:t>Daniel Roberts</w:t>
            </w:r>
          </w:p>
        </w:tc>
        <w:tc>
          <w:tcPr>
            <w:tcW w:w="5760" w:type="dxa"/>
            <w:vAlign w:val="bottom"/>
          </w:tcPr>
          <w:p>
            <w:pPr>
              <w:ind w:left="1040"/>
              <w:spacing w:after="0"/>
              <w:rPr>
                <w:sz w:val="20"/>
                <w:szCs w:val="20"/>
                <w:color w:val="auto"/>
              </w:rPr>
            </w:pPr>
            <w:r>
              <w:rPr>
                <w:rFonts w:ascii="Arial" w:cs="Arial" w:eastAsia="Arial" w:hAnsi="Arial"/>
                <w:sz w:val="17"/>
                <w:szCs w:val="17"/>
                <w:color w:val="003551"/>
              </w:rPr>
              <w:t>Co-Chief Executive Officer</w:t>
            </w:r>
          </w:p>
        </w:tc>
      </w:tr>
      <w:tr>
        <w:trPr>
          <w:trHeight w:val="594"/>
        </w:trPr>
        <w:tc>
          <w:tcPr>
            <w:tcW w:w="2480" w:type="dxa"/>
            <w:vAlign w:val="bottom"/>
          </w:tcPr>
          <w:p>
            <w:pPr>
              <w:ind w:left="160"/>
              <w:spacing w:after="0"/>
              <w:rPr>
                <w:sz w:val="20"/>
                <w:szCs w:val="20"/>
                <w:color w:val="auto"/>
              </w:rPr>
            </w:pPr>
            <w:r>
              <w:rPr>
                <w:rFonts w:ascii="Arial" w:cs="Arial" w:eastAsia="Arial" w:hAnsi="Arial"/>
                <w:sz w:val="17"/>
                <w:szCs w:val="17"/>
                <w:color w:val="003551"/>
              </w:rPr>
              <w:t>Belinda Nucifora</w:t>
            </w:r>
          </w:p>
        </w:tc>
        <w:tc>
          <w:tcPr>
            <w:tcW w:w="5760" w:type="dxa"/>
            <w:vAlign w:val="bottom"/>
          </w:tcPr>
          <w:p>
            <w:pPr>
              <w:ind w:left="1040"/>
              <w:spacing w:after="0"/>
              <w:rPr>
                <w:sz w:val="20"/>
                <w:szCs w:val="20"/>
                <w:color w:val="auto"/>
              </w:rPr>
            </w:pPr>
            <w:r>
              <w:rPr>
                <w:rFonts w:ascii="Arial" w:cs="Arial" w:eastAsia="Arial" w:hAnsi="Arial"/>
                <w:sz w:val="17"/>
                <w:szCs w:val="17"/>
                <w:color w:val="003551"/>
              </w:rPr>
              <w:t>Former Chief Financial Officer</w:t>
            </w:r>
            <w:r>
              <w:rPr>
                <w:rFonts w:ascii="Arial" w:cs="Arial" w:eastAsia="Arial" w:hAnsi="Arial"/>
                <w:sz w:val="29"/>
                <w:szCs w:val="29"/>
                <w:color w:val="003551"/>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-586740</wp:posOffset>
            </wp:positionV>
            <wp:extent cx="52235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223510"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-311785</wp:posOffset>
            </wp:positionV>
            <wp:extent cx="522351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23510" cy="8255"/>
                    </a:xfrm>
                    <a:prstGeom prst="rect">
                      <a:avLst/>
                    </a:prstGeom>
                    <a:noFill/>
                  </pic:spPr>
                </pic:pic>
              </a:graphicData>
            </a:graphic>
          </wp:anchor>
        </w:drawing>
      </w:r>
    </w:p>
    <w:p>
      <w:pPr>
        <w:spacing w:after="0" w:line="35" w:lineRule="exact"/>
        <w:rPr>
          <w:sz w:val="20"/>
          <w:szCs w:val="20"/>
          <w:color w:val="auto"/>
        </w:rPr>
      </w:pPr>
    </w:p>
    <w:p>
      <w:pPr>
        <w:ind w:left="1280" w:hanging="337"/>
        <w:spacing w:after="0"/>
        <w:tabs>
          <w:tab w:leader="none" w:pos="1280" w:val="left"/>
        </w:tabs>
        <w:numPr>
          <w:ilvl w:val="0"/>
          <w:numId w:val="10"/>
        </w:numPr>
        <w:rPr>
          <w:rFonts w:ascii="Arial" w:cs="Arial" w:eastAsia="Arial" w:hAnsi="Arial"/>
          <w:sz w:val="12"/>
          <w:szCs w:val="12"/>
          <w:i w:val="1"/>
          <w:iCs w:val="1"/>
          <w:color w:val="003551"/>
        </w:rPr>
      </w:pPr>
      <w:r>
        <w:rPr>
          <w:rFonts w:ascii="Arial" w:cs="Arial" w:eastAsia="Arial" w:hAnsi="Arial"/>
          <w:sz w:val="12"/>
          <w:szCs w:val="12"/>
          <w:i w:val="1"/>
          <w:iCs w:val="1"/>
          <w:color w:val="003551"/>
        </w:rPr>
        <w:t>Effective September 8, 2025, Ms. Nucifora ceased employment with IREN and Anthony Lewis was appointed as Chief Financial Officer of IREN.</w:t>
      </w:r>
    </w:p>
    <w:p>
      <w:pPr>
        <w:spacing w:after="0" w:line="20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Our Executive Compensation Guiding Principles</w:t>
      </w:r>
    </w:p>
    <w:p>
      <w:pPr>
        <w:spacing w:after="0" w:line="41" w:lineRule="exact"/>
        <w:rPr>
          <w:sz w:val="20"/>
          <w:szCs w:val="20"/>
          <w:color w:val="auto"/>
        </w:rPr>
      </w:pPr>
    </w:p>
    <w:p>
      <w:pPr>
        <w:ind w:left="940" w:right="740"/>
        <w:spacing w:after="0" w:line="263" w:lineRule="auto"/>
        <w:rPr>
          <w:sz w:val="20"/>
          <w:szCs w:val="20"/>
          <w:color w:val="auto"/>
        </w:rPr>
      </w:pPr>
      <w:r>
        <w:rPr>
          <w:rFonts w:ascii="Arial" w:cs="Arial" w:eastAsia="Arial" w:hAnsi="Arial"/>
          <w:sz w:val="17"/>
          <w:szCs w:val="17"/>
          <w:color w:val="003551"/>
        </w:rPr>
        <w:t>We design our executive compensation program to attract, retain and motivate high-caliber executives, and to drive the creation of long-term shareholder value. Our program is guided by the following principles:</w:t>
      </w:r>
    </w:p>
    <w:p>
      <w:pPr>
        <w:spacing w:after="0" w:line="91" w:lineRule="exact"/>
        <w:rPr>
          <w:sz w:val="20"/>
          <w:szCs w:val="20"/>
          <w:color w:val="auto"/>
        </w:rPr>
      </w:pPr>
    </w:p>
    <w:p>
      <w:pPr>
        <w:ind w:left="1280" w:right="740" w:hanging="337"/>
        <w:spacing w:after="0" w:line="252" w:lineRule="auto"/>
        <w:tabs>
          <w:tab w:leader="none" w:pos="1280" w:val="left"/>
        </w:tabs>
        <w:numPr>
          <w:ilvl w:val="0"/>
          <w:numId w:val="11"/>
        </w:numPr>
        <w:rPr>
          <w:rFonts w:ascii="Arial" w:cs="Arial" w:eastAsia="Arial" w:hAnsi="Arial"/>
          <w:sz w:val="17"/>
          <w:szCs w:val="17"/>
          <w:color w:val="003551"/>
        </w:rPr>
      </w:pPr>
      <w:r>
        <w:rPr>
          <w:rFonts w:ascii="Arial" w:cs="Arial" w:eastAsia="Arial" w:hAnsi="Arial"/>
          <w:sz w:val="17"/>
          <w:szCs w:val="17"/>
          <w:b w:val="1"/>
          <w:bCs w:val="1"/>
          <w:color w:val="003551"/>
        </w:rPr>
        <w:t>Pay for Performance</w:t>
      </w:r>
      <w:r>
        <w:rPr>
          <w:rFonts w:ascii="Arial" w:cs="Arial" w:eastAsia="Arial" w:hAnsi="Arial"/>
          <w:sz w:val="17"/>
          <w:szCs w:val="17"/>
          <w:color w:val="003551"/>
        </w:rPr>
        <w:t>: Pay is highly variable, with 93% of target annual pay of our Co-Chief Executive</w:t>
      </w:r>
      <w:r>
        <w:rPr>
          <w:rFonts w:ascii="Arial" w:cs="Arial" w:eastAsia="Arial" w:hAnsi="Arial"/>
          <w:sz w:val="17"/>
          <w:szCs w:val="17"/>
          <w:b w:val="1"/>
          <w:bCs w:val="1"/>
          <w:color w:val="003551"/>
        </w:rPr>
        <w:t xml:space="preserve"> </w:t>
      </w:r>
      <w:r>
        <w:rPr>
          <w:rFonts w:ascii="Arial" w:cs="Arial" w:eastAsia="Arial" w:hAnsi="Arial"/>
          <w:sz w:val="17"/>
          <w:szCs w:val="17"/>
          <w:color w:val="003551"/>
        </w:rPr>
        <w:t>Officers and 66% of Ms. Nucifora’s target annual pay being variable, or at risk, for Fiscal 2025. At-risk compensation (a) includes short-term annual cash bonuses and both time-based and performance-based equity awards and (b) excludes any one-time equity awards or modifications. Our equity awards are dependent on our share price performance with our performance-based restricted stock units (“</w:t>
      </w:r>
      <w:r>
        <w:rPr>
          <w:rFonts w:ascii="Arial" w:cs="Arial" w:eastAsia="Arial" w:hAnsi="Arial"/>
          <w:sz w:val="17"/>
          <w:szCs w:val="17"/>
          <w:b w:val="1"/>
          <w:bCs w:val="1"/>
          <w:color w:val="003551"/>
        </w:rPr>
        <w:t>PRSUs</w:t>
      </w:r>
      <w:r>
        <w:rPr>
          <w:rFonts w:ascii="Arial" w:cs="Arial" w:eastAsia="Arial" w:hAnsi="Arial"/>
          <w:sz w:val="17"/>
          <w:szCs w:val="17"/>
          <w:color w:val="003551"/>
        </w:rPr>
        <w:t>”) also requiring rigorous share price growth achievement to be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144780</wp:posOffset>
            </wp:positionV>
            <wp:extent cx="4915535" cy="15055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915535" cy="1505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 </w:t>
      </w:r>
    </w:p>
    <w:p>
      <w:pPr>
        <w:spacing w:after="0" w:line="143" w:lineRule="exact"/>
        <w:rPr>
          <w:sz w:val="20"/>
          <w:szCs w:val="20"/>
          <w:color w:val="auto"/>
        </w:rPr>
      </w:pPr>
    </w:p>
    <w:p>
      <w:pPr>
        <w:ind w:left="1280" w:right="780" w:hanging="337"/>
        <w:spacing w:after="0" w:line="256" w:lineRule="auto"/>
        <w:tabs>
          <w:tab w:leader="none" w:pos="1280" w:val="left"/>
        </w:tabs>
        <w:numPr>
          <w:ilvl w:val="0"/>
          <w:numId w:val="12"/>
        </w:numPr>
        <w:rPr>
          <w:rFonts w:ascii="Arial" w:cs="Arial" w:eastAsia="Arial" w:hAnsi="Arial"/>
          <w:sz w:val="17"/>
          <w:szCs w:val="17"/>
          <w:color w:val="003551"/>
        </w:rPr>
      </w:pPr>
      <w:r>
        <w:rPr>
          <w:rFonts w:ascii="Arial" w:cs="Arial" w:eastAsia="Arial" w:hAnsi="Arial"/>
          <w:sz w:val="17"/>
          <w:szCs w:val="17"/>
          <w:b w:val="1"/>
          <w:bCs w:val="1"/>
          <w:color w:val="003551"/>
        </w:rPr>
        <w:t>Competitive Compensation Opportunity</w:t>
      </w:r>
      <w:r>
        <w:rPr>
          <w:rFonts w:ascii="Arial" w:cs="Arial" w:eastAsia="Arial" w:hAnsi="Arial"/>
          <w:sz w:val="17"/>
          <w:szCs w:val="17"/>
          <w:color w:val="003551"/>
        </w:rPr>
        <w:t>: Given the unique skillset required to run our company, we</w:t>
      </w:r>
      <w:r>
        <w:rPr>
          <w:rFonts w:ascii="Arial" w:cs="Arial" w:eastAsia="Arial" w:hAnsi="Arial"/>
          <w:sz w:val="17"/>
          <w:szCs w:val="17"/>
          <w:b w:val="1"/>
          <w:bCs w:val="1"/>
          <w:color w:val="003551"/>
        </w:rPr>
        <w:t xml:space="preserve"> </w:t>
      </w:r>
      <w:r>
        <w:rPr>
          <w:rFonts w:ascii="Arial" w:cs="Arial" w:eastAsia="Arial" w:hAnsi="Arial"/>
          <w:sz w:val="17"/>
          <w:szCs w:val="17"/>
          <w:color w:val="003551"/>
        </w:rPr>
        <w:t>measure compensation competitiveness against a group of peers to inform compensation quantum and plan design. We also weigh internal considerations like performance, experience and time in role when making compensation decisions.</w:t>
      </w:r>
    </w:p>
    <w:p>
      <w:pPr>
        <w:spacing w:after="0" w:line="82" w:lineRule="exact"/>
        <w:rPr>
          <w:rFonts w:ascii="Arial" w:cs="Arial" w:eastAsia="Arial" w:hAnsi="Arial"/>
          <w:sz w:val="17"/>
          <w:szCs w:val="17"/>
          <w:color w:val="003551"/>
        </w:rPr>
      </w:pPr>
    </w:p>
    <w:p>
      <w:pPr>
        <w:ind w:left="1280" w:right="820" w:hanging="337"/>
        <w:spacing w:after="0" w:line="252" w:lineRule="auto"/>
        <w:tabs>
          <w:tab w:leader="none" w:pos="1280" w:val="left"/>
        </w:tabs>
        <w:numPr>
          <w:ilvl w:val="0"/>
          <w:numId w:val="12"/>
        </w:numPr>
        <w:rPr>
          <w:rFonts w:ascii="Arial" w:cs="Arial" w:eastAsia="Arial" w:hAnsi="Arial"/>
          <w:sz w:val="17"/>
          <w:szCs w:val="17"/>
          <w:color w:val="003551"/>
        </w:rPr>
      </w:pPr>
      <w:r>
        <w:rPr>
          <w:rFonts w:ascii="Arial" w:cs="Arial" w:eastAsia="Arial" w:hAnsi="Arial"/>
          <w:sz w:val="17"/>
          <w:szCs w:val="17"/>
          <w:b w:val="1"/>
          <w:bCs w:val="1"/>
          <w:color w:val="003551"/>
        </w:rPr>
        <w:t>Long-Term Incentive Compensation Mix</w:t>
      </w:r>
      <w:r>
        <w:rPr>
          <w:rFonts w:ascii="Arial" w:cs="Arial" w:eastAsia="Arial" w:hAnsi="Arial"/>
          <w:sz w:val="17"/>
          <w:szCs w:val="17"/>
          <w:color w:val="003551"/>
        </w:rPr>
        <w:t>: In Fiscal 2025, for our Co-Chief Executive Officers, the</w:t>
      </w:r>
      <w:r>
        <w:rPr>
          <w:rFonts w:ascii="Arial" w:cs="Arial" w:eastAsia="Arial" w:hAnsi="Arial"/>
          <w:sz w:val="17"/>
          <w:szCs w:val="17"/>
          <w:b w:val="1"/>
          <w:bCs w:val="1"/>
          <w:color w:val="003551"/>
        </w:rPr>
        <w:t xml:space="preserve"> </w:t>
      </w:r>
      <w:r>
        <w:rPr>
          <w:rFonts w:ascii="Arial" w:cs="Arial" w:eastAsia="Arial" w:hAnsi="Arial"/>
          <w:sz w:val="17"/>
          <w:szCs w:val="17"/>
          <w:color w:val="003551"/>
        </w:rPr>
        <w:t>compensation mix under our annual long-term equity incentive program was 67% PRSUs and 33% time-based restricted stock units (“TRSUs”). This mix is reflective of our annual grants and excludes any one-time awards or modifications. For our other executives, including Ms. Nucifora, we use a mix of 67% TRSUs and 33% PRSUs.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117475</wp:posOffset>
            </wp:positionV>
            <wp:extent cx="540385" cy="6318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Our Business</w:t>
      </w:r>
    </w:p>
    <w:p>
      <w:pPr>
        <w:spacing w:after="0" w:line="41" w:lineRule="exact"/>
        <w:rPr>
          <w:sz w:val="20"/>
          <w:szCs w:val="20"/>
          <w:color w:val="auto"/>
        </w:rPr>
      </w:pPr>
    </w:p>
    <w:p>
      <w:pPr>
        <w:ind w:left="940" w:right="960"/>
        <w:spacing w:after="0" w:line="246" w:lineRule="auto"/>
        <w:rPr>
          <w:sz w:val="20"/>
          <w:szCs w:val="20"/>
          <w:color w:val="auto"/>
        </w:rPr>
      </w:pPr>
      <w:r>
        <w:rPr>
          <w:rFonts w:ascii="Arial" w:cs="Arial" w:eastAsia="Arial" w:hAnsi="Arial"/>
          <w:sz w:val="17"/>
          <w:szCs w:val="17"/>
          <w:color w:val="003551"/>
        </w:rPr>
        <w:t>IREN is a leading developer, owner, and operator of next-generation data centers powering the future of Bitcoin, AI and beyond utilizing 100% renewable energy including through the purchase of RECs. Strategically located in renewable-rich, fiber-connected regions across the U.S. and Canada, IREN’s large-scale, grid-connected facilities are purpose-built for the next generation of high-performance computing applications.</w:t>
      </w:r>
    </w:p>
    <w:p>
      <w:pPr>
        <w:spacing w:after="0" w:line="109" w:lineRule="exact"/>
        <w:rPr>
          <w:sz w:val="20"/>
          <w:szCs w:val="20"/>
          <w:color w:val="auto"/>
        </w:rPr>
      </w:pPr>
    </w:p>
    <w:p>
      <w:pPr>
        <w:ind w:left="1280" w:right="1200" w:hanging="337"/>
        <w:spacing w:after="0" w:line="283" w:lineRule="auto"/>
        <w:tabs>
          <w:tab w:leader="none" w:pos="1280" w:val="left"/>
        </w:tabs>
        <w:numPr>
          <w:ilvl w:val="0"/>
          <w:numId w:val="13"/>
        </w:numPr>
        <w:rPr>
          <w:rFonts w:ascii="Arial" w:cs="Arial" w:eastAsia="Arial" w:hAnsi="Arial"/>
          <w:sz w:val="17"/>
          <w:szCs w:val="17"/>
          <w:color w:val="003551"/>
        </w:rPr>
      </w:pPr>
      <w:r>
        <w:rPr>
          <w:rFonts w:ascii="Arial" w:cs="Arial" w:eastAsia="Arial" w:hAnsi="Arial"/>
          <w:sz w:val="17"/>
          <w:szCs w:val="17"/>
          <w:color w:val="003551"/>
        </w:rPr>
        <w:t>Power and land portfolio: 2,910MW of grid-connected power secured across &gt;2,000 acres in the U.S. and Canada, with an additional multi-gigawatt development pipeline.</w:t>
      </w:r>
    </w:p>
    <w:p>
      <w:pPr>
        <w:spacing w:after="0" w:line="62" w:lineRule="exact"/>
        <w:rPr>
          <w:rFonts w:ascii="Arial" w:cs="Arial" w:eastAsia="Arial" w:hAnsi="Arial"/>
          <w:sz w:val="17"/>
          <w:szCs w:val="17"/>
          <w:color w:val="003551"/>
        </w:rPr>
      </w:pPr>
    </w:p>
    <w:p>
      <w:pPr>
        <w:ind w:left="1280" w:right="880" w:hanging="337"/>
        <w:spacing w:after="0" w:line="283" w:lineRule="auto"/>
        <w:tabs>
          <w:tab w:leader="none" w:pos="1280" w:val="left"/>
        </w:tabs>
        <w:numPr>
          <w:ilvl w:val="0"/>
          <w:numId w:val="13"/>
        </w:numPr>
        <w:rPr>
          <w:rFonts w:ascii="Arial" w:cs="Arial" w:eastAsia="Arial" w:hAnsi="Arial"/>
          <w:sz w:val="17"/>
          <w:szCs w:val="17"/>
          <w:color w:val="003551"/>
        </w:rPr>
      </w:pPr>
      <w:r>
        <w:rPr>
          <w:rFonts w:ascii="Arial" w:cs="Arial" w:eastAsia="Arial" w:hAnsi="Arial"/>
          <w:sz w:val="17"/>
          <w:szCs w:val="17"/>
          <w:color w:val="003551"/>
        </w:rPr>
        <w:t>Next-generation data centers: 810MW of operating data centers underpinning three verticals: Bitcoin mining, AI Cloud Services and AI data centers (described below).</w:t>
      </w:r>
    </w:p>
    <w:p>
      <w:pPr>
        <w:spacing w:after="0" w:line="76" w:lineRule="exact"/>
        <w:rPr>
          <w:rFonts w:ascii="Arial" w:cs="Arial" w:eastAsia="Arial" w:hAnsi="Arial"/>
          <w:sz w:val="17"/>
          <w:szCs w:val="17"/>
          <w:color w:val="003551"/>
        </w:rPr>
      </w:pPr>
    </w:p>
    <w:p>
      <w:pPr>
        <w:ind w:left="1280" w:right="980" w:hanging="337"/>
        <w:spacing w:after="0" w:line="283" w:lineRule="auto"/>
        <w:tabs>
          <w:tab w:leader="none" w:pos="1280" w:val="left"/>
        </w:tabs>
        <w:numPr>
          <w:ilvl w:val="0"/>
          <w:numId w:val="13"/>
        </w:numPr>
        <w:rPr>
          <w:rFonts w:ascii="Arial" w:cs="Arial" w:eastAsia="Arial" w:hAnsi="Arial"/>
          <w:sz w:val="17"/>
          <w:szCs w:val="17"/>
          <w:color w:val="003551"/>
        </w:rPr>
      </w:pPr>
      <w:r>
        <w:rPr>
          <w:rFonts w:ascii="Arial" w:cs="Arial" w:eastAsia="Arial" w:hAnsi="Arial"/>
          <w:sz w:val="17"/>
          <w:szCs w:val="17"/>
          <w:color w:val="003551"/>
        </w:rPr>
        <w:t>AI data centers: end-to-end design, construction and operation of data center infrastructure tailored for AI workloads.</w:t>
      </w:r>
    </w:p>
    <w:p>
      <w:pPr>
        <w:spacing w:after="0" w:line="76" w:lineRule="exact"/>
        <w:rPr>
          <w:rFonts w:ascii="Arial" w:cs="Arial" w:eastAsia="Arial" w:hAnsi="Arial"/>
          <w:sz w:val="17"/>
          <w:szCs w:val="17"/>
          <w:color w:val="003551"/>
        </w:rPr>
      </w:pPr>
    </w:p>
    <w:p>
      <w:pPr>
        <w:ind w:left="1280" w:right="1340" w:hanging="337"/>
        <w:spacing w:after="0" w:line="293" w:lineRule="auto"/>
        <w:tabs>
          <w:tab w:leader="none" w:pos="1280" w:val="left"/>
        </w:tabs>
        <w:numPr>
          <w:ilvl w:val="0"/>
          <w:numId w:val="13"/>
        </w:numPr>
        <w:rPr>
          <w:rFonts w:ascii="Arial" w:cs="Arial" w:eastAsia="Arial" w:hAnsi="Arial"/>
          <w:sz w:val="17"/>
          <w:szCs w:val="17"/>
          <w:color w:val="003551"/>
        </w:rPr>
      </w:pPr>
      <w:r>
        <w:rPr>
          <w:rFonts w:ascii="Arial" w:cs="Arial" w:eastAsia="Arial" w:hAnsi="Arial"/>
          <w:sz w:val="17"/>
          <w:szCs w:val="17"/>
          <w:color w:val="003551"/>
        </w:rPr>
        <w:t>Bitcoin mining: one of the world’s largest and lowest-cost Bitcoin producers with 50 exahashes per second (“</w:t>
      </w:r>
      <w:r>
        <w:rPr>
          <w:rFonts w:ascii="Arial" w:cs="Arial" w:eastAsia="Arial" w:hAnsi="Arial"/>
          <w:sz w:val="17"/>
          <w:szCs w:val="17"/>
          <w:b w:val="1"/>
          <w:bCs w:val="1"/>
          <w:color w:val="003551"/>
        </w:rPr>
        <w:t>EH/s</w:t>
      </w:r>
      <w:r>
        <w:rPr>
          <w:rFonts w:ascii="Arial" w:cs="Arial" w:eastAsia="Arial" w:hAnsi="Arial"/>
          <w:sz w:val="17"/>
          <w:szCs w:val="17"/>
          <w:color w:val="003551"/>
        </w:rPr>
        <w:t>”) of installed self-mining capacity.</w:t>
      </w:r>
    </w:p>
    <w:p>
      <w:pPr>
        <w:spacing w:after="0" w:line="46" w:lineRule="exact"/>
        <w:rPr>
          <w:rFonts w:ascii="Arial" w:cs="Arial" w:eastAsia="Arial" w:hAnsi="Arial"/>
          <w:sz w:val="17"/>
          <w:szCs w:val="17"/>
          <w:color w:val="003551"/>
        </w:rPr>
      </w:pPr>
    </w:p>
    <w:p>
      <w:pPr>
        <w:ind w:left="1280" w:right="900" w:hanging="337"/>
        <w:spacing w:after="0" w:line="283" w:lineRule="auto"/>
        <w:tabs>
          <w:tab w:leader="none" w:pos="1280" w:val="left"/>
        </w:tabs>
        <w:numPr>
          <w:ilvl w:val="0"/>
          <w:numId w:val="13"/>
        </w:numPr>
        <w:rPr>
          <w:rFonts w:ascii="Arial" w:cs="Arial" w:eastAsia="Arial" w:hAnsi="Arial"/>
          <w:sz w:val="17"/>
          <w:szCs w:val="17"/>
          <w:color w:val="003551"/>
        </w:rPr>
      </w:pPr>
      <w:r>
        <w:rPr>
          <w:rFonts w:ascii="Arial" w:cs="Arial" w:eastAsia="Arial" w:hAnsi="Arial"/>
          <w:sz w:val="17"/>
          <w:szCs w:val="17"/>
          <w:color w:val="003551"/>
        </w:rPr>
        <w:t>AI Cloud Services: delivering high-performance cloud compute to AI customers with next-generation NVIDIA GPUs.</w:t>
      </w:r>
    </w:p>
    <w:p>
      <w:pPr>
        <w:spacing w:after="0" w:line="17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Fiscal 2025 Performance Highlights</w:t>
      </w:r>
    </w:p>
    <w:p>
      <w:pPr>
        <w:spacing w:after="0" w:line="64"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Fiscal 2025 was a record-setting year for IREN, both operationally and financially.</w:t>
      </w:r>
    </w:p>
    <w:p>
      <w:pPr>
        <w:spacing w:after="0" w:line="106" w:lineRule="exact"/>
        <w:rPr>
          <w:sz w:val="20"/>
          <w:szCs w:val="20"/>
          <w:color w:val="auto"/>
        </w:rPr>
      </w:pPr>
    </w:p>
    <w:p>
      <w:pPr>
        <w:ind w:left="940" w:right="920"/>
        <w:spacing w:after="0" w:line="262" w:lineRule="auto"/>
        <w:rPr>
          <w:sz w:val="20"/>
          <w:szCs w:val="20"/>
          <w:color w:val="auto"/>
        </w:rPr>
      </w:pPr>
      <w:r>
        <w:rPr>
          <w:rFonts w:ascii="Arial" w:cs="Arial" w:eastAsia="Arial" w:hAnsi="Arial"/>
          <w:sz w:val="17"/>
          <w:szCs w:val="17"/>
          <w:color w:val="003551"/>
        </w:rPr>
        <w:t>Operationally, IREN delivered strong execution against its strategic priorities, reinforcing its position as a leader in high-performance computing and strengthening its foundation for long-term growth. Key operational achievements include:</w:t>
      </w:r>
    </w:p>
    <w:p>
      <w:pPr>
        <w:spacing w:after="0" w:line="93" w:lineRule="exact"/>
        <w:rPr>
          <w:sz w:val="20"/>
          <w:szCs w:val="20"/>
          <w:color w:val="auto"/>
        </w:rPr>
      </w:pPr>
    </w:p>
    <w:p>
      <w:pPr>
        <w:ind w:left="1280" w:right="1140" w:hanging="337"/>
        <w:spacing w:after="0" w:line="283" w:lineRule="auto"/>
        <w:tabs>
          <w:tab w:leader="none" w:pos="1280" w:val="left"/>
        </w:tabs>
        <w:numPr>
          <w:ilvl w:val="0"/>
          <w:numId w:val="14"/>
        </w:numPr>
        <w:rPr>
          <w:rFonts w:ascii="Arial" w:cs="Arial" w:eastAsia="Arial" w:hAnsi="Arial"/>
          <w:sz w:val="17"/>
          <w:szCs w:val="17"/>
          <w:color w:val="003551"/>
        </w:rPr>
      </w:pPr>
      <w:r>
        <w:rPr>
          <w:rFonts w:ascii="Arial" w:cs="Arial" w:eastAsia="Arial" w:hAnsi="Arial"/>
          <w:sz w:val="17"/>
          <w:szCs w:val="17"/>
          <w:color w:val="003551"/>
        </w:rPr>
        <w:t>Increased contracted, grid-connected power capacity 35% year-over-year to 2,910MW, and grew operational data center capacity 212% year-over-year to 810MW.</w:t>
      </w:r>
    </w:p>
    <w:p>
      <w:pPr>
        <w:spacing w:after="0" w:line="62" w:lineRule="exact"/>
        <w:rPr>
          <w:rFonts w:ascii="Arial" w:cs="Arial" w:eastAsia="Arial" w:hAnsi="Arial"/>
          <w:sz w:val="17"/>
          <w:szCs w:val="17"/>
          <w:color w:val="003551"/>
        </w:rPr>
      </w:pPr>
    </w:p>
    <w:p>
      <w:pPr>
        <w:ind w:left="1280" w:right="840" w:hanging="337"/>
        <w:spacing w:after="0" w:line="283" w:lineRule="auto"/>
        <w:tabs>
          <w:tab w:leader="none" w:pos="1280" w:val="left"/>
        </w:tabs>
        <w:numPr>
          <w:ilvl w:val="0"/>
          <w:numId w:val="14"/>
        </w:numPr>
        <w:rPr>
          <w:rFonts w:ascii="Arial" w:cs="Arial" w:eastAsia="Arial" w:hAnsi="Arial"/>
          <w:sz w:val="17"/>
          <w:szCs w:val="17"/>
          <w:color w:val="003551"/>
        </w:rPr>
      </w:pPr>
      <w:r>
        <w:rPr>
          <w:rFonts w:ascii="Arial" w:cs="Arial" w:eastAsia="Arial" w:hAnsi="Arial"/>
          <w:sz w:val="17"/>
          <w:szCs w:val="17"/>
          <w:color w:val="003551"/>
        </w:rPr>
        <w:t>Achieved its fiscal year-end target of 50 EH/s, a 400% increase year-over-year, establishing IREN as one of the world’s leading low-cost Bitcoin producers.</w:t>
      </w:r>
    </w:p>
    <w:p>
      <w:pPr>
        <w:spacing w:after="0" w:line="76" w:lineRule="exact"/>
        <w:rPr>
          <w:rFonts w:ascii="Arial" w:cs="Arial" w:eastAsia="Arial" w:hAnsi="Arial"/>
          <w:sz w:val="17"/>
          <w:szCs w:val="17"/>
          <w:color w:val="003551"/>
        </w:rPr>
      </w:pPr>
    </w:p>
    <w:p>
      <w:pPr>
        <w:jc w:val="both"/>
        <w:ind w:left="1280" w:right="900" w:hanging="337"/>
        <w:spacing w:after="0" w:line="267" w:lineRule="auto"/>
        <w:tabs>
          <w:tab w:leader="none" w:pos="1280" w:val="left"/>
        </w:tabs>
        <w:numPr>
          <w:ilvl w:val="0"/>
          <w:numId w:val="14"/>
        </w:numPr>
        <w:rPr>
          <w:rFonts w:ascii="Arial" w:cs="Arial" w:eastAsia="Arial" w:hAnsi="Arial"/>
          <w:sz w:val="17"/>
          <w:szCs w:val="17"/>
          <w:color w:val="003551"/>
        </w:rPr>
      </w:pPr>
      <w:r>
        <w:rPr>
          <w:rFonts w:ascii="Arial" w:cs="Arial" w:eastAsia="Arial" w:hAnsi="Arial"/>
          <w:sz w:val="17"/>
          <w:szCs w:val="17"/>
          <w:color w:val="003551"/>
        </w:rPr>
        <w:t>Scaled AI Cloud Services capacity 132% year-over-year to approximately 1,900 NVIDIA GPUs, and prepared IREN for further potential expansion to over 10,000 NVIDIA GPUs in the fiscal year ending June 30, 2026 (“</w:t>
      </w:r>
      <w:r>
        <w:rPr>
          <w:rFonts w:ascii="Arial" w:cs="Arial" w:eastAsia="Arial" w:hAnsi="Arial"/>
          <w:sz w:val="17"/>
          <w:szCs w:val="17"/>
          <w:b w:val="1"/>
          <w:bCs w:val="1"/>
          <w:color w:val="003551"/>
        </w:rPr>
        <w:t>Fiscal 2026</w:t>
      </w:r>
      <w:r>
        <w:rPr>
          <w:rFonts w:ascii="Arial" w:cs="Arial" w:eastAsia="Arial" w:hAnsi="Arial"/>
          <w:sz w:val="17"/>
          <w:szCs w:val="17"/>
          <w:color w:val="003551"/>
        </w:rPr>
        <w:t>”), supported by GPU financing.</w:t>
      </w:r>
    </w:p>
    <w:p>
      <w:pPr>
        <w:spacing w:after="0" w:line="42" w:lineRule="exact"/>
        <w:rPr>
          <w:sz w:val="20"/>
          <w:szCs w:val="20"/>
          <w:color w:val="auto"/>
        </w:rPr>
      </w:pPr>
    </w:p>
    <w:p>
      <w:pPr>
        <w:jc w:val="both"/>
        <w:ind w:left="940" w:right="900"/>
        <w:spacing w:after="0" w:line="262" w:lineRule="auto"/>
        <w:rPr>
          <w:sz w:val="20"/>
          <w:szCs w:val="20"/>
          <w:color w:val="auto"/>
        </w:rPr>
      </w:pPr>
      <w:r>
        <w:rPr>
          <w:rFonts w:ascii="Arial" w:cs="Arial" w:eastAsia="Arial" w:hAnsi="Arial"/>
          <w:sz w:val="17"/>
          <w:szCs w:val="17"/>
          <w:color w:val="003551"/>
        </w:rPr>
        <w:t>These achievements reflect the strength of IREN’s in-house technology, development, procurement, and construction teams, and demonstrate IREN’s ability to deliver large-scale infrastructure at speed across multiple markets.</w:t>
      </w:r>
    </w:p>
    <w:p>
      <w:pPr>
        <w:spacing w:after="0" w:line="54" w:lineRule="exact"/>
        <w:rPr>
          <w:sz w:val="20"/>
          <w:szCs w:val="20"/>
          <w:color w:val="auto"/>
        </w:rPr>
      </w:pPr>
    </w:p>
    <w:p>
      <w:pPr>
        <w:ind w:left="940" w:right="840"/>
        <w:spacing w:after="0" w:line="248" w:lineRule="auto"/>
        <w:rPr>
          <w:sz w:val="20"/>
          <w:szCs w:val="20"/>
          <w:color w:val="auto"/>
        </w:rPr>
      </w:pPr>
      <w:r>
        <w:rPr>
          <w:rFonts w:ascii="Arial" w:cs="Arial" w:eastAsia="Arial" w:hAnsi="Arial"/>
          <w:sz w:val="17"/>
          <w:szCs w:val="17"/>
          <w:color w:val="003551"/>
        </w:rPr>
        <w:t>Looking ahead, IREN is advancing several major projects that underpin the next phase of growth. This includes GPU fleet expansion at Prince George, where construction is underway for a liquid-cooled data center to support more than 4,500 NVIDIA GB300s. Across IREN’s sites in British Columbia, 160MW provides the potential to support more than 60,000 Blackwell GPUs. In addition, Horizon 1 and Horizon 2 at Childress, along with IREN’s flagship 2GW Sweetwater Hub, represent some of the largest data center developments in the sector. These developments provide flexible pathways to monetize demand across the AI infrastructure stack, spanning powered shells, turnkey colocation and cloud services.</w:t>
      </w:r>
    </w:p>
    <w:p>
      <w:pPr>
        <w:spacing w:after="0" w:line="66" w:lineRule="exact"/>
        <w:rPr>
          <w:sz w:val="20"/>
          <w:szCs w:val="20"/>
          <w:color w:val="auto"/>
        </w:rPr>
      </w:pPr>
    </w:p>
    <w:p>
      <w:pPr>
        <w:ind w:left="940" w:right="1120"/>
        <w:spacing w:after="0" w:line="262" w:lineRule="auto"/>
        <w:rPr>
          <w:sz w:val="20"/>
          <w:szCs w:val="20"/>
          <w:color w:val="auto"/>
        </w:rPr>
      </w:pPr>
      <w:r>
        <w:rPr>
          <w:rFonts w:ascii="Arial" w:cs="Arial" w:eastAsia="Arial" w:hAnsi="Arial"/>
          <w:sz w:val="17"/>
          <w:szCs w:val="17"/>
          <w:color w:val="003551"/>
        </w:rPr>
        <w:t>Taken together, the expanded power pipeline, rapid AI capacity build-out, and disciplined financing strategy establish a clear path toward sustainable, diversified growth and long-term shareholder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111760</wp:posOffset>
            </wp:positionV>
            <wp:extent cx="540385" cy="6318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228600</wp:posOffset>
            </wp:positionV>
            <wp:extent cx="6786880"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40" w:right="1020"/>
        <w:spacing w:after="0" w:line="283" w:lineRule="auto"/>
        <w:rPr>
          <w:sz w:val="20"/>
          <w:szCs w:val="20"/>
          <w:color w:val="auto"/>
        </w:rPr>
      </w:pPr>
      <w:r>
        <w:rPr>
          <w:rFonts w:ascii="Arial" w:cs="Arial" w:eastAsia="Arial" w:hAnsi="Arial"/>
          <w:sz w:val="17"/>
          <w:szCs w:val="17"/>
          <w:color w:val="003551"/>
        </w:rPr>
        <w:t>This operational momentum has directly translated into strong financial outcomes, with IREN delivering record results in fiscal 2025, including:</w:t>
      </w:r>
    </w:p>
    <w:p>
      <w:pPr>
        <w:spacing w:after="0" w:line="63" w:lineRule="exact"/>
        <w:rPr>
          <w:sz w:val="20"/>
          <w:szCs w:val="20"/>
          <w:color w:val="auto"/>
        </w:rPr>
      </w:pPr>
    </w:p>
    <w:p>
      <w:pPr>
        <w:ind w:left="1280" w:hanging="337"/>
        <w:spacing w:after="0"/>
        <w:tabs>
          <w:tab w:leader="none" w:pos="1280" w:val="left"/>
        </w:tabs>
        <w:numPr>
          <w:ilvl w:val="0"/>
          <w:numId w:val="15"/>
        </w:numPr>
        <w:rPr>
          <w:rFonts w:ascii="Arial" w:cs="Arial" w:eastAsia="Arial" w:hAnsi="Arial"/>
          <w:sz w:val="17"/>
          <w:szCs w:val="17"/>
          <w:color w:val="003551"/>
        </w:rPr>
      </w:pPr>
      <w:r>
        <w:rPr>
          <w:rFonts w:ascii="Arial" w:cs="Arial" w:eastAsia="Arial" w:hAnsi="Arial"/>
          <w:sz w:val="17"/>
          <w:szCs w:val="17"/>
          <w:color w:val="003551"/>
        </w:rPr>
        <w:t>168% increase in revenue year-over-year to $501m</w:t>
      </w:r>
    </w:p>
    <w:p>
      <w:pPr>
        <w:spacing w:after="0" w:line="145" w:lineRule="exact"/>
        <w:rPr>
          <w:rFonts w:ascii="Arial" w:cs="Arial" w:eastAsia="Arial" w:hAnsi="Arial"/>
          <w:sz w:val="17"/>
          <w:szCs w:val="17"/>
          <w:color w:val="003551"/>
        </w:rPr>
      </w:pPr>
    </w:p>
    <w:p>
      <w:pPr>
        <w:ind w:left="1280" w:hanging="337"/>
        <w:spacing w:after="0"/>
        <w:tabs>
          <w:tab w:leader="none" w:pos="1280" w:val="left"/>
        </w:tabs>
        <w:numPr>
          <w:ilvl w:val="0"/>
          <w:numId w:val="15"/>
        </w:numPr>
        <w:rPr>
          <w:rFonts w:ascii="Arial" w:cs="Arial" w:eastAsia="Arial" w:hAnsi="Arial"/>
          <w:sz w:val="17"/>
          <w:szCs w:val="17"/>
          <w:color w:val="003551"/>
        </w:rPr>
      </w:pPr>
      <w:r>
        <w:rPr>
          <w:rFonts w:ascii="Arial" w:cs="Arial" w:eastAsia="Arial" w:hAnsi="Arial"/>
          <w:sz w:val="17"/>
          <w:szCs w:val="17"/>
          <w:color w:val="003551"/>
        </w:rPr>
        <w:t>+$116m increase in net income year-over-year to $87m</w:t>
      </w:r>
    </w:p>
    <w:p>
      <w:pPr>
        <w:spacing w:after="0" w:line="145" w:lineRule="exact"/>
        <w:rPr>
          <w:rFonts w:ascii="Arial" w:cs="Arial" w:eastAsia="Arial" w:hAnsi="Arial"/>
          <w:sz w:val="17"/>
          <w:szCs w:val="17"/>
          <w:color w:val="003551"/>
        </w:rPr>
      </w:pPr>
    </w:p>
    <w:p>
      <w:pPr>
        <w:ind w:left="1280" w:hanging="337"/>
        <w:spacing w:after="0"/>
        <w:tabs>
          <w:tab w:leader="none" w:pos="1280" w:val="left"/>
        </w:tabs>
        <w:numPr>
          <w:ilvl w:val="0"/>
          <w:numId w:val="15"/>
        </w:numPr>
        <w:rPr>
          <w:rFonts w:ascii="Arial" w:cs="Arial" w:eastAsia="Arial" w:hAnsi="Arial"/>
          <w:sz w:val="17"/>
          <w:szCs w:val="17"/>
          <w:color w:val="003551"/>
        </w:rPr>
      </w:pPr>
      <w:r>
        <w:rPr>
          <w:rFonts w:ascii="Arial" w:cs="Arial" w:eastAsia="Arial" w:hAnsi="Arial"/>
          <w:sz w:val="17"/>
          <w:szCs w:val="17"/>
          <w:color w:val="003551"/>
        </w:rPr>
        <w:t>1,344% increase in EBITDA year-over-year to $278m</w:t>
      </w:r>
    </w:p>
    <w:p>
      <w:pPr>
        <w:spacing w:after="0" w:line="131" w:lineRule="exact"/>
        <w:rPr>
          <w:rFonts w:ascii="Arial" w:cs="Arial" w:eastAsia="Arial" w:hAnsi="Arial"/>
          <w:sz w:val="17"/>
          <w:szCs w:val="17"/>
          <w:color w:val="003551"/>
        </w:rPr>
      </w:pPr>
    </w:p>
    <w:p>
      <w:pPr>
        <w:ind w:left="1280" w:hanging="337"/>
        <w:spacing w:after="0"/>
        <w:tabs>
          <w:tab w:leader="none" w:pos="1280" w:val="left"/>
        </w:tabs>
        <w:numPr>
          <w:ilvl w:val="0"/>
          <w:numId w:val="15"/>
        </w:numPr>
        <w:rPr>
          <w:rFonts w:ascii="Arial" w:cs="Arial" w:eastAsia="Arial" w:hAnsi="Arial"/>
          <w:sz w:val="17"/>
          <w:szCs w:val="17"/>
          <w:color w:val="003551"/>
        </w:rPr>
      </w:pPr>
      <w:r>
        <w:rPr>
          <w:rFonts w:ascii="Arial" w:cs="Arial" w:eastAsia="Arial" w:hAnsi="Arial"/>
          <w:sz w:val="17"/>
          <w:szCs w:val="17"/>
          <w:color w:val="003551"/>
        </w:rPr>
        <w:t>395% increase in Adjusted EBITDA year-over-year to $270m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177800</wp:posOffset>
            </wp:positionV>
            <wp:extent cx="5032375" cy="45161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032375" cy="4516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144145</wp:posOffset>
            </wp:positionV>
            <wp:extent cx="540385" cy="6318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228600</wp:posOffset>
            </wp:positionV>
            <wp:extent cx="6786880"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5655945" cy="45332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5945" cy="4533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 </w:t>
      </w:r>
    </w:p>
    <w:p>
      <w:pPr>
        <w:spacing w:after="0" w:line="200" w:lineRule="exact"/>
        <w:rPr>
          <w:sz w:val="20"/>
          <w:szCs w:val="20"/>
          <w:color w:val="auto"/>
        </w:rPr>
      </w:pPr>
    </w:p>
    <w:p>
      <w:pPr>
        <w:spacing w:after="0" w:line="220" w:lineRule="exact"/>
        <w:rPr>
          <w:sz w:val="20"/>
          <w:szCs w:val="20"/>
          <w:color w:val="auto"/>
        </w:rPr>
      </w:pPr>
    </w:p>
    <w:p>
      <w:pPr>
        <w:jc w:val="both"/>
        <w:ind w:left="940" w:right="940"/>
        <w:spacing w:after="0" w:line="262" w:lineRule="auto"/>
        <w:rPr>
          <w:sz w:val="20"/>
          <w:szCs w:val="20"/>
          <w:color w:val="auto"/>
        </w:rPr>
      </w:pPr>
      <w:r>
        <w:rPr>
          <w:rFonts w:ascii="Arial" w:cs="Arial" w:eastAsia="Arial" w:hAnsi="Arial"/>
          <w:sz w:val="17"/>
          <w:szCs w:val="17"/>
          <w:color w:val="003551"/>
        </w:rPr>
        <w:t>EBITDA and Adjusted EBITDA are non-GAAP financial metrics. Definitions of each non-GAAP measure and a reconciliation of each non-GAAP financial measure with the most comparable GAAP measure are set forth in 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111760</wp:posOffset>
            </wp:positionV>
            <wp:extent cx="540385" cy="6318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40" w:right="800"/>
        <w:spacing w:after="0" w:line="247" w:lineRule="auto"/>
        <w:rPr>
          <w:sz w:val="20"/>
          <w:szCs w:val="20"/>
          <w:color w:val="auto"/>
        </w:rPr>
      </w:pPr>
      <w:r>
        <w:rPr>
          <w:rFonts w:ascii="Arial" w:cs="Arial" w:eastAsia="Arial" w:hAnsi="Arial"/>
          <w:sz w:val="17"/>
          <w:szCs w:val="17"/>
          <w:color w:val="003551"/>
        </w:rPr>
        <w:t>The following charts summarize IREN’s outperformance vs. our direct Bitcoin mining competitors in terms of total shareholder return (“</w:t>
      </w:r>
      <w:r>
        <w:rPr>
          <w:rFonts w:ascii="Arial" w:cs="Arial" w:eastAsia="Arial" w:hAnsi="Arial"/>
          <w:sz w:val="17"/>
          <w:szCs w:val="17"/>
          <w:b w:val="1"/>
          <w:bCs w:val="1"/>
          <w:color w:val="003551"/>
        </w:rPr>
        <w:t>TSR</w:t>
      </w:r>
      <w:r>
        <w:rPr>
          <w:rFonts w:ascii="Arial" w:cs="Arial" w:eastAsia="Arial" w:hAnsi="Arial"/>
          <w:sz w:val="17"/>
          <w:szCs w:val="17"/>
          <w:color w:val="003551"/>
        </w:rPr>
        <w:t>”) over one- and three-year periods and revenue growth over one- and two-year periods. Total shareholder return for the applicable periods is measured through the end of IREN’s fiscal year 2025 (i.e., for the periods of July 1, 2024 to June 30, 2025 and July 1, 2022 to June 30, 2025, respectively) based on the closing share price of IREN and its competitors as of June 30 in each applicable period. On June 30, 2025 IREN’s closing share price was $14.57. 1-year and 2-year revenue growth is measured for the 12 and 24-month periods ended June 30, 2025, respectively, and derived from the most recent publicly available financial reports of each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153035</wp:posOffset>
            </wp:positionV>
            <wp:extent cx="5198110" cy="26612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98110" cy="2661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177800</wp:posOffset>
            </wp:positionV>
            <wp:extent cx="5198110" cy="20713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98110" cy="2071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144145</wp:posOffset>
            </wp:positionV>
            <wp:extent cx="540385" cy="6318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5805805" cy="26530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805805" cy="2653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169545</wp:posOffset>
            </wp:positionV>
            <wp:extent cx="5198110" cy="24034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98110" cy="2403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144145</wp:posOffset>
            </wp:positionV>
            <wp:extent cx="540385" cy="6318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Fiscal 2025 Executive Compensation Practices</w:t>
      </w:r>
    </w:p>
    <w:p>
      <w:pPr>
        <w:spacing w:after="0" w:line="15" w:lineRule="exact"/>
        <w:rPr>
          <w:sz w:val="20"/>
          <w:szCs w:val="20"/>
          <w:color w:val="auto"/>
        </w:rPr>
      </w:pPr>
    </w:p>
    <w:p>
      <w:pPr>
        <w:ind w:left="940" w:right="800"/>
        <w:spacing w:after="0" w:line="245" w:lineRule="auto"/>
        <w:rPr>
          <w:sz w:val="20"/>
          <w:szCs w:val="20"/>
          <w:color w:val="auto"/>
        </w:rPr>
      </w:pPr>
      <w:r>
        <w:rPr>
          <w:rFonts w:ascii="Arial" w:cs="Arial" w:eastAsia="Arial" w:hAnsi="Arial"/>
          <w:sz w:val="17"/>
          <w:szCs w:val="17"/>
          <w:color w:val="003551"/>
        </w:rPr>
        <w:t>We maintain a compensation program to attract and retain high-caliber executives in an increasingly competitive talent environment as IREN evolves from a data center platform primarily focused on Bitcoin mining to an operator delivering a diverse range of high-performance workloads, with a growing emphasis on AI. While providing a competitive compensation program with the objectives of attracting, motivating and retaining top level talent, we continue to adhere to corporate governance best practices, as summarized below.</w:t>
      </w:r>
    </w:p>
    <w:p>
      <w:pPr>
        <w:spacing w:after="0" w:line="126" w:lineRule="exact"/>
        <w:rPr>
          <w:sz w:val="20"/>
          <w:szCs w:val="20"/>
          <w:color w:val="auto"/>
        </w:rPr>
      </w:pPr>
    </w:p>
    <w:tbl>
      <w:tblPr>
        <w:tblLayout w:type="fixed"/>
        <w:tblInd w:w="940" w:type="dxa"/>
        <w:tblCellMar>
          <w:top w:w="0" w:type="dxa"/>
          <w:left w:w="0" w:type="dxa"/>
          <w:bottom w:w="0" w:type="dxa"/>
          <w:right w:w="0" w:type="dxa"/>
        </w:tblCellMar>
      </w:tblPr>
      <w:tr>
        <w:trPr>
          <w:trHeight w:val="378"/>
        </w:trPr>
        <w:tc>
          <w:tcPr>
            <w:tcW w:w="2640" w:type="dxa"/>
            <w:vAlign w:val="bottom"/>
            <w:shd w:val="clear" w:color="auto" w:fill="77C483"/>
          </w:tcPr>
          <w:p>
            <w:pPr>
              <w:ind w:left="160"/>
              <w:spacing w:after="0"/>
              <w:rPr>
                <w:sz w:val="20"/>
                <w:szCs w:val="20"/>
                <w:color w:val="auto"/>
              </w:rPr>
            </w:pPr>
            <w:r>
              <w:rPr>
                <w:rFonts w:ascii="Arial" w:cs="Arial" w:eastAsia="Arial" w:hAnsi="Arial"/>
                <w:sz w:val="17"/>
                <w:szCs w:val="17"/>
                <w:b w:val="1"/>
                <w:bCs w:val="1"/>
                <w:color w:val="003551"/>
              </w:rPr>
              <w:t>Compensation Practice</w:t>
            </w:r>
          </w:p>
        </w:tc>
        <w:tc>
          <w:tcPr>
            <w:tcW w:w="5600" w:type="dxa"/>
            <w:vAlign w:val="bottom"/>
            <w:shd w:val="clear" w:color="auto" w:fill="77C483"/>
          </w:tcPr>
          <w:p>
            <w:pPr>
              <w:ind w:left="200"/>
              <w:spacing w:after="0"/>
              <w:rPr>
                <w:sz w:val="20"/>
                <w:szCs w:val="20"/>
                <w:color w:val="auto"/>
              </w:rPr>
            </w:pPr>
            <w:r>
              <w:rPr>
                <w:rFonts w:ascii="Arial" w:cs="Arial" w:eastAsia="Arial" w:hAnsi="Arial"/>
                <w:sz w:val="17"/>
                <w:szCs w:val="17"/>
                <w:b w:val="1"/>
                <w:bCs w:val="1"/>
                <w:color w:val="003551"/>
              </w:rPr>
              <w:t>Description</w:t>
            </w:r>
          </w:p>
        </w:tc>
      </w:tr>
      <w:tr>
        <w:trPr>
          <w:trHeight w:val="93"/>
        </w:trPr>
        <w:tc>
          <w:tcPr>
            <w:tcW w:w="2640" w:type="dxa"/>
            <w:vAlign w:val="bottom"/>
            <w:tcBorders>
              <w:bottom w:val="single" w:sz="8" w:color="003551"/>
            </w:tcBorders>
            <w:shd w:val="clear" w:color="auto" w:fill="77C483"/>
          </w:tcPr>
          <w:p>
            <w:pPr>
              <w:spacing w:after="0"/>
              <w:rPr>
                <w:sz w:val="8"/>
                <w:szCs w:val="8"/>
                <w:color w:val="auto"/>
              </w:rPr>
            </w:pPr>
          </w:p>
        </w:tc>
        <w:tc>
          <w:tcPr>
            <w:tcW w:w="5600" w:type="dxa"/>
            <w:vAlign w:val="bottom"/>
            <w:tcBorders>
              <w:bottom w:val="single" w:sz="8" w:color="003551"/>
            </w:tcBorders>
            <w:shd w:val="clear" w:color="auto" w:fill="77C483"/>
          </w:tcPr>
          <w:p>
            <w:pPr>
              <w:spacing w:after="0"/>
              <w:rPr>
                <w:sz w:val="8"/>
                <w:szCs w:val="8"/>
                <w:color w:val="auto"/>
              </w:rPr>
            </w:pPr>
          </w:p>
        </w:tc>
      </w:tr>
      <w:tr>
        <w:trPr>
          <w:trHeight w:val="291"/>
        </w:trPr>
        <w:tc>
          <w:tcPr>
            <w:tcW w:w="2640" w:type="dxa"/>
            <w:vAlign w:val="bottom"/>
          </w:tcPr>
          <w:p>
            <w:pPr>
              <w:ind w:left="160"/>
              <w:spacing w:after="0"/>
              <w:rPr>
                <w:sz w:val="20"/>
                <w:szCs w:val="20"/>
                <w:color w:val="auto"/>
              </w:rPr>
            </w:pPr>
            <w:r>
              <w:rPr>
                <w:rFonts w:ascii="Arial" w:cs="Arial" w:eastAsia="Arial" w:hAnsi="Arial"/>
                <w:sz w:val="17"/>
                <w:szCs w:val="17"/>
                <w:b w:val="1"/>
                <w:bCs w:val="1"/>
                <w:color w:val="003551"/>
              </w:rPr>
              <w:t>At-Risk Compensation</w:t>
            </w:r>
          </w:p>
        </w:tc>
        <w:tc>
          <w:tcPr>
            <w:tcW w:w="5600" w:type="dxa"/>
            <w:vAlign w:val="bottom"/>
          </w:tcPr>
          <w:p>
            <w:pPr>
              <w:ind w:left="200"/>
              <w:spacing w:after="0"/>
              <w:rPr>
                <w:sz w:val="20"/>
                <w:szCs w:val="20"/>
                <w:color w:val="auto"/>
              </w:rPr>
            </w:pPr>
            <w:r>
              <w:rPr>
                <w:rFonts w:ascii="Arial" w:cs="Arial" w:eastAsia="Arial" w:hAnsi="Arial"/>
                <w:sz w:val="17"/>
                <w:szCs w:val="17"/>
                <w:color w:val="003551"/>
              </w:rPr>
              <w:t>Nearly all of our NEO compensation is tied to either short- or long-</w:t>
            </w:r>
          </w:p>
        </w:tc>
      </w:tr>
      <w:tr>
        <w:trPr>
          <w:trHeight w:val="196"/>
        </w:trPr>
        <w:tc>
          <w:tcPr>
            <w:tcW w:w="2640" w:type="dxa"/>
            <w:vAlign w:val="bottom"/>
          </w:tcPr>
          <w:p>
            <w:pPr>
              <w:spacing w:after="0"/>
              <w:rPr>
                <w:sz w:val="17"/>
                <w:szCs w:val="17"/>
                <w:color w:val="auto"/>
              </w:rPr>
            </w:pPr>
          </w:p>
        </w:tc>
        <w:tc>
          <w:tcPr>
            <w:tcW w:w="5600" w:type="dxa"/>
            <w:vAlign w:val="bottom"/>
          </w:tcPr>
          <w:p>
            <w:pPr>
              <w:ind w:left="200"/>
              <w:spacing w:after="0"/>
              <w:rPr>
                <w:sz w:val="20"/>
                <w:szCs w:val="20"/>
                <w:color w:val="auto"/>
              </w:rPr>
            </w:pPr>
            <w:r>
              <w:rPr>
                <w:rFonts w:ascii="Arial" w:cs="Arial" w:eastAsia="Arial" w:hAnsi="Arial"/>
                <w:sz w:val="17"/>
                <w:szCs w:val="17"/>
                <w:color w:val="003551"/>
              </w:rPr>
              <w:t>term IREN performance. In Fiscal 2025, 93% of our Co-Chief</w:t>
            </w:r>
          </w:p>
        </w:tc>
      </w:tr>
      <w:tr>
        <w:trPr>
          <w:trHeight w:val="196"/>
        </w:trPr>
        <w:tc>
          <w:tcPr>
            <w:tcW w:w="2640" w:type="dxa"/>
            <w:vAlign w:val="bottom"/>
          </w:tcPr>
          <w:p>
            <w:pPr>
              <w:spacing w:after="0"/>
              <w:rPr>
                <w:sz w:val="17"/>
                <w:szCs w:val="17"/>
                <w:color w:val="auto"/>
              </w:rPr>
            </w:pPr>
          </w:p>
        </w:tc>
        <w:tc>
          <w:tcPr>
            <w:tcW w:w="5600" w:type="dxa"/>
            <w:vAlign w:val="bottom"/>
          </w:tcPr>
          <w:p>
            <w:pPr>
              <w:ind w:left="200"/>
              <w:spacing w:after="0"/>
              <w:rPr>
                <w:sz w:val="20"/>
                <w:szCs w:val="20"/>
                <w:color w:val="auto"/>
              </w:rPr>
            </w:pPr>
            <w:r>
              <w:rPr>
                <w:rFonts w:ascii="Arial" w:cs="Arial" w:eastAsia="Arial" w:hAnsi="Arial"/>
                <w:sz w:val="17"/>
                <w:szCs w:val="17"/>
                <w:color w:val="003551"/>
              </w:rPr>
              <w:t>Executive Officers’ total target compensation was at risk</w:t>
            </w:r>
          </w:p>
        </w:tc>
      </w:tr>
      <w:tr>
        <w:trPr>
          <w:trHeight w:val="196"/>
        </w:trPr>
        <w:tc>
          <w:tcPr>
            <w:tcW w:w="2640" w:type="dxa"/>
            <w:vAlign w:val="bottom"/>
          </w:tcPr>
          <w:p>
            <w:pPr>
              <w:spacing w:after="0"/>
              <w:rPr>
                <w:sz w:val="17"/>
                <w:szCs w:val="17"/>
                <w:color w:val="auto"/>
              </w:rPr>
            </w:pPr>
          </w:p>
        </w:tc>
        <w:tc>
          <w:tcPr>
            <w:tcW w:w="5600" w:type="dxa"/>
            <w:vAlign w:val="bottom"/>
          </w:tcPr>
          <w:p>
            <w:pPr>
              <w:ind w:left="200"/>
              <w:spacing w:after="0"/>
              <w:rPr>
                <w:sz w:val="20"/>
                <w:szCs w:val="20"/>
                <w:color w:val="auto"/>
              </w:rPr>
            </w:pPr>
            <w:r>
              <w:rPr>
                <w:rFonts w:ascii="Arial" w:cs="Arial" w:eastAsia="Arial" w:hAnsi="Arial"/>
                <w:sz w:val="17"/>
                <w:szCs w:val="17"/>
                <w:color w:val="003551"/>
              </w:rPr>
              <w:t>compensation (Ms. Nucifora’s was 66% at risk). At-risk</w:t>
            </w:r>
          </w:p>
        </w:tc>
      </w:tr>
      <w:tr>
        <w:trPr>
          <w:trHeight w:val="196"/>
        </w:trPr>
        <w:tc>
          <w:tcPr>
            <w:tcW w:w="2640" w:type="dxa"/>
            <w:vAlign w:val="bottom"/>
          </w:tcPr>
          <w:p>
            <w:pPr>
              <w:spacing w:after="0"/>
              <w:rPr>
                <w:sz w:val="17"/>
                <w:szCs w:val="17"/>
                <w:color w:val="auto"/>
              </w:rPr>
            </w:pPr>
          </w:p>
        </w:tc>
        <w:tc>
          <w:tcPr>
            <w:tcW w:w="5600" w:type="dxa"/>
            <w:vAlign w:val="bottom"/>
          </w:tcPr>
          <w:p>
            <w:pPr>
              <w:ind w:left="200"/>
              <w:spacing w:after="0"/>
              <w:rPr>
                <w:sz w:val="20"/>
                <w:szCs w:val="20"/>
                <w:color w:val="auto"/>
              </w:rPr>
            </w:pPr>
            <w:r>
              <w:rPr>
                <w:rFonts w:ascii="Arial" w:cs="Arial" w:eastAsia="Arial" w:hAnsi="Arial"/>
                <w:sz w:val="17"/>
                <w:szCs w:val="17"/>
                <w:color w:val="003551"/>
              </w:rPr>
              <w:t>compensation (a) includes short-term annual cash bonuses and</w:t>
            </w:r>
          </w:p>
        </w:tc>
      </w:tr>
      <w:tr>
        <w:trPr>
          <w:trHeight w:val="196"/>
        </w:trPr>
        <w:tc>
          <w:tcPr>
            <w:tcW w:w="2640" w:type="dxa"/>
            <w:vAlign w:val="bottom"/>
          </w:tcPr>
          <w:p>
            <w:pPr>
              <w:spacing w:after="0"/>
              <w:rPr>
                <w:sz w:val="17"/>
                <w:szCs w:val="17"/>
                <w:color w:val="auto"/>
              </w:rPr>
            </w:pPr>
          </w:p>
        </w:tc>
        <w:tc>
          <w:tcPr>
            <w:tcW w:w="5600" w:type="dxa"/>
            <w:vAlign w:val="bottom"/>
          </w:tcPr>
          <w:p>
            <w:pPr>
              <w:ind w:left="200"/>
              <w:spacing w:after="0"/>
              <w:rPr>
                <w:sz w:val="20"/>
                <w:szCs w:val="20"/>
                <w:color w:val="auto"/>
              </w:rPr>
            </w:pPr>
            <w:r>
              <w:rPr>
                <w:rFonts w:ascii="Arial" w:cs="Arial" w:eastAsia="Arial" w:hAnsi="Arial"/>
                <w:sz w:val="17"/>
                <w:szCs w:val="17"/>
                <w:color w:val="003551"/>
              </w:rPr>
              <w:t>both time-based and performance-based equity awards and (b)</w:t>
            </w:r>
          </w:p>
        </w:tc>
      </w:tr>
      <w:tr>
        <w:trPr>
          <w:trHeight w:val="230"/>
        </w:trPr>
        <w:tc>
          <w:tcPr>
            <w:tcW w:w="2640" w:type="dxa"/>
            <w:vAlign w:val="bottom"/>
          </w:tcPr>
          <w:p>
            <w:pPr>
              <w:spacing w:after="0"/>
              <w:rPr>
                <w:sz w:val="20"/>
                <w:szCs w:val="20"/>
                <w:color w:val="auto"/>
              </w:rPr>
            </w:pPr>
          </w:p>
        </w:tc>
        <w:tc>
          <w:tcPr>
            <w:tcW w:w="5600" w:type="dxa"/>
            <w:vAlign w:val="bottom"/>
          </w:tcPr>
          <w:p>
            <w:pPr>
              <w:ind w:left="200"/>
              <w:spacing w:after="0"/>
              <w:rPr>
                <w:sz w:val="20"/>
                <w:szCs w:val="20"/>
                <w:color w:val="auto"/>
              </w:rPr>
            </w:pPr>
            <w:r>
              <w:rPr>
                <w:rFonts w:ascii="Arial" w:cs="Arial" w:eastAsia="Arial" w:hAnsi="Arial"/>
                <w:sz w:val="17"/>
                <w:szCs w:val="17"/>
                <w:color w:val="003551"/>
              </w:rPr>
              <w:t>excludes any one-time equity awards or modifications.</w:t>
            </w:r>
          </w:p>
        </w:tc>
      </w:tr>
      <w:tr>
        <w:trPr>
          <w:trHeight w:val="399"/>
        </w:trPr>
        <w:tc>
          <w:tcPr>
            <w:tcW w:w="2640" w:type="dxa"/>
            <w:vAlign w:val="bottom"/>
          </w:tcPr>
          <w:p>
            <w:pPr>
              <w:ind w:left="160"/>
              <w:spacing w:after="0"/>
              <w:rPr>
                <w:sz w:val="20"/>
                <w:szCs w:val="20"/>
                <w:color w:val="auto"/>
              </w:rPr>
            </w:pPr>
            <w:r>
              <w:rPr>
                <w:rFonts w:ascii="Arial" w:cs="Arial" w:eastAsia="Arial" w:hAnsi="Arial"/>
                <w:sz w:val="17"/>
                <w:szCs w:val="17"/>
                <w:b w:val="1"/>
                <w:bCs w:val="1"/>
                <w:color w:val="003551"/>
              </w:rPr>
              <w:t>Incentive Metrics</w:t>
            </w:r>
          </w:p>
        </w:tc>
        <w:tc>
          <w:tcPr>
            <w:tcW w:w="5600" w:type="dxa"/>
            <w:vAlign w:val="bottom"/>
          </w:tcPr>
          <w:p>
            <w:pPr>
              <w:ind w:left="200"/>
              <w:spacing w:after="0"/>
              <w:rPr>
                <w:sz w:val="20"/>
                <w:szCs w:val="20"/>
                <w:color w:val="auto"/>
              </w:rPr>
            </w:pPr>
            <w:r>
              <w:rPr>
                <w:rFonts w:ascii="Arial" w:cs="Arial" w:eastAsia="Arial" w:hAnsi="Arial"/>
                <w:sz w:val="17"/>
                <w:szCs w:val="17"/>
                <w:color w:val="003551"/>
              </w:rPr>
              <w:t>A large portion of our NEOs’ Fiscal 2025 compensation was tied to</w:t>
            </w:r>
          </w:p>
        </w:tc>
      </w:tr>
      <w:tr>
        <w:trPr>
          <w:trHeight w:val="196"/>
        </w:trPr>
        <w:tc>
          <w:tcPr>
            <w:tcW w:w="2640" w:type="dxa"/>
            <w:vAlign w:val="bottom"/>
          </w:tcPr>
          <w:p>
            <w:pPr>
              <w:spacing w:after="0"/>
              <w:rPr>
                <w:sz w:val="17"/>
                <w:szCs w:val="17"/>
                <w:color w:val="auto"/>
              </w:rPr>
            </w:pPr>
          </w:p>
        </w:tc>
        <w:tc>
          <w:tcPr>
            <w:tcW w:w="5600" w:type="dxa"/>
            <w:vAlign w:val="bottom"/>
          </w:tcPr>
          <w:p>
            <w:pPr>
              <w:ind w:left="200"/>
              <w:spacing w:after="0"/>
              <w:rPr>
                <w:sz w:val="20"/>
                <w:szCs w:val="20"/>
                <w:color w:val="auto"/>
              </w:rPr>
            </w:pPr>
            <w:r>
              <w:rPr>
                <w:rFonts w:ascii="Arial" w:cs="Arial" w:eastAsia="Arial" w:hAnsi="Arial"/>
                <w:sz w:val="17"/>
                <w:szCs w:val="17"/>
                <w:color w:val="003551"/>
              </w:rPr>
              <w:t>both relative TSR and share price hurdles set at challenging levels</w:t>
            </w:r>
          </w:p>
        </w:tc>
      </w:tr>
      <w:tr>
        <w:trPr>
          <w:trHeight w:val="196"/>
        </w:trPr>
        <w:tc>
          <w:tcPr>
            <w:tcW w:w="2640" w:type="dxa"/>
            <w:vAlign w:val="bottom"/>
          </w:tcPr>
          <w:p>
            <w:pPr>
              <w:spacing w:after="0"/>
              <w:rPr>
                <w:sz w:val="17"/>
                <w:szCs w:val="17"/>
                <w:color w:val="auto"/>
              </w:rPr>
            </w:pPr>
          </w:p>
        </w:tc>
        <w:tc>
          <w:tcPr>
            <w:tcW w:w="5600" w:type="dxa"/>
            <w:vAlign w:val="bottom"/>
          </w:tcPr>
          <w:p>
            <w:pPr>
              <w:ind w:left="200"/>
              <w:spacing w:after="0"/>
              <w:rPr>
                <w:sz w:val="20"/>
                <w:szCs w:val="20"/>
                <w:color w:val="auto"/>
              </w:rPr>
            </w:pPr>
            <w:r>
              <w:rPr>
                <w:rFonts w:ascii="Arial" w:cs="Arial" w:eastAsia="Arial" w:hAnsi="Arial"/>
                <w:sz w:val="17"/>
                <w:szCs w:val="17"/>
                <w:color w:val="003551"/>
              </w:rPr>
              <w:t>by the Compensation Committee to promote proper alignment with</w:t>
            </w:r>
          </w:p>
        </w:tc>
      </w:tr>
      <w:tr>
        <w:trPr>
          <w:trHeight w:val="196"/>
        </w:trPr>
        <w:tc>
          <w:tcPr>
            <w:tcW w:w="2640" w:type="dxa"/>
            <w:vAlign w:val="bottom"/>
          </w:tcPr>
          <w:p>
            <w:pPr>
              <w:spacing w:after="0"/>
              <w:rPr>
                <w:sz w:val="17"/>
                <w:szCs w:val="17"/>
                <w:color w:val="auto"/>
              </w:rPr>
            </w:pPr>
          </w:p>
        </w:tc>
        <w:tc>
          <w:tcPr>
            <w:tcW w:w="5600" w:type="dxa"/>
            <w:vAlign w:val="bottom"/>
          </w:tcPr>
          <w:p>
            <w:pPr>
              <w:ind w:left="200"/>
              <w:spacing w:after="0"/>
              <w:rPr>
                <w:sz w:val="20"/>
                <w:szCs w:val="20"/>
                <w:color w:val="auto"/>
              </w:rPr>
            </w:pPr>
            <w:r>
              <w:rPr>
                <w:rFonts w:ascii="Arial" w:cs="Arial" w:eastAsia="Arial" w:hAnsi="Arial"/>
                <w:sz w:val="17"/>
                <w:szCs w:val="17"/>
                <w:color w:val="003551"/>
              </w:rPr>
              <w:t>shareholders. These metrics are regularly reviewed by the</w:t>
            </w:r>
          </w:p>
        </w:tc>
      </w:tr>
      <w:tr>
        <w:trPr>
          <w:trHeight w:val="196"/>
        </w:trPr>
        <w:tc>
          <w:tcPr>
            <w:tcW w:w="2640" w:type="dxa"/>
            <w:vAlign w:val="bottom"/>
          </w:tcPr>
          <w:p>
            <w:pPr>
              <w:spacing w:after="0"/>
              <w:rPr>
                <w:sz w:val="17"/>
                <w:szCs w:val="17"/>
                <w:color w:val="auto"/>
              </w:rPr>
            </w:pPr>
          </w:p>
        </w:tc>
        <w:tc>
          <w:tcPr>
            <w:tcW w:w="5600" w:type="dxa"/>
            <w:vAlign w:val="bottom"/>
          </w:tcPr>
          <w:p>
            <w:pPr>
              <w:ind w:left="200"/>
              <w:spacing w:after="0"/>
              <w:rPr>
                <w:sz w:val="20"/>
                <w:szCs w:val="20"/>
                <w:color w:val="auto"/>
              </w:rPr>
            </w:pPr>
            <w:r>
              <w:rPr>
                <w:rFonts w:ascii="Arial" w:cs="Arial" w:eastAsia="Arial" w:hAnsi="Arial"/>
                <w:sz w:val="17"/>
                <w:szCs w:val="17"/>
                <w:color w:val="003551"/>
              </w:rPr>
              <w:t>Compensation Committee and are directly aligned with shareholder</w:t>
            </w:r>
          </w:p>
        </w:tc>
      </w:tr>
      <w:tr>
        <w:trPr>
          <w:trHeight w:val="230"/>
        </w:trPr>
        <w:tc>
          <w:tcPr>
            <w:tcW w:w="2640" w:type="dxa"/>
            <w:vAlign w:val="bottom"/>
          </w:tcPr>
          <w:p>
            <w:pPr>
              <w:spacing w:after="0"/>
              <w:rPr>
                <w:sz w:val="20"/>
                <w:szCs w:val="20"/>
                <w:color w:val="auto"/>
              </w:rPr>
            </w:pPr>
          </w:p>
        </w:tc>
        <w:tc>
          <w:tcPr>
            <w:tcW w:w="5600" w:type="dxa"/>
            <w:vAlign w:val="bottom"/>
          </w:tcPr>
          <w:p>
            <w:pPr>
              <w:ind w:left="200"/>
              <w:spacing w:after="0"/>
              <w:rPr>
                <w:sz w:val="20"/>
                <w:szCs w:val="20"/>
                <w:color w:val="auto"/>
              </w:rPr>
            </w:pPr>
            <w:r>
              <w:rPr>
                <w:rFonts w:ascii="Arial" w:cs="Arial" w:eastAsia="Arial" w:hAnsi="Arial"/>
                <w:sz w:val="17"/>
                <w:szCs w:val="17"/>
                <w:color w:val="003551"/>
              </w:rPr>
              <w:t>value creation.</w:t>
            </w:r>
          </w:p>
        </w:tc>
      </w:tr>
      <w:tr>
        <w:trPr>
          <w:trHeight w:val="397"/>
        </w:trPr>
        <w:tc>
          <w:tcPr>
            <w:tcW w:w="2640" w:type="dxa"/>
            <w:vAlign w:val="bottom"/>
          </w:tcPr>
          <w:p>
            <w:pPr>
              <w:ind w:left="160"/>
              <w:spacing w:after="0"/>
              <w:rPr>
                <w:sz w:val="20"/>
                <w:szCs w:val="20"/>
                <w:color w:val="auto"/>
              </w:rPr>
            </w:pPr>
            <w:r>
              <w:rPr>
                <w:rFonts w:ascii="Arial" w:cs="Arial" w:eastAsia="Arial" w:hAnsi="Arial"/>
                <w:sz w:val="17"/>
                <w:szCs w:val="17"/>
                <w:b w:val="1"/>
                <w:bCs w:val="1"/>
                <w:color w:val="003551"/>
              </w:rPr>
              <w:t>Risk Assessment of</w:t>
            </w:r>
          </w:p>
        </w:tc>
        <w:tc>
          <w:tcPr>
            <w:tcW w:w="5600" w:type="dxa"/>
            <w:vAlign w:val="bottom"/>
          </w:tcPr>
          <w:p>
            <w:pPr>
              <w:ind w:left="200"/>
              <w:spacing w:after="0"/>
              <w:rPr>
                <w:sz w:val="20"/>
                <w:szCs w:val="20"/>
                <w:color w:val="auto"/>
              </w:rPr>
            </w:pPr>
            <w:r>
              <w:rPr>
                <w:rFonts w:ascii="Arial" w:cs="Arial" w:eastAsia="Arial" w:hAnsi="Arial"/>
                <w:sz w:val="17"/>
                <w:szCs w:val="17"/>
                <w:color w:val="003551"/>
              </w:rPr>
              <w:t>The Compensation Committee periodically reviews whether risks</w:t>
            </w:r>
          </w:p>
        </w:tc>
      </w:tr>
      <w:tr>
        <w:trPr>
          <w:trHeight w:val="198"/>
        </w:trPr>
        <w:tc>
          <w:tcPr>
            <w:tcW w:w="2640" w:type="dxa"/>
            <w:vAlign w:val="bottom"/>
          </w:tcPr>
          <w:p>
            <w:pPr>
              <w:ind w:left="160"/>
              <w:spacing w:after="0"/>
              <w:rPr>
                <w:sz w:val="20"/>
                <w:szCs w:val="20"/>
                <w:color w:val="auto"/>
              </w:rPr>
            </w:pPr>
            <w:r>
              <w:rPr>
                <w:rFonts w:ascii="Arial" w:cs="Arial" w:eastAsia="Arial" w:hAnsi="Arial"/>
                <w:sz w:val="17"/>
                <w:szCs w:val="17"/>
                <w:b w:val="1"/>
                <w:bCs w:val="1"/>
                <w:color w:val="003551"/>
              </w:rPr>
              <w:t>Compensation Programs</w:t>
            </w:r>
          </w:p>
        </w:tc>
        <w:tc>
          <w:tcPr>
            <w:tcW w:w="5600" w:type="dxa"/>
            <w:vAlign w:val="bottom"/>
          </w:tcPr>
          <w:p>
            <w:pPr>
              <w:ind w:left="200"/>
              <w:spacing w:after="0"/>
              <w:rPr>
                <w:sz w:val="20"/>
                <w:szCs w:val="20"/>
                <w:color w:val="auto"/>
              </w:rPr>
            </w:pPr>
            <w:r>
              <w:rPr>
                <w:rFonts w:ascii="Arial" w:cs="Arial" w:eastAsia="Arial" w:hAnsi="Arial"/>
                <w:sz w:val="17"/>
                <w:szCs w:val="17"/>
                <w:color w:val="003551"/>
              </w:rPr>
              <w:t>arising from IREN’s compensation policies and practices are</w:t>
            </w:r>
          </w:p>
        </w:tc>
      </w:tr>
      <w:tr>
        <w:trPr>
          <w:trHeight w:val="230"/>
        </w:trPr>
        <w:tc>
          <w:tcPr>
            <w:tcW w:w="2640" w:type="dxa"/>
            <w:vAlign w:val="bottom"/>
          </w:tcPr>
          <w:p>
            <w:pPr>
              <w:spacing w:after="0"/>
              <w:rPr>
                <w:sz w:val="20"/>
                <w:szCs w:val="20"/>
                <w:color w:val="auto"/>
              </w:rPr>
            </w:pPr>
          </w:p>
        </w:tc>
        <w:tc>
          <w:tcPr>
            <w:tcW w:w="5600" w:type="dxa"/>
            <w:vAlign w:val="bottom"/>
          </w:tcPr>
          <w:p>
            <w:pPr>
              <w:ind w:left="200"/>
              <w:spacing w:after="0"/>
              <w:rPr>
                <w:sz w:val="20"/>
                <w:szCs w:val="20"/>
                <w:color w:val="auto"/>
              </w:rPr>
            </w:pPr>
            <w:r>
              <w:rPr>
                <w:rFonts w:ascii="Arial" w:cs="Arial" w:eastAsia="Arial" w:hAnsi="Arial"/>
                <w:sz w:val="17"/>
                <w:szCs w:val="17"/>
                <w:color w:val="003551"/>
              </w:rPr>
              <w:t>reasonably likely to have a material adverse effect on IREN.</w:t>
            </w:r>
          </w:p>
        </w:tc>
      </w:tr>
      <w:tr>
        <w:trPr>
          <w:trHeight w:val="399"/>
        </w:trPr>
        <w:tc>
          <w:tcPr>
            <w:tcW w:w="2640" w:type="dxa"/>
            <w:vAlign w:val="bottom"/>
          </w:tcPr>
          <w:p>
            <w:pPr>
              <w:ind w:left="160"/>
              <w:spacing w:after="0"/>
              <w:rPr>
                <w:sz w:val="20"/>
                <w:szCs w:val="20"/>
                <w:color w:val="auto"/>
              </w:rPr>
            </w:pPr>
            <w:r>
              <w:rPr>
                <w:rFonts w:ascii="Arial" w:cs="Arial" w:eastAsia="Arial" w:hAnsi="Arial"/>
                <w:sz w:val="17"/>
                <w:szCs w:val="17"/>
                <w:b w:val="1"/>
                <w:bCs w:val="1"/>
                <w:color w:val="003551"/>
              </w:rPr>
              <w:t>Clawback Policy</w:t>
            </w:r>
          </w:p>
        </w:tc>
        <w:tc>
          <w:tcPr>
            <w:tcW w:w="5600" w:type="dxa"/>
            <w:vAlign w:val="bottom"/>
          </w:tcPr>
          <w:p>
            <w:pPr>
              <w:ind w:left="200"/>
              <w:spacing w:after="0"/>
              <w:rPr>
                <w:sz w:val="20"/>
                <w:szCs w:val="20"/>
                <w:color w:val="auto"/>
              </w:rPr>
            </w:pPr>
            <w:r>
              <w:rPr>
                <w:rFonts w:ascii="Arial" w:cs="Arial" w:eastAsia="Arial" w:hAnsi="Arial"/>
                <w:sz w:val="17"/>
                <w:szCs w:val="17"/>
                <w:color w:val="003551"/>
              </w:rPr>
              <w:t>In addition to the recoupment of certain incentive-based</w:t>
            </w:r>
          </w:p>
        </w:tc>
      </w:tr>
      <w:tr>
        <w:trPr>
          <w:trHeight w:val="196"/>
        </w:trPr>
        <w:tc>
          <w:tcPr>
            <w:tcW w:w="2640" w:type="dxa"/>
            <w:vAlign w:val="bottom"/>
          </w:tcPr>
          <w:p>
            <w:pPr>
              <w:spacing w:after="0"/>
              <w:rPr>
                <w:sz w:val="17"/>
                <w:szCs w:val="17"/>
                <w:color w:val="auto"/>
              </w:rPr>
            </w:pPr>
          </w:p>
        </w:tc>
        <w:tc>
          <w:tcPr>
            <w:tcW w:w="5600" w:type="dxa"/>
            <w:vAlign w:val="bottom"/>
          </w:tcPr>
          <w:p>
            <w:pPr>
              <w:ind w:left="200"/>
              <w:spacing w:after="0"/>
              <w:rPr>
                <w:sz w:val="20"/>
                <w:szCs w:val="20"/>
                <w:color w:val="auto"/>
              </w:rPr>
            </w:pPr>
            <w:r>
              <w:rPr>
                <w:rFonts w:ascii="Arial" w:cs="Arial" w:eastAsia="Arial" w:hAnsi="Arial"/>
                <w:sz w:val="17"/>
                <w:szCs w:val="17"/>
                <w:color w:val="003551"/>
              </w:rPr>
              <w:t>compensation that may be erroneously awarded to a current or</w:t>
            </w:r>
          </w:p>
        </w:tc>
      </w:tr>
      <w:tr>
        <w:trPr>
          <w:trHeight w:val="196"/>
        </w:trPr>
        <w:tc>
          <w:tcPr>
            <w:tcW w:w="2640" w:type="dxa"/>
            <w:vAlign w:val="bottom"/>
          </w:tcPr>
          <w:p>
            <w:pPr>
              <w:spacing w:after="0"/>
              <w:rPr>
                <w:sz w:val="17"/>
                <w:szCs w:val="17"/>
                <w:color w:val="auto"/>
              </w:rPr>
            </w:pPr>
          </w:p>
        </w:tc>
        <w:tc>
          <w:tcPr>
            <w:tcW w:w="5600" w:type="dxa"/>
            <w:vAlign w:val="bottom"/>
          </w:tcPr>
          <w:p>
            <w:pPr>
              <w:ind w:left="200"/>
              <w:spacing w:after="0"/>
              <w:rPr>
                <w:sz w:val="20"/>
                <w:szCs w:val="20"/>
                <w:color w:val="auto"/>
              </w:rPr>
            </w:pPr>
            <w:r>
              <w:rPr>
                <w:rFonts w:ascii="Arial" w:cs="Arial" w:eastAsia="Arial" w:hAnsi="Arial"/>
                <w:sz w:val="17"/>
                <w:szCs w:val="17"/>
                <w:color w:val="003551"/>
              </w:rPr>
              <w:t>former NEO or other executive officer in the event of a financial</w:t>
            </w:r>
          </w:p>
        </w:tc>
      </w:tr>
      <w:tr>
        <w:trPr>
          <w:trHeight w:val="196"/>
        </w:trPr>
        <w:tc>
          <w:tcPr>
            <w:tcW w:w="2640" w:type="dxa"/>
            <w:vAlign w:val="bottom"/>
          </w:tcPr>
          <w:p>
            <w:pPr>
              <w:spacing w:after="0"/>
              <w:rPr>
                <w:sz w:val="17"/>
                <w:szCs w:val="17"/>
                <w:color w:val="auto"/>
              </w:rPr>
            </w:pPr>
          </w:p>
        </w:tc>
        <w:tc>
          <w:tcPr>
            <w:tcW w:w="5600" w:type="dxa"/>
            <w:vAlign w:val="bottom"/>
          </w:tcPr>
          <w:p>
            <w:pPr>
              <w:ind w:left="200"/>
              <w:spacing w:after="0"/>
              <w:rPr>
                <w:sz w:val="20"/>
                <w:szCs w:val="20"/>
                <w:color w:val="auto"/>
              </w:rPr>
            </w:pPr>
            <w:r>
              <w:rPr>
                <w:rFonts w:ascii="Arial" w:cs="Arial" w:eastAsia="Arial" w:hAnsi="Arial"/>
                <w:sz w:val="17"/>
                <w:szCs w:val="17"/>
                <w:color w:val="003551"/>
              </w:rPr>
              <w:t>restatement in accordance with Nasdaq listing requirements, the</w:t>
            </w:r>
          </w:p>
        </w:tc>
      </w:tr>
      <w:tr>
        <w:trPr>
          <w:trHeight w:val="196"/>
        </w:trPr>
        <w:tc>
          <w:tcPr>
            <w:tcW w:w="2640" w:type="dxa"/>
            <w:vAlign w:val="bottom"/>
          </w:tcPr>
          <w:p>
            <w:pPr>
              <w:spacing w:after="0"/>
              <w:rPr>
                <w:sz w:val="17"/>
                <w:szCs w:val="17"/>
                <w:color w:val="auto"/>
              </w:rPr>
            </w:pPr>
          </w:p>
        </w:tc>
        <w:tc>
          <w:tcPr>
            <w:tcW w:w="5600" w:type="dxa"/>
            <w:vAlign w:val="bottom"/>
          </w:tcPr>
          <w:p>
            <w:pPr>
              <w:ind w:left="200"/>
              <w:spacing w:after="0"/>
              <w:rPr>
                <w:sz w:val="20"/>
                <w:szCs w:val="20"/>
                <w:color w:val="auto"/>
              </w:rPr>
            </w:pPr>
            <w:r>
              <w:rPr>
                <w:rFonts w:ascii="Arial" w:cs="Arial" w:eastAsia="Arial" w:hAnsi="Arial"/>
                <w:sz w:val="17"/>
                <w:szCs w:val="17"/>
                <w:color w:val="003551"/>
              </w:rPr>
              <w:t>IREN Limited Short-Term Incentive Plan (the “STIP”) and the IREN</w:t>
            </w:r>
          </w:p>
        </w:tc>
      </w:tr>
      <w:tr>
        <w:trPr>
          <w:trHeight w:val="196"/>
        </w:trPr>
        <w:tc>
          <w:tcPr>
            <w:tcW w:w="2640" w:type="dxa"/>
            <w:vAlign w:val="bottom"/>
          </w:tcPr>
          <w:p>
            <w:pPr>
              <w:spacing w:after="0"/>
              <w:rPr>
                <w:sz w:val="17"/>
                <w:szCs w:val="17"/>
                <w:color w:val="auto"/>
              </w:rPr>
            </w:pPr>
          </w:p>
        </w:tc>
        <w:tc>
          <w:tcPr>
            <w:tcW w:w="5600" w:type="dxa"/>
            <w:vAlign w:val="bottom"/>
          </w:tcPr>
          <w:p>
            <w:pPr>
              <w:ind w:left="200"/>
              <w:spacing w:after="0"/>
              <w:rPr>
                <w:sz w:val="20"/>
                <w:szCs w:val="20"/>
                <w:color w:val="auto"/>
              </w:rPr>
            </w:pPr>
            <w:r>
              <w:rPr>
                <w:rFonts w:ascii="Arial" w:cs="Arial" w:eastAsia="Arial" w:hAnsi="Arial"/>
                <w:sz w:val="17"/>
                <w:szCs w:val="17"/>
                <w:color w:val="003551"/>
              </w:rPr>
              <w:t>Limited 2023 Long-Term Incentive Plan (the “2023 LTIP”) also allow</w:t>
            </w:r>
          </w:p>
        </w:tc>
      </w:tr>
      <w:tr>
        <w:trPr>
          <w:trHeight w:val="196"/>
        </w:trPr>
        <w:tc>
          <w:tcPr>
            <w:tcW w:w="2640" w:type="dxa"/>
            <w:vAlign w:val="bottom"/>
          </w:tcPr>
          <w:p>
            <w:pPr>
              <w:spacing w:after="0"/>
              <w:rPr>
                <w:sz w:val="17"/>
                <w:szCs w:val="17"/>
                <w:color w:val="auto"/>
              </w:rPr>
            </w:pPr>
          </w:p>
        </w:tc>
        <w:tc>
          <w:tcPr>
            <w:tcW w:w="5600" w:type="dxa"/>
            <w:vAlign w:val="bottom"/>
          </w:tcPr>
          <w:p>
            <w:pPr>
              <w:ind w:left="200"/>
              <w:spacing w:after="0"/>
              <w:rPr>
                <w:sz w:val="20"/>
                <w:szCs w:val="20"/>
                <w:color w:val="auto"/>
              </w:rPr>
            </w:pPr>
            <w:r>
              <w:rPr>
                <w:rFonts w:ascii="Arial" w:cs="Arial" w:eastAsia="Arial" w:hAnsi="Arial"/>
                <w:sz w:val="17"/>
                <w:szCs w:val="17"/>
                <w:color w:val="003551"/>
              </w:rPr>
              <w:t>the Board to recover outstanding time-based and performance-</w:t>
            </w:r>
          </w:p>
        </w:tc>
      </w:tr>
      <w:tr>
        <w:trPr>
          <w:trHeight w:val="230"/>
        </w:trPr>
        <w:tc>
          <w:tcPr>
            <w:tcW w:w="2640" w:type="dxa"/>
            <w:vAlign w:val="bottom"/>
          </w:tcPr>
          <w:p>
            <w:pPr>
              <w:spacing w:after="0"/>
              <w:rPr>
                <w:sz w:val="20"/>
                <w:szCs w:val="20"/>
                <w:color w:val="auto"/>
              </w:rPr>
            </w:pPr>
          </w:p>
        </w:tc>
        <w:tc>
          <w:tcPr>
            <w:tcW w:w="5600" w:type="dxa"/>
            <w:vAlign w:val="bottom"/>
          </w:tcPr>
          <w:p>
            <w:pPr>
              <w:ind w:left="200"/>
              <w:spacing w:after="0"/>
              <w:rPr>
                <w:sz w:val="20"/>
                <w:szCs w:val="20"/>
                <w:color w:val="auto"/>
              </w:rPr>
            </w:pPr>
            <w:r>
              <w:rPr>
                <w:rFonts w:ascii="Arial" w:cs="Arial" w:eastAsia="Arial" w:hAnsi="Arial"/>
                <w:sz w:val="17"/>
                <w:szCs w:val="17"/>
                <w:color w:val="003551"/>
              </w:rPr>
              <w:t>based vesting awards due to misconduct.</w:t>
            </w:r>
          </w:p>
        </w:tc>
      </w:tr>
      <w:tr>
        <w:trPr>
          <w:trHeight w:val="397"/>
        </w:trPr>
        <w:tc>
          <w:tcPr>
            <w:tcW w:w="2640" w:type="dxa"/>
            <w:vAlign w:val="bottom"/>
          </w:tcPr>
          <w:p>
            <w:pPr>
              <w:ind w:left="160"/>
              <w:spacing w:after="0"/>
              <w:rPr>
                <w:sz w:val="20"/>
                <w:szCs w:val="20"/>
                <w:color w:val="auto"/>
              </w:rPr>
            </w:pPr>
            <w:r>
              <w:rPr>
                <w:rFonts w:ascii="Arial" w:cs="Arial" w:eastAsia="Arial" w:hAnsi="Arial"/>
                <w:sz w:val="17"/>
                <w:szCs w:val="17"/>
                <w:b w:val="1"/>
                <w:bCs w:val="1"/>
                <w:color w:val="003551"/>
              </w:rPr>
              <w:t>Long-Term Vesting</w:t>
            </w:r>
          </w:p>
        </w:tc>
        <w:tc>
          <w:tcPr>
            <w:tcW w:w="5600" w:type="dxa"/>
            <w:vAlign w:val="bottom"/>
          </w:tcPr>
          <w:p>
            <w:pPr>
              <w:ind w:left="200"/>
              <w:spacing w:after="0"/>
              <w:rPr>
                <w:sz w:val="20"/>
                <w:szCs w:val="20"/>
                <w:color w:val="auto"/>
              </w:rPr>
            </w:pPr>
            <w:r>
              <w:rPr>
                <w:rFonts w:ascii="Arial" w:cs="Arial" w:eastAsia="Arial" w:hAnsi="Arial"/>
                <w:sz w:val="17"/>
                <w:szCs w:val="17"/>
                <w:color w:val="003551"/>
              </w:rPr>
              <w:t>Equity awards granted to our executives, including our NEOs,</w:t>
            </w:r>
          </w:p>
        </w:tc>
      </w:tr>
      <w:tr>
        <w:trPr>
          <w:trHeight w:val="198"/>
        </w:trPr>
        <w:tc>
          <w:tcPr>
            <w:tcW w:w="2640" w:type="dxa"/>
            <w:vAlign w:val="bottom"/>
          </w:tcPr>
          <w:p>
            <w:pPr>
              <w:ind w:left="160"/>
              <w:spacing w:after="0"/>
              <w:rPr>
                <w:sz w:val="20"/>
                <w:szCs w:val="20"/>
                <w:color w:val="auto"/>
              </w:rPr>
            </w:pPr>
            <w:r>
              <w:rPr>
                <w:rFonts w:ascii="Arial" w:cs="Arial" w:eastAsia="Arial" w:hAnsi="Arial"/>
                <w:sz w:val="17"/>
                <w:szCs w:val="17"/>
                <w:b w:val="1"/>
                <w:bCs w:val="1"/>
                <w:color w:val="003551"/>
              </w:rPr>
              <w:t>Requirements</w:t>
            </w:r>
          </w:p>
        </w:tc>
        <w:tc>
          <w:tcPr>
            <w:tcW w:w="5600" w:type="dxa"/>
            <w:vAlign w:val="bottom"/>
          </w:tcPr>
          <w:p>
            <w:pPr>
              <w:ind w:left="200"/>
              <w:spacing w:after="0"/>
              <w:rPr>
                <w:sz w:val="20"/>
                <w:szCs w:val="20"/>
                <w:color w:val="auto"/>
              </w:rPr>
            </w:pPr>
            <w:r>
              <w:rPr>
                <w:rFonts w:ascii="Arial" w:cs="Arial" w:eastAsia="Arial" w:hAnsi="Arial"/>
                <w:sz w:val="17"/>
                <w:szCs w:val="17"/>
                <w:color w:val="003551"/>
              </w:rPr>
              <w:t>typically vest at least over a three-year period (and in some cases,</w:t>
            </w:r>
          </w:p>
        </w:tc>
      </w:tr>
      <w:tr>
        <w:trPr>
          <w:trHeight w:val="196"/>
        </w:trPr>
        <w:tc>
          <w:tcPr>
            <w:tcW w:w="2640" w:type="dxa"/>
            <w:vAlign w:val="bottom"/>
          </w:tcPr>
          <w:p>
            <w:pPr>
              <w:spacing w:after="0"/>
              <w:rPr>
                <w:sz w:val="17"/>
                <w:szCs w:val="17"/>
                <w:color w:val="auto"/>
              </w:rPr>
            </w:pPr>
          </w:p>
        </w:tc>
        <w:tc>
          <w:tcPr>
            <w:tcW w:w="5600" w:type="dxa"/>
            <w:vAlign w:val="bottom"/>
          </w:tcPr>
          <w:p>
            <w:pPr>
              <w:ind w:left="200"/>
              <w:spacing w:after="0"/>
              <w:rPr>
                <w:sz w:val="20"/>
                <w:szCs w:val="20"/>
                <w:color w:val="auto"/>
              </w:rPr>
            </w:pPr>
            <w:r>
              <w:rPr>
                <w:rFonts w:ascii="Arial" w:cs="Arial" w:eastAsia="Arial" w:hAnsi="Arial"/>
                <w:sz w:val="17"/>
                <w:szCs w:val="17"/>
                <w:color w:val="003551"/>
              </w:rPr>
              <w:t>six years) following the date of grant, which is consistent with</w:t>
            </w:r>
          </w:p>
        </w:tc>
      </w:tr>
      <w:tr>
        <w:trPr>
          <w:trHeight w:val="196"/>
        </w:trPr>
        <w:tc>
          <w:tcPr>
            <w:tcW w:w="2640" w:type="dxa"/>
            <w:vAlign w:val="bottom"/>
          </w:tcPr>
          <w:p>
            <w:pPr>
              <w:spacing w:after="0"/>
              <w:rPr>
                <w:sz w:val="17"/>
                <w:szCs w:val="17"/>
                <w:color w:val="auto"/>
              </w:rPr>
            </w:pPr>
          </w:p>
        </w:tc>
        <w:tc>
          <w:tcPr>
            <w:tcW w:w="5600" w:type="dxa"/>
            <w:vAlign w:val="bottom"/>
          </w:tcPr>
          <w:p>
            <w:pPr>
              <w:ind w:left="200"/>
              <w:spacing w:after="0"/>
              <w:rPr>
                <w:sz w:val="20"/>
                <w:szCs w:val="20"/>
                <w:color w:val="auto"/>
              </w:rPr>
            </w:pPr>
            <w:r>
              <w:rPr>
                <w:rFonts w:ascii="Arial" w:cs="Arial" w:eastAsia="Arial" w:hAnsi="Arial"/>
                <w:sz w:val="17"/>
                <w:szCs w:val="17"/>
                <w:color w:val="003551"/>
              </w:rPr>
              <w:t>current market practice and our executive retention objectives. Our</w:t>
            </w:r>
          </w:p>
        </w:tc>
      </w:tr>
      <w:tr>
        <w:trPr>
          <w:trHeight w:val="196"/>
        </w:trPr>
        <w:tc>
          <w:tcPr>
            <w:tcW w:w="2640" w:type="dxa"/>
            <w:vAlign w:val="bottom"/>
          </w:tcPr>
          <w:p>
            <w:pPr>
              <w:spacing w:after="0"/>
              <w:rPr>
                <w:sz w:val="17"/>
                <w:szCs w:val="17"/>
                <w:color w:val="auto"/>
              </w:rPr>
            </w:pPr>
          </w:p>
        </w:tc>
        <w:tc>
          <w:tcPr>
            <w:tcW w:w="5600" w:type="dxa"/>
            <w:vAlign w:val="bottom"/>
          </w:tcPr>
          <w:p>
            <w:pPr>
              <w:ind w:left="200"/>
              <w:spacing w:after="0"/>
              <w:rPr>
                <w:sz w:val="20"/>
                <w:szCs w:val="20"/>
                <w:color w:val="auto"/>
              </w:rPr>
            </w:pPr>
            <w:r>
              <w:rPr>
                <w:rFonts w:ascii="Arial" w:cs="Arial" w:eastAsia="Arial" w:hAnsi="Arial"/>
                <w:sz w:val="17"/>
                <w:szCs w:val="17"/>
                <w:color w:val="003551"/>
              </w:rPr>
              <w:t>Retention Grants (as defined below) vest over a six-year period. In</w:t>
            </w:r>
          </w:p>
        </w:tc>
      </w:tr>
      <w:tr>
        <w:trPr>
          <w:trHeight w:val="230"/>
        </w:trPr>
        <w:tc>
          <w:tcPr>
            <w:tcW w:w="2640" w:type="dxa"/>
            <w:vAlign w:val="bottom"/>
          </w:tcPr>
          <w:p>
            <w:pPr>
              <w:spacing w:after="0"/>
              <w:rPr>
                <w:sz w:val="20"/>
                <w:szCs w:val="20"/>
                <w:color w:val="auto"/>
              </w:rPr>
            </w:pPr>
          </w:p>
        </w:tc>
        <w:tc>
          <w:tcPr>
            <w:tcW w:w="5600" w:type="dxa"/>
            <w:vAlign w:val="bottom"/>
          </w:tcPr>
          <w:p>
            <w:pPr>
              <w:ind w:left="200"/>
              <w:spacing w:after="0"/>
              <w:rPr>
                <w:sz w:val="20"/>
                <w:szCs w:val="20"/>
                <w:color w:val="auto"/>
              </w:rPr>
            </w:pPr>
            <w:r>
              <w:rPr>
                <w:rFonts w:ascii="Arial" w:cs="Arial" w:eastAsia="Arial" w:hAnsi="Arial"/>
                <w:sz w:val="17"/>
                <w:szCs w:val="17"/>
                <w:color w:val="003551"/>
              </w:rPr>
              <w:t>certain circumstances, the vesting period may be shortened.</w:t>
            </w:r>
          </w:p>
        </w:tc>
      </w:tr>
      <w:tr>
        <w:trPr>
          <w:trHeight w:val="397"/>
        </w:trPr>
        <w:tc>
          <w:tcPr>
            <w:tcW w:w="2640" w:type="dxa"/>
            <w:vAlign w:val="bottom"/>
          </w:tcPr>
          <w:p>
            <w:pPr>
              <w:ind w:left="160"/>
              <w:spacing w:after="0"/>
              <w:rPr>
                <w:sz w:val="20"/>
                <w:szCs w:val="20"/>
                <w:color w:val="auto"/>
              </w:rPr>
            </w:pPr>
            <w:r>
              <w:rPr>
                <w:rFonts w:ascii="Arial" w:cs="Arial" w:eastAsia="Arial" w:hAnsi="Arial"/>
                <w:sz w:val="17"/>
                <w:szCs w:val="17"/>
                <w:b w:val="1"/>
                <w:bCs w:val="1"/>
                <w:color w:val="003551"/>
              </w:rPr>
              <w:t>Annual Executive</w:t>
            </w:r>
          </w:p>
        </w:tc>
        <w:tc>
          <w:tcPr>
            <w:tcW w:w="5600" w:type="dxa"/>
            <w:vAlign w:val="bottom"/>
          </w:tcPr>
          <w:p>
            <w:pPr>
              <w:ind w:left="200"/>
              <w:spacing w:after="0"/>
              <w:rPr>
                <w:sz w:val="20"/>
                <w:szCs w:val="20"/>
                <w:color w:val="auto"/>
              </w:rPr>
            </w:pPr>
            <w:r>
              <w:rPr>
                <w:rFonts w:ascii="Arial" w:cs="Arial" w:eastAsia="Arial" w:hAnsi="Arial"/>
                <w:sz w:val="17"/>
                <w:szCs w:val="17"/>
                <w:color w:val="003551"/>
              </w:rPr>
              <w:t>The Compensation Committee conducts an annual review of our</w:t>
            </w:r>
          </w:p>
        </w:tc>
      </w:tr>
      <w:tr>
        <w:trPr>
          <w:trHeight w:val="198"/>
        </w:trPr>
        <w:tc>
          <w:tcPr>
            <w:tcW w:w="2640" w:type="dxa"/>
            <w:vAlign w:val="bottom"/>
          </w:tcPr>
          <w:p>
            <w:pPr>
              <w:ind w:left="160"/>
              <w:spacing w:after="0"/>
              <w:rPr>
                <w:sz w:val="20"/>
                <w:szCs w:val="20"/>
                <w:color w:val="auto"/>
              </w:rPr>
            </w:pPr>
            <w:r>
              <w:rPr>
                <w:rFonts w:ascii="Arial" w:cs="Arial" w:eastAsia="Arial" w:hAnsi="Arial"/>
                <w:sz w:val="17"/>
                <w:szCs w:val="17"/>
                <w:b w:val="1"/>
                <w:bCs w:val="1"/>
                <w:color w:val="003551"/>
              </w:rPr>
              <w:t>Compensation Review</w:t>
            </w:r>
          </w:p>
        </w:tc>
        <w:tc>
          <w:tcPr>
            <w:tcW w:w="5600" w:type="dxa"/>
            <w:vAlign w:val="bottom"/>
          </w:tcPr>
          <w:p>
            <w:pPr>
              <w:ind w:left="200"/>
              <w:spacing w:after="0"/>
              <w:rPr>
                <w:sz w:val="20"/>
                <w:szCs w:val="20"/>
                <w:color w:val="auto"/>
              </w:rPr>
            </w:pPr>
            <w:r>
              <w:rPr>
                <w:rFonts w:ascii="Arial" w:cs="Arial" w:eastAsia="Arial" w:hAnsi="Arial"/>
                <w:sz w:val="17"/>
                <w:szCs w:val="17"/>
                <w:color w:val="003551"/>
              </w:rPr>
              <w:t>compensation strategy, including a review and determination of our</w:t>
            </w:r>
          </w:p>
        </w:tc>
      </w:tr>
      <w:tr>
        <w:trPr>
          <w:trHeight w:val="230"/>
        </w:trPr>
        <w:tc>
          <w:tcPr>
            <w:tcW w:w="2640" w:type="dxa"/>
            <w:vAlign w:val="bottom"/>
          </w:tcPr>
          <w:p>
            <w:pPr>
              <w:spacing w:after="0"/>
              <w:rPr>
                <w:sz w:val="20"/>
                <w:szCs w:val="20"/>
                <w:color w:val="auto"/>
              </w:rPr>
            </w:pPr>
          </w:p>
        </w:tc>
        <w:tc>
          <w:tcPr>
            <w:tcW w:w="5600" w:type="dxa"/>
            <w:vAlign w:val="bottom"/>
          </w:tcPr>
          <w:p>
            <w:pPr>
              <w:ind w:left="200"/>
              <w:spacing w:after="0"/>
              <w:rPr>
                <w:sz w:val="20"/>
                <w:szCs w:val="20"/>
                <w:color w:val="auto"/>
              </w:rPr>
            </w:pPr>
            <w:r>
              <w:rPr>
                <w:rFonts w:ascii="Arial" w:cs="Arial" w:eastAsia="Arial" w:hAnsi="Arial"/>
                <w:sz w:val="17"/>
                <w:szCs w:val="17"/>
                <w:color w:val="003551"/>
              </w:rPr>
              <w:t>compensation peer group used for comparative purposes.</w:t>
            </w:r>
          </w:p>
        </w:tc>
      </w:tr>
      <w:tr>
        <w:trPr>
          <w:trHeight w:val="397"/>
        </w:trPr>
        <w:tc>
          <w:tcPr>
            <w:tcW w:w="2640" w:type="dxa"/>
            <w:vAlign w:val="bottom"/>
          </w:tcPr>
          <w:p>
            <w:pPr>
              <w:ind w:left="160"/>
              <w:spacing w:after="0"/>
              <w:rPr>
                <w:sz w:val="20"/>
                <w:szCs w:val="20"/>
                <w:color w:val="auto"/>
              </w:rPr>
            </w:pPr>
            <w:r>
              <w:rPr>
                <w:rFonts w:ascii="Arial" w:cs="Arial" w:eastAsia="Arial" w:hAnsi="Arial"/>
                <w:sz w:val="17"/>
                <w:szCs w:val="17"/>
                <w:b w:val="1"/>
                <w:bCs w:val="1"/>
                <w:color w:val="003551"/>
              </w:rPr>
              <w:t>Independent Compensation</w:t>
            </w:r>
          </w:p>
        </w:tc>
        <w:tc>
          <w:tcPr>
            <w:tcW w:w="5600" w:type="dxa"/>
            <w:vAlign w:val="bottom"/>
          </w:tcPr>
          <w:p>
            <w:pPr>
              <w:ind w:left="200"/>
              <w:spacing w:after="0"/>
              <w:rPr>
                <w:sz w:val="20"/>
                <w:szCs w:val="20"/>
                <w:color w:val="auto"/>
              </w:rPr>
            </w:pPr>
            <w:r>
              <w:rPr>
                <w:rFonts w:ascii="Arial" w:cs="Arial" w:eastAsia="Arial" w:hAnsi="Arial"/>
                <w:sz w:val="17"/>
                <w:szCs w:val="17"/>
                <w:color w:val="003551"/>
              </w:rPr>
              <w:t>The Compensation Committee has retained a compensation</w:t>
            </w:r>
          </w:p>
        </w:tc>
      </w:tr>
      <w:tr>
        <w:trPr>
          <w:trHeight w:val="198"/>
        </w:trPr>
        <w:tc>
          <w:tcPr>
            <w:tcW w:w="2640" w:type="dxa"/>
            <w:vAlign w:val="bottom"/>
          </w:tcPr>
          <w:p>
            <w:pPr>
              <w:ind w:left="160"/>
              <w:spacing w:after="0"/>
              <w:rPr>
                <w:sz w:val="20"/>
                <w:szCs w:val="20"/>
                <w:color w:val="auto"/>
              </w:rPr>
            </w:pPr>
            <w:r>
              <w:rPr>
                <w:rFonts w:ascii="Arial" w:cs="Arial" w:eastAsia="Arial" w:hAnsi="Arial"/>
                <w:sz w:val="17"/>
                <w:szCs w:val="17"/>
                <w:b w:val="1"/>
                <w:bCs w:val="1"/>
                <w:color w:val="003551"/>
              </w:rPr>
              <w:t>Consultant</w:t>
            </w:r>
          </w:p>
        </w:tc>
        <w:tc>
          <w:tcPr>
            <w:tcW w:w="5600" w:type="dxa"/>
            <w:vAlign w:val="bottom"/>
          </w:tcPr>
          <w:p>
            <w:pPr>
              <w:ind w:left="200"/>
              <w:spacing w:after="0"/>
              <w:rPr>
                <w:sz w:val="20"/>
                <w:szCs w:val="20"/>
                <w:color w:val="auto"/>
              </w:rPr>
            </w:pPr>
            <w:r>
              <w:rPr>
                <w:rFonts w:ascii="Arial" w:cs="Arial" w:eastAsia="Arial" w:hAnsi="Arial"/>
                <w:sz w:val="17"/>
                <w:szCs w:val="17"/>
                <w:color w:val="003551"/>
              </w:rPr>
              <w:t>consultant whose relationship with IREN was confirmed to be</w:t>
            </w:r>
          </w:p>
        </w:tc>
      </w:tr>
      <w:tr>
        <w:trPr>
          <w:trHeight w:val="230"/>
        </w:trPr>
        <w:tc>
          <w:tcPr>
            <w:tcW w:w="2640" w:type="dxa"/>
            <w:vAlign w:val="bottom"/>
          </w:tcPr>
          <w:p>
            <w:pPr>
              <w:spacing w:after="0"/>
              <w:rPr>
                <w:sz w:val="20"/>
                <w:szCs w:val="20"/>
                <w:color w:val="auto"/>
              </w:rPr>
            </w:pPr>
          </w:p>
        </w:tc>
        <w:tc>
          <w:tcPr>
            <w:tcW w:w="5600" w:type="dxa"/>
            <w:vAlign w:val="bottom"/>
          </w:tcPr>
          <w:p>
            <w:pPr>
              <w:ind w:left="200"/>
              <w:spacing w:after="0"/>
              <w:rPr>
                <w:sz w:val="20"/>
                <w:szCs w:val="20"/>
                <w:color w:val="auto"/>
              </w:rPr>
            </w:pPr>
            <w:r>
              <w:rPr>
                <w:rFonts w:ascii="Arial" w:cs="Arial" w:eastAsia="Arial" w:hAnsi="Arial"/>
                <w:sz w:val="17"/>
                <w:szCs w:val="17"/>
                <w:color w:val="003551"/>
              </w:rPr>
              <w:t>independent for Fiscal 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-4451350</wp:posOffset>
            </wp:positionV>
            <wp:extent cx="522351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223510"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-3553460</wp:posOffset>
            </wp:positionV>
            <wp:extent cx="522351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223510"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-3028950</wp:posOffset>
            </wp:positionV>
            <wp:extent cx="522351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223510"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-1881505</wp:posOffset>
            </wp:positionV>
            <wp:extent cx="522351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223510"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-982980</wp:posOffset>
            </wp:positionV>
            <wp:extent cx="522351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223510"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-459105</wp:posOffset>
            </wp:positionV>
            <wp:extent cx="522351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223510" cy="825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163830</wp:posOffset>
            </wp:positionV>
            <wp:extent cx="540385" cy="6318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Compensation at Risk</w:t>
      </w:r>
    </w:p>
    <w:p>
      <w:pPr>
        <w:spacing w:after="0" w:line="41" w:lineRule="exact"/>
        <w:rPr>
          <w:sz w:val="20"/>
          <w:szCs w:val="20"/>
          <w:color w:val="auto"/>
        </w:rPr>
      </w:pPr>
    </w:p>
    <w:p>
      <w:pPr>
        <w:ind w:left="940" w:right="780"/>
        <w:spacing w:after="0" w:line="244" w:lineRule="auto"/>
        <w:rPr>
          <w:sz w:val="20"/>
          <w:szCs w:val="20"/>
          <w:color w:val="auto"/>
        </w:rPr>
      </w:pPr>
      <w:r>
        <w:rPr>
          <w:rFonts w:ascii="Arial" w:cs="Arial" w:eastAsia="Arial" w:hAnsi="Arial"/>
          <w:sz w:val="17"/>
          <w:szCs w:val="17"/>
          <w:color w:val="003551"/>
        </w:rPr>
        <w:t>The Compensation Committee believes that most of the compensation for our NEOs should be at risk and tied to a combination of short- and long-term IREN performance. The following charts show the percentage of the target total direct annual compensation for our NEOs, which is variable or at risk versus fixed with respect to Fiscal 2025. These charts exclude any one-time equity awards or modifications. At risk compensation includes the short-term annual cash bonus and both time-based and performance-based equity awards, while the only fixed component of pay is base salary. The charts also show that a significant portion of our NEOs’ annual equity compensation program is subject to performance-based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281305</wp:posOffset>
            </wp:positionV>
            <wp:extent cx="4915535" cy="15055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915535" cy="1505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 </w:t>
      </w:r>
    </w:p>
    <w:p>
      <w:pPr>
        <w:spacing w:after="0" w:line="2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Compensation Governance and Best Practices</w:t>
      </w:r>
    </w:p>
    <w:p>
      <w:pPr>
        <w:spacing w:after="0" w:line="41" w:lineRule="exact"/>
        <w:rPr>
          <w:sz w:val="20"/>
          <w:szCs w:val="20"/>
          <w:color w:val="auto"/>
        </w:rPr>
      </w:pPr>
    </w:p>
    <w:p>
      <w:pPr>
        <w:ind w:left="940" w:right="1040"/>
        <w:spacing w:after="0" w:line="263" w:lineRule="auto"/>
        <w:rPr>
          <w:sz w:val="20"/>
          <w:szCs w:val="20"/>
          <w:color w:val="auto"/>
        </w:rPr>
      </w:pPr>
      <w:r>
        <w:rPr>
          <w:rFonts w:ascii="Arial" w:cs="Arial" w:eastAsia="Arial" w:hAnsi="Arial"/>
          <w:sz w:val="17"/>
          <w:szCs w:val="17"/>
          <w:color w:val="003551"/>
        </w:rPr>
        <w:t>We are committed to having strong governance standards with respect to our compensation programs, procedures, and practices. Our key compensation practices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60960</wp:posOffset>
            </wp:positionV>
            <wp:extent cx="5223510" cy="996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223510" cy="99695"/>
                    </a:xfrm>
                    <a:prstGeom prst="rect">
                      <a:avLst/>
                    </a:prstGeom>
                    <a:noFill/>
                  </pic:spPr>
                </pic:pic>
              </a:graphicData>
            </a:graphic>
          </wp:anchor>
        </w:drawing>
      </w:r>
    </w:p>
    <w:p>
      <w:pPr>
        <w:spacing w:after="0" w:line="40" w:lineRule="exact"/>
        <w:rPr>
          <w:sz w:val="20"/>
          <w:szCs w:val="20"/>
          <w:color w:val="auto"/>
        </w:rPr>
      </w:pPr>
    </w:p>
    <w:p>
      <w:pPr>
        <w:ind w:left="940"/>
        <w:spacing w:after="0"/>
        <w:tabs>
          <w:tab w:leader="none" w:pos="5140" w:val="left"/>
        </w:tabs>
        <w:rPr>
          <w:sz w:val="20"/>
          <w:szCs w:val="20"/>
          <w:color w:val="auto"/>
        </w:rPr>
      </w:pPr>
      <w:r>
        <w:rPr>
          <w:sz w:val="1"/>
          <w:szCs w:val="1"/>
          <w:color w:val="auto"/>
        </w:rPr>
        <w:drawing>
          <wp:inline distT="0" distB="0" distL="0" distR="0">
            <wp:extent cx="66675" cy="29972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6675" cy="299720"/>
                    </a:xfrm>
                    <a:prstGeom prst="rect">
                      <a:avLst/>
                    </a:prstGeom>
                    <a:noFill/>
                    <a:ln>
                      <a:noFill/>
                    </a:ln>
                  </pic:spPr>
                </pic:pic>
              </a:graphicData>
            </a:graphic>
          </wp:inline>
        </w:drawing>
      </w:r>
      <w:r>
        <w:rPr>
          <w:rFonts w:ascii="Arial" w:cs="Arial" w:eastAsia="Arial" w:hAnsi="Arial"/>
          <w:sz w:val="17"/>
          <w:szCs w:val="17"/>
          <w:b w:val="1"/>
          <w:bCs w:val="1"/>
          <w:color w:val="003551"/>
        </w:rPr>
        <w:t xml:space="preserve"> What We Do</w:t>
      </w:r>
      <w:r>
        <w:rPr>
          <w:sz w:val="20"/>
          <w:szCs w:val="20"/>
          <w:color w:val="auto"/>
        </w:rPr>
        <w:tab/>
      </w:r>
      <w:r>
        <w:rPr>
          <w:rFonts w:ascii="Arial" w:cs="Arial" w:eastAsia="Arial" w:hAnsi="Arial"/>
          <w:sz w:val="17"/>
          <w:szCs w:val="17"/>
          <w:b w:val="1"/>
          <w:bCs w:val="1"/>
          <w:color w:val="003551"/>
        </w:rPr>
        <w:t>What We Do Not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-198755</wp:posOffset>
            </wp:positionV>
            <wp:extent cx="5223510" cy="1993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223510" cy="19939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sectPr>
      </w:pPr>
    </w:p>
    <w:p>
      <w:pPr>
        <w:spacing w:after="0" w:line="88" w:lineRule="exact"/>
        <w:rPr>
          <w:sz w:val="20"/>
          <w:szCs w:val="20"/>
          <w:color w:val="auto"/>
        </w:rPr>
      </w:pPr>
    </w:p>
    <w:p>
      <w:pPr>
        <w:ind w:left="1100"/>
        <w:spacing w:after="0"/>
        <w:rPr>
          <w:sz w:val="20"/>
          <w:szCs w:val="20"/>
          <w:color w:val="auto"/>
        </w:rPr>
      </w:pPr>
      <w:r>
        <w:rPr>
          <w:rFonts w:ascii="Arial" w:cs="Arial" w:eastAsia="Arial" w:hAnsi="Arial"/>
          <w:sz w:val="17"/>
          <w:szCs w:val="17"/>
          <w:color w:val="003551"/>
        </w:rPr>
        <w:t>Emphasis on pay for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202565</wp:posOffset>
            </wp:positionV>
            <wp:extent cx="25450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45080" cy="8255"/>
                    </a:xfrm>
                    <a:prstGeom prst="rect">
                      <a:avLst/>
                    </a:prstGeom>
                    <a:noFill/>
                  </pic:spPr>
                </pic:pic>
              </a:graphicData>
            </a:graphic>
          </wp:anchor>
        </w:drawing>
      </w:r>
    </w:p>
    <w:p>
      <w:pPr>
        <w:spacing w:after="0" w:line="400" w:lineRule="exact"/>
        <w:rPr>
          <w:sz w:val="20"/>
          <w:szCs w:val="20"/>
          <w:color w:val="auto"/>
        </w:rPr>
      </w:pPr>
    </w:p>
    <w:p>
      <w:pPr>
        <w:ind w:left="1100"/>
        <w:spacing w:after="0" w:line="283" w:lineRule="auto"/>
        <w:rPr>
          <w:sz w:val="20"/>
          <w:szCs w:val="20"/>
          <w:color w:val="auto"/>
        </w:rPr>
      </w:pPr>
      <w:r>
        <w:rPr>
          <w:rFonts w:ascii="Arial" w:cs="Arial" w:eastAsia="Arial" w:hAnsi="Arial"/>
          <w:sz w:val="17"/>
          <w:szCs w:val="17"/>
          <w:color w:val="003551"/>
        </w:rPr>
        <w:t>Significant portion of executive compensation at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34290</wp:posOffset>
            </wp:positionV>
            <wp:extent cx="25450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45080" cy="8255"/>
                    </a:xfrm>
                    <a:prstGeom prst="rect">
                      <a:avLst/>
                    </a:prstGeom>
                    <a:noFill/>
                  </pic:spPr>
                </pic:pic>
              </a:graphicData>
            </a:graphic>
          </wp:anchor>
        </w:drawing>
      </w:r>
    </w:p>
    <w:p>
      <w:pPr>
        <w:spacing w:after="0" w:line="135" w:lineRule="exact"/>
        <w:rPr>
          <w:sz w:val="20"/>
          <w:szCs w:val="20"/>
          <w:color w:val="auto"/>
        </w:rPr>
      </w:pPr>
    </w:p>
    <w:p>
      <w:pPr>
        <w:ind w:left="1100" w:right="120"/>
        <w:spacing w:after="0" w:line="262" w:lineRule="auto"/>
        <w:rPr>
          <w:sz w:val="20"/>
          <w:szCs w:val="20"/>
          <w:color w:val="auto"/>
        </w:rPr>
      </w:pPr>
      <w:r>
        <w:rPr>
          <w:rFonts w:ascii="Arial" w:cs="Arial" w:eastAsia="Arial" w:hAnsi="Arial"/>
          <w:sz w:val="17"/>
          <w:szCs w:val="17"/>
          <w:color w:val="003551"/>
        </w:rPr>
        <w:t>Engagement of an independent compensation consultant to advise our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45085</wp:posOffset>
            </wp:positionV>
            <wp:extent cx="25450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45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right="1140"/>
        <w:spacing w:after="0" w:line="283" w:lineRule="auto"/>
        <w:rPr>
          <w:sz w:val="20"/>
          <w:szCs w:val="20"/>
          <w:color w:val="auto"/>
        </w:rPr>
      </w:pPr>
      <w:r>
        <w:rPr>
          <w:rFonts w:ascii="Arial" w:cs="Arial" w:eastAsia="Arial" w:hAnsi="Arial"/>
          <w:sz w:val="17"/>
          <w:szCs w:val="17"/>
          <w:color w:val="003551"/>
        </w:rPr>
        <w:t>No excise tax gross up payments to any of our executive officers upon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34290</wp:posOffset>
            </wp:positionV>
            <wp:extent cx="267843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678430" cy="8255"/>
                    </a:xfrm>
                    <a:prstGeom prst="rect">
                      <a:avLst/>
                    </a:prstGeom>
                    <a:noFill/>
                  </pic:spPr>
                </pic:pic>
              </a:graphicData>
            </a:graphic>
          </wp:anchor>
        </w:drawing>
      </w:r>
    </w:p>
    <w:p>
      <w:pPr>
        <w:spacing w:after="0" w:line="135" w:lineRule="exact"/>
        <w:rPr>
          <w:sz w:val="20"/>
          <w:szCs w:val="20"/>
          <w:color w:val="auto"/>
        </w:rPr>
      </w:pPr>
    </w:p>
    <w:p>
      <w:pPr>
        <w:ind w:right="880"/>
        <w:spacing w:after="0" w:line="283" w:lineRule="auto"/>
        <w:rPr>
          <w:sz w:val="20"/>
          <w:szCs w:val="20"/>
          <w:color w:val="auto"/>
        </w:rPr>
      </w:pPr>
      <w:r>
        <w:rPr>
          <w:rFonts w:ascii="Arial" w:cs="Arial" w:eastAsia="Arial" w:hAnsi="Arial"/>
          <w:sz w:val="17"/>
          <w:szCs w:val="17"/>
          <w:color w:val="003551"/>
        </w:rPr>
        <w:t>No compensatory plans that encourage excessive risk 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34290</wp:posOffset>
            </wp:positionV>
            <wp:extent cx="267843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678430" cy="825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003551"/>
        </w:rPr>
        <w:t>No material executive perquisites 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327660</wp:posOffset>
            </wp:positionV>
            <wp:extent cx="267843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678430" cy="8255"/>
                    </a:xfrm>
                    <a:prstGeom prst="rect">
                      <a:avLst/>
                    </a:prstGeom>
                    <a:noFill/>
                  </pic:spPr>
                </pic:pic>
              </a:graphicData>
            </a:graphic>
          </wp:anchor>
        </w:drawing>
      </w:r>
    </w:p>
    <w:p>
      <w:pPr>
        <w:spacing w:after="0" w:line="616" w:lineRule="exact"/>
        <w:rPr>
          <w:sz w:val="20"/>
          <w:szCs w:val="20"/>
          <w:color w:val="auto"/>
        </w:rPr>
      </w:pPr>
    </w:p>
    <w:p>
      <w:pPr>
        <w:sectPr>
          <w:pgSz w:w="11900" w:h="16838" w:orient="portrait"/>
          <w:cols w:equalWidth="0" w:num="2">
            <w:col w:w="4800" w:space="360"/>
            <w:col w:w="4740"/>
          </w:cols>
          <w:pgMar w:left="740" w:top="115" w:right="1259" w:bottom="1440" w:gutter="0" w:footer="0" w:header="0"/>
          <w:type w:val="continuous"/>
        </w:sectPr>
      </w:pPr>
    </w:p>
    <w:p>
      <w:pPr>
        <w:ind w:left="1100"/>
        <w:spacing w:after="0" w:line="283" w:lineRule="auto"/>
        <w:rPr>
          <w:sz w:val="20"/>
          <w:szCs w:val="20"/>
          <w:color w:val="auto"/>
        </w:rPr>
      </w:pPr>
      <w:r>
        <w:rPr>
          <w:rFonts w:ascii="Arial" w:cs="Arial" w:eastAsia="Arial" w:hAnsi="Arial"/>
          <w:sz w:val="17"/>
          <w:szCs w:val="17"/>
          <w:color w:val="003551"/>
        </w:rPr>
        <w:t>Use of an industry-specific and size-appropriate peer group for benchmarking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283845</wp:posOffset>
            </wp:positionV>
            <wp:extent cx="25450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45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400"/>
        <w:spacing w:after="0" w:line="255" w:lineRule="auto"/>
        <w:rPr>
          <w:sz w:val="20"/>
          <w:szCs w:val="20"/>
          <w:color w:val="auto"/>
        </w:rPr>
      </w:pPr>
      <w:r>
        <w:rPr>
          <w:rFonts w:ascii="Arial" w:cs="Arial" w:eastAsia="Arial" w:hAnsi="Arial"/>
          <w:sz w:val="17"/>
          <w:szCs w:val="17"/>
          <w:color w:val="003551"/>
        </w:rPr>
        <w:t>No defined benefit pension arrangements, retirement plans, or nonqualified deferred compensation plan or arrangements for our executives, including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48895</wp:posOffset>
            </wp:positionV>
            <wp:extent cx="267843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678430" cy="8255"/>
                    </a:xfrm>
                    <a:prstGeom prst="rect">
                      <a:avLst/>
                    </a:prstGeom>
                    <a:noFill/>
                  </pic:spPr>
                </pic:pic>
              </a:graphicData>
            </a:graphic>
          </wp:anchor>
        </w:drawing>
      </w:r>
    </w:p>
    <w:p>
      <w:pPr>
        <w:spacing w:after="0" w:line="178" w:lineRule="exact"/>
        <w:rPr>
          <w:sz w:val="20"/>
          <w:szCs w:val="20"/>
          <w:color w:val="auto"/>
        </w:rPr>
      </w:pPr>
    </w:p>
    <w:p>
      <w:pPr>
        <w:sectPr>
          <w:pgSz w:w="11900" w:h="16838" w:orient="portrait"/>
          <w:cols w:equalWidth="0" w:num="2">
            <w:col w:w="4780" w:space="380"/>
            <w:col w:w="4740"/>
          </w:cols>
          <w:pgMar w:left="740" w:top="115" w:right="1259" w:bottom="1440" w:gutter="0" w:footer="0" w:header="0"/>
          <w:type w:val="continuous"/>
        </w:sectPr>
      </w:pPr>
    </w:p>
    <w:p>
      <w:pPr>
        <w:ind w:left="1100"/>
        <w:spacing w:after="0"/>
        <w:tabs>
          <w:tab w:leader="none" w:pos="5140" w:val="left"/>
        </w:tabs>
        <w:rPr>
          <w:sz w:val="20"/>
          <w:szCs w:val="20"/>
          <w:color w:val="auto"/>
        </w:rPr>
      </w:pPr>
      <w:r>
        <w:rPr>
          <w:rFonts w:ascii="Arial" w:cs="Arial" w:eastAsia="Arial" w:hAnsi="Arial"/>
          <w:sz w:val="17"/>
          <w:szCs w:val="17"/>
          <w:color w:val="003551"/>
        </w:rPr>
        <w:t>Emphasis on the use of equity compensation to</w:t>
      </w:r>
      <w:r>
        <w:rPr>
          <w:sz w:val="20"/>
          <w:szCs w:val="20"/>
          <w:color w:val="auto"/>
        </w:rPr>
        <w:tab/>
      </w:r>
      <w:r>
        <w:rPr>
          <w:rFonts w:ascii="Arial" w:cs="Arial" w:eastAsia="Arial" w:hAnsi="Arial"/>
          <w:sz w:val="17"/>
          <w:szCs w:val="17"/>
          <w:color w:val="003551"/>
        </w:rPr>
        <w:t>No repricing of stock options</w:t>
      </w:r>
    </w:p>
    <w:p>
      <w:pPr>
        <w:spacing w:after="0" w:line="17" w:lineRule="exact"/>
        <w:rPr>
          <w:sz w:val="20"/>
          <w:szCs w:val="20"/>
          <w:color w:val="auto"/>
        </w:rPr>
      </w:pPr>
    </w:p>
    <w:p>
      <w:pPr>
        <w:ind w:left="1100"/>
        <w:spacing w:after="0"/>
        <w:rPr>
          <w:sz w:val="20"/>
          <w:szCs w:val="20"/>
          <w:color w:val="auto"/>
        </w:rPr>
      </w:pPr>
      <w:r>
        <w:rPr>
          <w:rFonts w:ascii="Arial" w:cs="Arial" w:eastAsia="Arial" w:hAnsi="Arial"/>
          <w:sz w:val="17"/>
          <w:szCs w:val="17"/>
          <w:color w:val="003551"/>
        </w:rPr>
        <w:t>reward long-term value creation and promote</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7"/>
          <w:szCs w:val="17"/>
          <w:color w:val="003551"/>
        </w:rPr>
        <w:t>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67945</wp:posOffset>
            </wp:positionV>
            <wp:extent cx="522351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223510" cy="8255"/>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type w:val="continuous"/>
        </w:sectPr>
      </w:pPr>
    </w:p>
    <w:p>
      <w:pPr>
        <w:spacing w:after="0" w:line="206" w:lineRule="exact"/>
        <w:rPr>
          <w:sz w:val="20"/>
          <w:szCs w:val="20"/>
          <w:color w:val="auto"/>
        </w:rPr>
      </w:pPr>
    </w:p>
    <w:p>
      <w:pPr>
        <w:ind w:left="1100"/>
        <w:spacing w:after="0" w:line="256" w:lineRule="auto"/>
        <w:rPr>
          <w:sz w:val="20"/>
          <w:szCs w:val="20"/>
          <w:color w:val="auto"/>
        </w:rPr>
      </w:pPr>
      <w:r>
        <w:rPr>
          <w:rFonts w:ascii="Arial" w:cs="Arial" w:eastAsia="Arial" w:hAnsi="Arial"/>
          <w:sz w:val="17"/>
          <w:szCs w:val="17"/>
          <w:color w:val="003551"/>
        </w:rPr>
        <w:t>Maintain an insider trading policy (the “</w:t>
      </w:r>
      <w:r>
        <w:rPr>
          <w:rFonts w:ascii="Arial" w:cs="Arial" w:eastAsia="Arial" w:hAnsi="Arial"/>
          <w:sz w:val="17"/>
          <w:szCs w:val="17"/>
          <w:b w:val="1"/>
          <w:bCs w:val="1"/>
          <w:color w:val="003551"/>
        </w:rPr>
        <w:t>Insider</w:t>
      </w:r>
      <w:r>
        <w:rPr>
          <w:rFonts w:ascii="Arial" w:cs="Arial" w:eastAsia="Arial" w:hAnsi="Arial"/>
          <w:sz w:val="17"/>
          <w:szCs w:val="17"/>
          <w:color w:val="003551"/>
        </w:rPr>
        <w:t xml:space="preserve"> </w:t>
      </w:r>
      <w:r>
        <w:rPr>
          <w:rFonts w:ascii="Arial" w:cs="Arial" w:eastAsia="Arial" w:hAnsi="Arial"/>
          <w:sz w:val="17"/>
          <w:szCs w:val="17"/>
          <w:b w:val="1"/>
          <w:bCs w:val="1"/>
          <w:color w:val="003551"/>
        </w:rPr>
        <w:t>Trading Policy</w:t>
      </w:r>
      <w:r>
        <w:rPr>
          <w:rFonts w:ascii="Arial" w:cs="Arial" w:eastAsia="Arial" w:hAnsi="Arial"/>
          <w:sz w:val="17"/>
          <w:szCs w:val="17"/>
          <w:color w:val="003551"/>
        </w:rPr>
        <w:t>”), which governs the purchase,</w:t>
      </w:r>
      <w:r>
        <w:rPr>
          <w:rFonts w:ascii="Arial" w:cs="Arial" w:eastAsia="Arial" w:hAnsi="Arial"/>
          <w:sz w:val="17"/>
          <w:szCs w:val="17"/>
          <w:b w:val="1"/>
          <w:bCs w:val="1"/>
          <w:color w:val="003551"/>
        </w:rPr>
        <w:t xml:space="preserve"> </w:t>
      </w:r>
      <w:r>
        <w:rPr>
          <w:rFonts w:ascii="Arial" w:cs="Arial" w:eastAsia="Arial" w:hAnsi="Arial"/>
          <w:sz w:val="17"/>
          <w:szCs w:val="17"/>
          <w:color w:val="003551"/>
        </w:rPr>
        <w:t>sale and other dispositions of IREN securities by our employees, including our NEOs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48260</wp:posOffset>
            </wp:positionV>
            <wp:extent cx="26117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611755" cy="8255"/>
                    </a:xfrm>
                    <a:prstGeom prst="rect">
                      <a:avLst/>
                    </a:prstGeom>
                    <a:noFill/>
                  </pic:spPr>
                </pic:pic>
              </a:graphicData>
            </a:graphic>
          </wp:anchor>
        </w:drawing>
      </w:r>
    </w:p>
    <w:p>
      <w:pPr>
        <w:spacing w:after="0" w:line="157" w:lineRule="exact"/>
        <w:rPr>
          <w:sz w:val="20"/>
          <w:szCs w:val="20"/>
          <w:color w:val="auto"/>
        </w:rPr>
      </w:pPr>
    </w:p>
    <w:p>
      <w:pPr>
        <w:ind w:left="1100"/>
        <w:spacing w:after="0"/>
        <w:rPr>
          <w:sz w:val="20"/>
          <w:szCs w:val="20"/>
          <w:color w:val="auto"/>
        </w:rPr>
      </w:pPr>
      <w:r>
        <w:rPr>
          <w:rFonts w:ascii="Arial" w:cs="Arial" w:eastAsia="Arial" w:hAnsi="Arial"/>
          <w:sz w:val="17"/>
          <w:szCs w:val="17"/>
          <w:color w:val="003551"/>
        </w:rPr>
        <w:t>Risk assessment of compensation programs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840"/>
        <w:spacing w:after="0" w:line="262" w:lineRule="auto"/>
        <w:rPr>
          <w:sz w:val="20"/>
          <w:szCs w:val="20"/>
          <w:color w:val="auto"/>
        </w:rPr>
      </w:pPr>
      <w:r>
        <w:rPr>
          <w:rFonts w:ascii="Arial" w:cs="Arial" w:eastAsia="Arial" w:hAnsi="Arial"/>
          <w:sz w:val="17"/>
          <w:szCs w:val="17"/>
          <w:color w:val="003551"/>
        </w:rPr>
        <w:t>No timing of grant dates of any equity awards in coordination with our release of material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169545</wp:posOffset>
            </wp:positionV>
            <wp:extent cx="26117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611755" cy="8255"/>
                    </a:xfrm>
                    <a:prstGeom prst="rect">
                      <a:avLst/>
                    </a:prstGeom>
                    <a:noFill/>
                  </pic:spPr>
                </pic:pic>
              </a:graphicData>
            </a:graphic>
          </wp:anchor>
        </w:drawing>
      </w:r>
    </w:p>
    <w:p>
      <w:pPr>
        <w:spacing w:after="0" w:line="348" w:lineRule="exact"/>
        <w:rPr>
          <w:sz w:val="20"/>
          <w:szCs w:val="20"/>
          <w:color w:val="auto"/>
        </w:rPr>
      </w:pPr>
    </w:p>
    <w:p>
      <w:pPr>
        <w:ind w:right="1560"/>
        <w:spacing w:after="0" w:line="283" w:lineRule="auto"/>
        <w:rPr>
          <w:sz w:val="20"/>
          <w:szCs w:val="20"/>
          <w:color w:val="auto"/>
        </w:rPr>
      </w:pPr>
      <w:r>
        <w:rPr>
          <w:rFonts w:ascii="Arial" w:cs="Arial" w:eastAsia="Arial" w:hAnsi="Arial"/>
          <w:sz w:val="17"/>
          <w:szCs w:val="17"/>
          <w:color w:val="003551"/>
        </w:rPr>
        <w:t>No employment agreements for Co-Chief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2789555</wp:posOffset>
            </wp:positionH>
            <wp:positionV relativeFrom="paragraph">
              <wp:posOffset>142240</wp:posOffset>
            </wp:positionV>
            <wp:extent cx="540385" cy="6318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260"/>
            <w:col w:w="4740"/>
          </w:cols>
          <w:pgMar w:left="740" w:top="115"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9700"/>
        <w:spacing w:after="0"/>
        <w:rPr>
          <w:sz w:val="20"/>
          <w:szCs w:val="20"/>
          <w:color w:val="auto"/>
        </w:rPr>
      </w:pPr>
      <w:r>
        <w:rPr>
          <w:rFonts w:ascii="Arial" w:cs="Arial" w:eastAsia="Arial" w:hAnsi="Arial"/>
          <w:sz w:val="17"/>
          <w:szCs w:val="17"/>
          <w:b w:val="1"/>
          <w:bCs w:val="1"/>
          <w:color w:val="FFFFFF"/>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Our Compensation Philosophy</w:t>
      </w:r>
    </w:p>
    <w:p>
      <w:pPr>
        <w:spacing w:after="0" w:line="41" w:lineRule="exact"/>
        <w:rPr>
          <w:sz w:val="20"/>
          <w:szCs w:val="20"/>
          <w:color w:val="auto"/>
        </w:rPr>
      </w:pPr>
    </w:p>
    <w:p>
      <w:pPr>
        <w:ind w:left="940" w:right="1160"/>
        <w:spacing w:after="0" w:line="248" w:lineRule="auto"/>
        <w:rPr>
          <w:sz w:val="20"/>
          <w:szCs w:val="20"/>
          <w:color w:val="auto"/>
        </w:rPr>
      </w:pPr>
      <w:r>
        <w:rPr>
          <w:rFonts w:ascii="Arial" w:cs="Arial" w:eastAsia="Arial" w:hAnsi="Arial"/>
          <w:sz w:val="17"/>
          <w:szCs w:val="17"/>
          <w:color w:val="003551"/>
        </w:rPr>
        <w:t>Our executive compensation programs are designed to attract, motivate and retain the talent that can deliver strong returns on shareholder investments through a highly motivated culture focused on innovation, operational excellence and continued growth. The following principles help guide us in designing our pay programs toward this end:</w:t>
      </w:r>
    </w:p>
    <w:p>
      <w:pPr>
        <w:spacing w:after="0" w:line="106" w:lineRule="exact"/>
        <w:rPr>
          <w:sz w:val="20"/>
          <w:szCs w:val="20"/>
          <w:color w:val="auto"/>
        </w:rPr>
      </w:pPr>
    </w:p>
    <w:p>
      <w:pPr>
        <w:ind w:left="1280" w:right="860" w:hanging="337"/>
        <w:spacing w:after="0" w:line="283" w:lineRule="auto"/>
        <w:tabs>
          <w:tab w:leader="none" w:pos="1280" w:val="left"/>
        </w:tabs>
        <w:numPr>
          <w:ilvl w:val="0"/>
          <w:numId w:val="16"/>
        </w:numPr>
        <w:rPr>
          <w:rFonts w:ascii="Arial" w:cs="Arial" w:eastAsia="Arial" w:hAnsi="Arial"/>
          <w:sz w:val="17"/>
          <w:szCs w:val="17"/>
          <w:color w:val="003551"/>
        </w:rPr>
      </w:pPr>
      <w:r>
        <w:rPr>
          <w:rFonts w:ascii="Arial" w:cs="Arial" w:eastAsia="Arial" w:hAnsi="Arial"/>
          <w:sz w:val="17"/>
          <w:szCs w:val="17"/>
          <w:color w:val="003551"/>
        </w:rPr>
        <w:t>attract, retain and motivate high-caliber executive officers by providing a total compensation program that takes into consideration competitive market requirements and strategic business needs;</w:t>
      </w:r>
    </w:p>
    <w:p>
      <w:pPr>
        <w:spacing w:after="0" w:line="62" w:lineRule="exact"/>
        <w:rPr>
          <w:rFonts w:ascii="Arial" w:cs="Arial" w:eastAsia="Arial" w:hAnsi="Arial"/>
          <w:sz w:val="17"/>
          <w:szCs w:val="17"/>
          <w:color w:val="003551"/>
        </w:rPr>
      </w:pPr>
    </w:p>
    <w:p>
      <w:pPr>
        <w:ind w:left="1280" w:hanging="337"/>
        <w:spacing w:after="0"/>
        <w:tabs>
          <w:tab w:leader="none" w:pos="1280" w:val="left"/>
        </w:tabs>
        <w:numPr>
          <w:ilvl w:val="0"/>
          <w:numId w:val="16"/>
        </w:numPr>
        <w:rPr>
          <w:rFonts w:ascii="Arial" w:cs="Arial" w:eastAsia="Arial" w:hAnsi="Arial"/>
          <w:sz w:val="17"/>
          <w:szCs w:val="17"/>
          <w:color w:val="003551"/>
        </w:rPr>
      </w:pPr>
      <w:r>
        <w:rPr>
          <w:rFonts w:ascii="Arial" w:cs="Arial" w:eastAsia="Arial" w:hAnsi="Arial"/>
          <w:sz w:val="17"/>
          <w:szCs w:val="17"/>
          <w:color w:val="003551"/>
        </w:rPr>
        <w:t>motivate and reward executives to drive and achieve IREN’s goal of increasing shareholder value;</w:t>
      </w:r>
    </w:p>
    <w:p>
      <w:pPr>
        <w:spacing w:after="0" w:line="145" w:lineRule="exact"/>
        <w:rPr>
          <w:rFonts w:ascii="Arial" w:cs="Arial" w:eastAsia="Arial" w:hAnsi="Arial"/>
          <w:sz w:val="17"/>
          <w:szCs w:val="17"/>
          <w:color w:val="003551"/>
        </w:rPr>
      </w:pPr>
    </w:p>
    <w:p>
      <w:pPr>
        <w:ind w:left="1280" w:right="960" w:hanging="337"/>
        <w:spacing w:after="0" w:line="262" w:lineRule="auto"/>
        <w:tabs>
          <w:tab w:leader="none" w:pos="1280" w:val="left"/>
        </w:tabs>
        <w:numPr>
          <w:ilvl w:val="0"/>
          <w:numId w:val="16"/>
        </w:numPr>
        <w:rPr>
          <w:rFonts w:ascii="Arial" w:cs="Arial" w:eastAsia="Arial" w:hAnsi="Arial"/>
          <w:sz w:val="17"/>
          <w:szCs w:val="17"/>
          <w:color w:val="003551"/>
        </w:rPr>
      </w:pPr>
      <w:r>
        <w:rPr>
          <w:rFonts w:ascii="Arial" w:cs="Arial" w:eastAsia="Arial" w:hAnsi="Arial"/>
          <w:sz w:val="17"/>
          <w:szCs w:val="17"/>
          <w:color w:val="003551"/>
        </w:rPr>
        <w:t>align total compensation levels with those paid by industry leaders of comparable financial size and complexity, including an industry-specific and size-appropriate peer group for benchmarking compensation;</w:t>
      </w:r>
    </w:p>
    <w:p>
      <w:pPr>
        <w:spacing w:after="0" w:line="93" w:lineRule="exact"/>
        <w:rPr>
          <w:rFonts w:ascii="Arial" w:cs="Arial" w:eastAsia="Arial" w:hAnsi="Arial"/>
          <w:sz w:val="17"/>
          <w:szCs w:val="17"/>
          <w:color w:val="003551"/>
        </w:rPr>
      </w:pPr>
    </w:p>
    <w:p>
      <w:pPr>
        <w:ind w:left="1280" w:right="800" w:hanging="337"/>
        <w:spacing w:after="0" w:line="283" w:lineRule="auto"/>
        <w:tabs>
          <w:tab w:leader="none" w:pos="1280" w:val="left"/>
        </w:tabs>
        <w:numPr>
          <w:ilvl w:val="0"/>
          <w:numId w:val="16"/>
        </w:numPr>
        <w:rPr>
          <w:rFonts w:ascii="Arial" w:cs="Arial" w:eastAsia="Arial" w:hAnsi="Arial"/>
          <w:sz w:val="17"/>
          <w:szCs w:val="17"/>
          <w:color w:val="003551"/>
        </w:rPr>
      </w:pPr>
      <w:r>
        <w:rPr>
          <w:rFonts w:ascii="Arial" w:cs="Arial" w:eastAsia="Arial" w:hAnsi="Arial"/>
          <w:sz w:val="17"/>
          <w:szCs w:val="17"/>
          <w:color w:val="003551"/>
        </w:rPr>
        <w:t>position target total compensation opportunity to align with the financial positioning of IREN relative to the Compensation Peer Group (as defined in the section below); and</w:t>
      </w:r>
    </w:p>
    <w:p>
      <w:pPr>
        <w:spacing w:after="0" w:line="62" w:lineRule="exact"/>
        <w:rPr>
          <w:rFonts w:ascii="Arial" w:cs="Arial" w:eastAsia="Arial" w:hAnsi="Arial"/>
          <w:sz w:val="17"/>
          <w:szCs w:val="17"/>
          <w:color w:val="003551"/>
        </w:rPr>
      </w:pPr>
    </w:p>
    <w:p>
      <w:pPr>
        <w:ind w:left="1280" w:right="1120" w:hanging="337"/>
        <w:spacing w:after="0" w:line="283" w:lineRule="auto"/>
        <w:tabs>
          <w:tab w:leader="none" w:pos="1280" w:val="left"/>
        </w:tabs>
        <w:numPr>
          <w:ilvl w:val="0"/>
          <w:numId w:val="16"/>
        </w:numPr>
        <w:rPr>
          <w:rFonts w:ascii="Arial" w:cs="Arial" w:eastAsia="Arial" w:hAnsi="Arial"/>
          <w:sz w:val="17"/>
          <w:szCs w:val="17"/>
          <w:color w:val="003551"/>
        </w:rPr>
      </w:pPr>
      <w:r>
        <w:rPr>
          <w:rFonts w:ascii="Arial" w:cs="Arial" w:eastAsia="Arial" w:hAnsi="Arial"/>
          <w:sz w:val="17"/>
          <w:szCs w:val="17"/>
          <w:color w:val="003551"/>
        </w:rPr>
        <w:t>allocate incentives for the achievement of short-term and long-term objectives, without motivating executives to take excessive risk.</w:t>
      </w:r>
    </w:p>
    <w:p>
      <w:pPr>
        <w:spacing w:after="0" w:line="17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Compensation Processes</w:t>
      </w:r>
    </w:p>
    <w:p>
      <w:pPr>
        <w:spacing w:after="0" w:line="159"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Role of Compensation Committee</w:t>
      </w:r>
    </w:p>
    <w:p>
      <w:pPr>
        <w:spacing w:after="0" w:line="15" w:lineRule="exact"/>
        <w:rPr>
          <w:sz w:val="20"/>
          <w:szCs w:val="20"/>
          <w:color w:val="auto"/>
        </w:rPr>
      </w:pPr>
    </w:p>
    <w:p>
      <w:pPr>
        <w:ind w:left="940" w:right="1000"/>
        <w:spacing w:after="0" w:line="248" w:lineRule="auto"/>
        <w:rPr>
          <w:sz w:val="20"/>
          <w:szCs w:val="20"/>
          <w:color w:val="auto"/>
        </w:rPr>
      </w:pPr>
      <w:r>
        <w:rPr>
          <w:rFonts w:ascii="Arial" w:cs="Arial" w:eastAsia="Arial" w:hAnsi="Arial"/>
          <w:sz w:val="17"/>
          <w:szCs w:val="17"/>
          <w:color w:val="003551"/>
        </w:rPr>
        <w:t>The Compensation Committee, which is comprised entirely of independent directors, is responsible for implementing, monitoring and evaluating our overall compensation philosophy and oversees the compensation program for our NEOs and non-employee directors. More specifically, our Compensation Committee is responsible for:</w:t>
      </w:r>
    </w:p>
    <w:p>
      <w:pPr>
        <w:spacing w:after="0" w:line="106" w:lineRule="exact"/>
        <w:rPr>
          <w:sz w:val="20"/>
          <w:szCs w:val="20"/>
          <w:color w:val="auto"/>
        </w:rPr>
      </w:pPr>
    </w:p>
    <w:p>
      <w:pPr>
        <w:ind w:left="1280" w:right="1240" w:hanging="337"/>
        <w:spacing w:after="0" w:line="283" w:lineRule="auto"/>
        <w:tabs>
          <w:tab w:leader="none" w:pos="1280" w:val="left"/>
        </w:tabs>
        <w:numPr>
          <w:ilvl w:val="0"/>
          <w:numId w:val="17"/>
        </w:numPr>
        <w:rPr>
          <w:rFonts w:ascii="Arial" w:cs="Arial" w:eastAsia="Arial" w:hAnsi="Arial"/>
          <w:sz w:val="17"/>
          <w:szCs w:val="17"/>
          <w:color w:val="003551"/>
        </w:rPr>
      </w:pPr>
      <w:r>
        <w:rPr>
          <w:rFonts w:ascii="Arial" w:cs="Arial" w:eastAsia="Arial" w:hAnsi="Arial"/>
          <w:sz w:val="17"/>
          <w:szCs w:val="17"/>
          <w:color w:val="003551"/>
        </w:rPr>
        <w:t>annually reviewing and recommending for Board approval the corporate goals and performance objectives relevant to Co-Chief Executive Officers and leadership compensation;</w:t>
      </w:r>
    </w:p>
    <w:p>
      <w:pPr>
        <w:spacing w:after="0" w:line="76" w:lineRule="exact"/>
        <w:rPr>
          <w:rFonts w:ascii="Arial" w:cs="Arial" w:eastAsia="Arial" w:hAnsi="Arial"/>
          <w:sz w:val="17"/>
          <w:szCs w:val="17"/>
          <w:color w:val="003551"/>
        </w:rPr>
      </w:pPr>
    </w:p>
    <w:p>
      <w:pPr>
        <w:ind w:left="1280" w:right="1040" w:hanging="337"/>
        <w:spacing w:after="0" w:line="283" w:lineRule="auto"/>
        <w:tabs>
          <w:tab w:leader="none" w:pos="1280" w:val="left"/>
        </w:tabs>
        <w:numPr>
          <w:ilvl w:val="0"/>
          <w:numId w:val="17"/>
        </w:numPr>
        <w:rPr>
          <w:rFonts w:ascii="Arial" w:cs="Arial" w:eastAsia="Arial" w:hAnsi="Arial"/>
          <w:sz w:val="17"/>
          <w:szCs w:val="17"/>
          <w:color w:val="003551"/>
        </w:rPr>
      </w:pPr>
      <w:r>
        <w:rPr>
          <w:rFonts w:ascii="Arial" w:cs="Arial" w:eastAsia="Arial" w:hAnsi="Arial"/>
          <w:sz w:val="17"/>
          <w:szCs w:val="17"/>
          <w:color w:val="003551"/>
        </w:rPr>
        <w:t>annually reviewing and recommending to the Board all elements of compensation for the Co-Chief Executive Officers and leadership team, including salary, bonus, equity and perquisites;</w:t>
      </w:r>
    </w:p>
    <w:p>
      <w:pPr>
        <w:spacing w:after="0" w:line="62" w:lineRule="exact"/>
        <w:rPr>
          <w:rFonts w:ascii="Arial" w:cs="Arial" w:eastAsia="Arial" w:hAnsi="Arial"/>
          <w:sz w:val="17"/>
          <w:szCs w:val="17"/>
          <w:color w:val="003551"/>
        </w:rPr>
      </w:pPr>
    </w:p>
    <w:p>
      <w:pPr>
        <w:ind w:left="1280" w:hanging="337"/>
        <w:spacing w:after="0"/>
        <w:tabs>
          <w:tab w:leader="none" w:pos="1280" w:val="left"/>
        </w:tabs>
        <w:numPr>
          <w:ilvl w:val="0"/>
          <w:numId w:val="17"/>
        </w:numPr>
        <w:rPr>
          <w:rFonts w:ascii="Arial" w:cs="Arial" w:eastAsia="Arial" w:hAnsi="Arial"/>
          <w:sz w:val="17"/>
          <w:szCs w:val="17"/>
          <w:color w:val="003551"/>
        </w:rPr>
      </w:pPr>
      <w:r>
        <w:rPr>
          <w:rFonts w:ascii="Arial" w:cs="Arial" w:eastAsia="Arial" w:hAnsi="Arial"/>
          <w:sz w:val="17"/>
          <w:szCs w:val="17"/>
          <w:color w:val="003551"/>
        </w:rPr>
        <w:t>annually reviewing and recommending to the Board the compensation of non-executive directors;</w:t>
      </w:r>
    </w:p>
    <w:p>
      <w:pPr>
        <w:spacing w:after="0" w:line="145" w:lineRule="exact"/>
        <w:rPr>
          <w:rFonts w:ascii="Arial" w:cs="Arial" w:eastAsia="Arial" w:hAnsi="Arial"/>
          <w:sz w:val="17"/>
          <w:szCs w:val="17"/>
          <w:color w:val="003551"/>
        </w:rPr>
      </w:pPr>
    </w:p>
    <w:p>
      <w:pPr>
        <w:ind w:left="1280" w:right="780" w:hanging="337"/>
        <w:spacing w:after="0" w:line="283" w:lineRule="auto"/>
        <w:tabs>
          <w:tab w:leader="none" w:pos="1280" w:val="left"/>
        </w:tabs>
        <w:numPr>
          <w:ilvl w:val="0"/>
          <w:numId w:val="17"/>
        </w:numPr>
        <w:rPr>
          <w:rFonts w:ascii="Arial" w:cs="Arial" w:eastAsia="Arial" w:hAnsi="Arial"/>
          <w:sz w:val="17"/>
          <w:szCs w:val="17"/>
          <w:color w:val="003551"/>
        </w:rPr>
      </w:pPr>
      <w:r>
        <w:rPr>
          <w:rFonts w:ascii="Arial" w:cs="Arial" w:eastAsia="Arial" w:hAnsi="Arial"/>
          <w:sz w:val="17"/>
          <w:szCs w:val="17"/>
          <w:color w:val="003551"/>
        </w:rPr>
        <w:t>annually reviewing and recommending to the Board IREN’s incentive and equity-based compensation plans and arrangements;</w:t>
      </w:r>
    </w:p>
    <w:p>
      <w:pPr>
        <w:spacing w:after="0" w:line="76" w:lineRule="exact"/>
        <w:rPr>
          <w:rFonts w:ascii="Arial" w:cs="Arial" w:eastAsia="Arial" w:hAnsi="Arial"/>
          <w:sz w:val="17"/>
          <w:szCs w:val="17"/>
          <w:color w:val="003551"/>
        </w:rPr>
      </w:pPr>
    </w:p>
    <w:p>
      <w:pPr>
        <w:ind w:left="1280" w:hanging="337"/>
        <w:spacing w:after="0"/>
        <w:tabs>
          <w:tab w:leader="none" w:pos="1280" w:val="left"/>
        </w:tabs>
        <w:numPr>
          <w:ilvl w:val="0"/>
          <w:numId w:val="17"/>
        </w:numPr>
        <w:rPr>
          <w:rFonts w:ascii="Arial" w:cs="Arial" w:eastAsia="Arial" w:hAnsi="Arial"/>
          <w:sz w:val="17"/>
          <w:szCs w:val="17"/>
          <w:color w:val="003551"/>
        </w:rPr>
      </w:pPr>
      <w:r>
        <w:rPr>
          <w:rFonts w:ascii="Arial" w:cs="Arial" w:eastAsia="Arial" w:hAnsi="Arial"/>
          <w:sz w:val="17"/>
          <w:szCs w:val="17"/>
          <w:color w:val="003551"/>
        </w:rPr>
        <w:t>reporting to the Board on the Compensation Committee’s activities and decisions;</w:t>
      </w:r>
    </w:p>
    <w:p>
      <w:pPr>
        <w:spacing w:after="0" w:line="131" w:lineRule="exact"/>
        <w:rPr>
          <w:rFonts w:ascii="Arial" w:cs="Arial" w:eastAsia="Arial" w:hAnsi="Arial"/>
          <w:sz w:val="17"/>
          <w:szCs w:val="17"/>
          <w:color w:val="003551"/>
        </w:rPr>
      </w:pPr>
    </w:p>
    <w:p>
      <w:pPr>
        <w:ind w:left="1280" w:hanging="337"/>
        <w:spacing w:after="0"/>
        <w:tabs>
          <w:tab w:leader="none" w:pos="1280" w:val="left"/>
        </w:tabs>
        <w:numPr>
          <w:ilvl w:val="0"/>
          <w:numId w:val="17"/>
        </w:numPr>
        <w:rPr>
          <w:rFonts w:ascii="Arial" w:cs="Arial" w:eastAsia="Arial" w:hAnsi="Arial"/>
          <w:sz w:val="17"/>
          <w:szCs w:val="17"/>
          <w:color w:val="003551"/>
        </w:rPr>
      </w:pPr>
      <w:r>
        <w:rPr>
          <w:rFonts w:ascii="Arial" w:cs="Arial" w:eastAsia="Arial" w:hAnsi="Arial"/>
          <w:sz w:val="17"/>
          <w:szCs w:val="17"/>
          <w:color w:val="003551"/>
        </w:rPr>
        <w:t>periodically evaluating Compensation Committee performance and report findings to the Board;</w:t>
      </w:r>
    </w:p>
    <w:p>
      <w:pPr>
        <w:spacing w:after="0" w:line="145" w:lineRule="exact"/>
        <w:rPr>
          <w:rFonts w:ascii="Arial" w:cs="Arial" w:eastAsia="Arial" w:hAnsi="Arial"/>
          <w:sz w:val="17"/>
          <w:szCs w:val="17"/>
          <w:color w:val="003551"/>
        </w:rPr>
      </w:pPr>
    </w:p>
    <w:p>
      <w:pPr>
        <w:ind w:left="1280" w:right="800" w:hanging="337"/>
        <w:spacing w:after="0" w:line="283" w:lineRule="auto"/>
        <w:tabs>
          <w:tab w:leader="none" w:pos="1280" w:val="left"/>
        </w:tabs>
        <w:numPr>
          <w:ilvl w:val="0"/>
          <w:numId w:val="17"/>
        </w:numPr>
        <w:rPr>
          <w:rFonts w:ascii="Arial" w:cs="Arial" w:eastAsia="Arial" w:hAnsi="Arial"/>
          <w:sz w:val="17"/>
          <w:szCs w:val="17"/>
          <w:color w:val="003551"/>
        </w:rPr>
      </w:pPr>
      <w:r>
        <w:rPr>
          <w:rFonts w:ascii="Arial" w:cs="Arial" w:eastAsia="Arial" w:hAnsi="Arial"/>
          <w:sz w:val="17"/>
          <w:szCs w:val="17"/>
          <w:color w:val="003551"/>
        </w:rPr>
        <w:t>reviewing and reassessing the Charter of the Compensation Committee annually; recommending any changes to the Board for approval;</w:t>
      </w:r>
    </w:p>
    <w:p>
      <w:pPr>
        <w:spacing w:after="0" w:line="62" w:lineRule="exact"/>
        <w:rPr>
          <w:rFonts w:ascii="Arial" w:cs="Arial" w:eastAsia="Arial" w:hAnsi="Arial"/>
          <w:sz w:val="17"/>
          <w:szCs w:val="17"/>
          <w:color w:val="003551"/>
        </w:rPr>
      </w:pPr>
    </w:p>
    <w:p>
      <w:pPr>
        <w:ind w:left="1280" w:right="1040" w:hanging="337"/>
        <w:spacing w:after="0" w:line="262" w:lineRule="auto"/>
        <w:tabs>
          <w:tab w:leader="none" w:pos="1280" w:val="left"/>
        </w:tabs>
        <w:numPr>
          <w:ilvl w:val="0"/>
          <w:numId w:val="17"/>
        </w:numPr>
        <w:rPr>
          <w:rFonts w:ascii="Arial" w:cs="Arial" w:eastAsia="Arial" w:hAnsi="Arial"/>
          <w:sz w:val="17"/>
          <w:szCs w:val="17"/>
          <w:color w:val="003551"/>
        </w:rPr>
      </w:pPr>
      <w:r>
        <w:rPr>
          <w:rFonts w:ascii="Arial" w:cs="Arial" w:eastAsia="Arial" w:hAnsi="Arial"/>
          <w:sz w:val="17"/>
          <w:szCs w:val="17"/>
          <w:color w:val="003551"/>
        </w:rPr>
        <w:t>preparing the annual Compensation Committee Report required by SEC rules; reviewing and discussing the CD&amp;A with management, and recommending its inclusion in the proxy statement or Form 10-K; and</w:t>
      </w:r>
    </w:p>
    <w:p>
      <w:pPr>
        <w:spacing w:after="0" w:line="93" w:lineRule="exact"/>
        <w:rPr>
          <w:rFonts w:ascii="Arial" w:cs="Arial" w:eastAsia="Arial" w:hAnsi="Arial"/>
          <w:sz w:val="17"/>
          <w:szCs w:val="17"/>
          <w:color w:val="003551"/>
        </w:rPr>
      </w:pPr>
    </w:p>
    <w:p>
      <w:pPr>
        <w:ind w:left="1280" w:right="800" w:hanging="337"/>
        <w:spacing w:after="0" w:line="283" w:lineRule="auto"/>
        <w:tabs>
          <w:tab w:leader="none" w:pos="1280" w:val="left"/>
        </w:tabs>
        <w:numPr>
          <w:ilvl w:val="0"/>
          <w:numId w:val="17"/>
        </w:numPr>
        <w:rPr>
          <w:rFonts w:ascii="Arial" w:cs="Arial" w:eastAsia="Arial" w:hAnsi="Arial"/>
          <w:sz w:val="17"/>
          <w:szCs w:val="17"/>
          <w:color w:val="003551"/>
        </w:rPr>
      </w:pPr>
      <w:r>
        <w:rPr>
          <w:rFonts w:ascii="Arial" w:cs="Arial" w:eastAsia="Arial" w:hAnsi="Arial"/>
          <w:sz w:val="17"/>
          <w:szCs w:val="17"/>
          <w:color w:val="003551"/>
        </w:rPr>
        <w:t>periodically reviewing IREN’s compensation policies and practices to assess whether they encourage excessive risk-taking.</w:t>
      </w:r>
    </w:p>
    <w:p>
      <w:pPr>
        <w:spacing w:after="0" w:line="37" w:lineRule="exact"/>
        <w:rPr>
          <w:sz w:val="20"/>
          <w:szCs w:val="20"/>
          <w:color w:val="auto"/>
        </w:rPr>
      </w:pPr>
    </w:p>
    <w:p>
      <w:pPr>
        <w:ind w:left="940" w:right="740"/>
        <w:spacing w:after="0" w:line="255" w:lineRule="auto"/>
        <w:rPr>
          <w:sz w:val="20"/>
          <w:szCs w:val="20"/>
          <w:color w:val="auto"/>
        </w:rPr>
      </w:pPr>
      <w:r>
        <w:rPr>
          <w:rFonts w:ascii="Arial" w:cs="Arial" w:eastAsia="Arial" w:hAnsi="Arial"/>
          <w:sz w:val="17"/>
          <w:szCs w:val="17"/>
          <w:color w:val="003551"/>
        </w:rPr>
        <w:t>The Compensation Committee may, in its sole discretion, retain or obtain advice from compensation consultants, legal counsel or other advisors that the Compensation Committee believes to be necessary or appropriate. Preceding any such retention or advice, the Compensation Committee must take into consideration the applicable independence factors under Nasdaq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115570</wp:posOffset>
            </wp:positionV>
            <wp:extent cx="540385" cy="6318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228600</wp:posOffset>
            </wp:positionV>
            <wp:extent cx="6786880" cy="165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Role of Compensation Consultant</w:t>
      </w:r>
    </w:p>
    <w:p>
      <w:pPr>
        <w:spacing w:after="0" w:line="15" w:lineRule="exact"/>
        <w:rPr>
          <w:sz w:val="20"/>
          <w:szCs w:val="20"/>
          <w:color w:val="auto"/>
        </w:rPr>
      </w:pPr>
    </w:p>
    <w:p>
      <w:pPr>
        <w:ind w:left="940" w:right="860"/>
        <w:spacing w:after="0" w:line="246" w:lineRule="auto"/>
        <w:rPr>
          <w:sz w:val="20"/>
          <w:szCs w:val="20"/>
          <w:color w:val="auto"/>
        </w:rPr>
      </w:pPr>
      <w:r>
        <w:rPr>
          <w:rFonts w:ascii="Arial" w:cs="Arial" w:eastAsia="Arial" w:hAnsi="Arial"/>
          <w:sz w:val="17"/>
          <w:szCs w:val="17"/>
          <w:color w:val="003551"/>
        </w:rPr>
        <w:t>Our Compensation Committee retained FW Cook as its independent compensation consultant for Fiscal 2025 to provide guidance and advice going forward on compensation-related matters, including changes to our executive and director compensation structure. In connection with FW Cook’s retention, our Compensation Committee conducted an assessment of potential conflicts of interest of FW Cook and no conflicts of interest relating to its services were identified.</w:t>
      </w:r>
    </w:p>
    <w:p>
      <w:pPr>
        <w:spacing w:after="0" w:line="217"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Compensation Peer Group</w:t>
      </w:r>
    </w:p>
    <w:p>
      <w:pPr>
        <w:spacing w:after="0" w:line="15"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The Compensation Committee uses a compensation peer group to compare and review the compensation</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paid to our NEOs against the competitive market and inform our compensation program design (the</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w:t>
      </w:r>
      <w:r>
        <w:rPr>
          <w:rFonts w:ascii="Arial" w:cs="Arial" w:eastAsia="Arial" w:hAnsi="Arial"/>
          <w:sz w:val="17"/>
          <w:szCs w:val="17"/>
          <w:b w:val="1"/>
          <w:bCs w:val="1"/>
          <w:color w:val="003551"/>
        </w:rPr>
        <w:t>Compensation Peer Group</w:t>
      </w:r>
      <w:r>
        <w:rPr>
          <w:rFonts w:ascii="Arial" w:cs="Arial" w:eastAsia="Arial" w:hAnsi="Arial"/>
          <w:sz w:val="17"/>
          <w:szCs w:val="17"/>
          <w:color w:val="003551"/>
        </w:rPr>
        <w:t>”). This Compensation Peer Group consists of companies of comparable size</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and scope of operations, with which we are likely to compete for business, executive talent and investment</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dollars. In determining the appropriate composition of the Compensation Peer Group, the Compensation</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Committee considers the following criteria:</w:t>
      </w:r>
    </w:p>
    <w:p>
      <w:pPr>
        <w:spacing w:after="0" w:line="129" w:lineRule="exact"/>
        <w:rPr>
          <w:sz w:val="20"/>
          <w:szCs w:val="20"/>
          <w:color w:val="auto"/>
        </w:rPr>
      </w:pPr>
    </w:p>
    <w:p>
      <w:pPr>
        <w:ind w:left="1280" w:hanging="337"/>
        <w:spacing w:after="0"/>
        <w:tabs>
          <w:tab w:leader="none" w:pos="1280" w:val="left"/>
        </w:tabs>
        <w:numPr>
          <w:ilvl w:val="0"/>
          <w:numId w:val="18"/>
        </w:numPr>
        <w:rPr>
          <w:rFonts w:ascii="Arial" w:cs="Arial" w:eastAsia="Arial" w:hAnsi="Arial"/>
          <w:sz w:val="17"/>
          <w:szCs w:val="17"/>
          <w:color w:val="003551"/>
        </w:rPr>
      </w:pPr>
      <w:r>
        <w:rPr>
          <w:rFonts w:ascii="Arial" w:cs="Arial" w:eastAsia="Arial" w:hAnsi="Arial"/>
          <w:sz w:val="17"/>
          <w:szCs w:val="17"/>
          <w:color w:val="003551"/>
        </w:rPr>
        <w:t>company type: publicly-traded;</w:t>
      </w:r>
    </w:p>
    <w:p>
      <w:pPr>
        <w:spacing w:after="0" w:line="145" w:lineRule="exact"/>
        <w:rPr>
          <w:rFonts w:ascii="Arial" w:cs="Arial" w:eastAsia="Arial" w:hAnsi="Arial"/>
          <w:sz w:val="17"/>
          <w:szCs w:val="17"/>
          <w:color w:val="003551"/>
        </w:rPr>
      </w:pPr>
    </w:p>
    <w:p>
      <w:pPr>
        <w:ind w:left="1280" w:hanging="337"/>
        <w:spacing w:after="0"/>
        <w:tabs>
          <w:tab w:leader="none" w:pos="1280" w:val="left"/>
        </w:tabs>
        <w:numPr>
          <w:ilvl w:val="0"/>
          <w:numId w:val="18"/>
        </w:numPr>
        <w:rPr>
          <w:rFonts w:ascii="Arial" w:cs="Arial" w:eastAsia="Arial" w:hAnsi="Arial"/>
          <w:sz w:val="17"/>
          <w:szCs w:val="17"/>
          <w:color w:val="003551"/>
        </w:rPr>
      </w:pPr>
      <w:r>
        <w:rPr>
          <w:rFonts w:ascii="Arial" w:cs="Arial" w:eastAsia="Arial" w:hAnsi="Arial"/>
          <w:sz w:val="17"/>
          <w:szCs w:val="17"/>
          <w:color w:val="003551"/>
        </w:rPr>
        <w:t>financial size: as measured by revenue and market capitalization; and</w:t>
      </w:r>
    </w:p>
    <w:p>
      <w:pPr>
        <w:spacing w:after="0" w:line="131" w:lineRule="exact"/>
        <w:rPr>
          <w:rFonts w:ascii="Arial" w:cs="Arial" w:eastAsia="Arial" w:hAnsi="Arial"/>
          <w:sz w:val="17"/>
          <w:szCs w:val="17"/>
          <w:color w:val="003551"/>
        </w:rPr>
      </w:pPr>
    </w:p>
    <w:p>
      <w:pPr>
        <w:ind w:left="1280" w:right="860" w:hanging="337"/>
        <w:spacing w:after="0" w:line="283" w:lineRule="auto"/>
        <w:tabs>
          <w:tab w:leader="none" w:pos="1280" w:val="left"/>
        </w:tabs>
        <w:numPr>
          <w:ilvl w:val="0"/>
          <w:numId w:val="18"/>
        </w:numPr>
        <w:rPr>
          <w:rFonts w:ascii="Arial" w:cs="Arial" w:eastAsia="Arial" w:hAnsi="Arial"/>
          <w:sz w:val="17"/>
          <w:szCs w:val="17"/>
          <w:color w:val="003551"/>
        </w:rPr>
      </w:pPr>
      <w:r>
        <w:rPr>
          <w:rFonts w:ascii="Arial" w:cs="Arial" w:eastAsia="Arial" w:hAnsi="Arial"/>
          <w:sz w:val="17"/>
          <w:szCs w:val="17"/>
          <w:color w:val="003551"/>
        </w:rPr>
        <w:t>industry category: application and system software companies with a cryptocurrency-focus and other industries with related lines of business including data centers.</w:t>
      </w:r>
    </w:p>
    <w:p>
      <w:pPr>
        <w:spacing w:after="0" w:line="37" w:lineRule="exact"/>
        <w:rPr>
          <w:sz w:val="20"/>
          <w:szCs w:val="20"/>
          <w:color w:val="auto"/>
        </w:rPr>
      </w:pPr>
    </w:p>
    <w:p>
      <w:pPr>
        <w:ind w:left="940" w:right="960"/>
        <w:spacing w:after="0" w:line="283" w:lineRule="auto"/>
        <w:rPr>
          <w:sz w:val="20"/>
          <w:szCs w:val="20"/>
          <w:color w:val="auto"/>
        </w:rPr>
      </w:pPr>
      <w:r>
        <w:rPr>
          <w:rFonts w:ascii="Arial" w:cs="Arial" w:eastAsia="Arial" w:hAnsi="Arial"/>
          <w:sz w:val="17"/>
          <w:szCs w:val="17"/>
          <w:color w:val="003551"/>
        </w:rPr>
        <w:t>Based on the selection criteria, the following Compensation Peer Group was considered for purposes of setting Fiscal 2025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59055</wp:posOffset>
            </wp:positionV>
            <wp:extent cx="5223510" cy="996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223510" cy="99695"/>
                    </a:xfrm>
                    <a:prstGeom prst="rect">
                      <a:avLst/>
                    </a:prstGeom>
                    <a:noFill/>
                  </pic:spPr>
                </pic:pic>
              </a:graphicData>
            </a:graphic>
          </wp:anchor>
        </w:drawing>
      </w:r>
    </w:p>
    <w:p>
      <w:pPr>
        <w:spacing w:after="0" w:line="37" w:lineRule="exact"/>
        <w:rPr>
          <w:sz w:val="20"/>
          <w:szCs w:val="20"/>
          <w:color w:val="auto"/>
        </w:rPr>
      </w:pPr>
    </w:p>
    <w:p>
      <w:pPr>
        <w:ind w:left="940"/>
        <w:spacing w:after="0"/>
        <w:rPr>
          <w:sz w:val="20"/>
          <w:szCs w:val="20"/>
          <w:color w:val="auto"/>
        </w:rPr>
      </w:pPr>
      <w:r>
        <w:rPr>
          <w:sz w:val="1"/>
          <w:szCs w:val="1"/>
          <w:color w:val="auto"/>
        </w:rPr>
        <w:drawing>
          <wp:inline distT="0" distB="0" distL="0" distR="0">
            <wp:extent cx="66675" cy="307975"/>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6675" cy="307975"/>
                    </a:xfrm>
                    <a:prstGeom prst="rect">
                      <a:avLst/>
                    </a:prstGeom>
                    <a:noFill/>
                    <a:ln>
                      <a:noFill/>
                    </a:ln>
                  </pic:spPr>
                </pic:pic>
              </a:graphicData>
            </a:graphic>
          </wp:inline>
        </w:drawing>
      </w:r>
      <w:r>
        <w:rPr>
          <w:rFonts w:ascii="Arial" w:cs="Arial" w:eastAsia="Arial" w:hAnsi="Arial"/>
          <w:sz w:val="17"/>
          <w:szCs w:val="17"/>
          <w:b w:val="1"/>
          <w:bCs w:val="1"/>
          <w:color w:val="003551"/>
        </w:rPr>
        <w:t xml:space="preserve">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-207010</wp:posOffset>
            </wp:positionV>
            <wp:extent cx="5223510" cy="2076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223510" cy="207645"/>
                    </a:xfrm>
                    <a:prstGeom prst="rect">
                      <a:avLst/>
                    </a:prstGeom>
                    <a:noFill/>
                  </pic:spPr>
                </pic:pic>
              </a:graphicData>
            </a:graphic>
          </wp:anchor>
        </w:drawing>
      </w:r>
    </w:p>
    <w:p>
      <w:pPr>
        <w:spacing w:after="0" w:line="81" w:lineRule="exact"/>
        <w:rPr>
          <w:sz w:val="20"/>
          <w:szCs w:val="20"/>
          <w:color w:val="auto"/>
        </w:rPr>
      </w:pPr>
    </w:p>
    <w:tbl>
      <w:tblPr>
        <w:tblLayout w:type="fixed"/>
        <w:tblInd w:w="1100" w:type="dxa"/>
        <w:tblCellMar>
          <w:top w:w="0" w:type="dxa"/>
          <w:left w:w="0" w:type="dxa"/>
          <w:bottom w:w="0" w:type="dxa"/>
          <w:right w:w="0" w:type="dxa"/>
        </w:tblCellMar>
      </w:tblPr>
      <w:tr>
        <w:trPr>
          <w:trHeight w:val="399"/>
        </w:trPr>
        <w:tc>
          <w:tcPr>
            <w:tcW w:w="2380" w:type="dxa"/>
            <w:vAlign w:val="bottom"/>
          </w:tcPr>
          <w:p>
            <w:pPr>
              <w:spacing w:after="0"/>
              <w:rPr>
                <w:sz w:val="20"/>
                <w:szCs w:val="20"/>
                <w:color w:val="auto"/>
              </w:rPr>
            </w:pPr>
            <w:r>
              <w:rPr>
                <w:rFonts w:ascii="Arial" w:cs="Arial" w:eastAsia="Arial" w:hAnsi="Arial"/>
                <w:sz w:val="17"/>
                <w:szCs w:val="17"/>
                <w:b w:val="1"/>
                <w:bCs w:val="1"/>
                <w:color w:val="003551"/>
              </w:rPr>
              <w:t>Bitfarms [BITF]</w:t>
            </w:r>
            <w:r>
              <w:rPr>
                <w:rFonts w:ascii="Arial" w:cs="Arial" w:eastAsia="Arial" w:hAnsi="Arial"/>
                <w:sz w:val="29"/>
                <w:szCs w:val="29"/>
                <w:b w:val="1"/>
                <w:bCs w:val="1"/>
                <w:color w:val="003551"/>
                <w:vertAlign w:val="superscript"/>
              </w:rPr>
              <w:t>(1)</w:t>
            </w:r>
          </w:p>
        </w:tc>
        <w:tc>
          <w:tcPr>
            <w:tcW w:w="2560" w:type="dxa"/>
            <w:vAlign w:val="bottom"/>
          </w:tcPr>
          <w:p>
            <w:pPr>
              <w:ind w:left="300"/>
              <w:spacing w:after="0"/>
              <w:rPr>
                <w:sz w:val="20"/>
                <w:szCs w:val="20"/>
                <w:color w:val="auto"/>
              </w:rPr>
            </w:pPr>
            <w:r>
              <w:rPr>
                <w:rFonts w:ascii="Arial" w:cs="Arial" w:eastAsia="Arial" w:hAnsi="Arial"/>
                <w:sz w:val="17"/>
                <w:szCs w:val="17"/>
                <w:color w:val="003551"/>
              </w:rPr>
              <w:t>CoreWeave [CRWV]</w:t>
            </w:r>
            <w:r>
              <w:rPr>
                <w:rFonts w:ascii="Arial" w:cs="Arial" w:eastAsia="Arial" w:hAnsi="Arial"/>
                <w:sz w:val="29"/>
                <w:szCs w:val="29"/>
                <w:color w:val="003551"/>
                <w:vertAlign w:val="superscript"/>
              </w:rPr>
              <w:t>(1)</w:t>
            </w:r>
          </w:p>
        </w:tc>
        <w:tc>
          <w:tcPr>
            <w:tcW w:w="2360" w:type="dxa"/>
            <w:vAlign w:val="bottom"/>
          </w:tcPr>
          <w:p>
            <w:pPr>
              <w:ind w:left="480"/>
              <w:spacing w:after="0"/>
              <w:rPr>
                <w:sz w:val="20"/>
                <w:szCs w:val="20"/>
                <w:color w:val="auto"/>
              </w:rPr>
            </w:pPr>
            <w:r>
              <w:rPr>
                <w:rFonts w:ascii="Arial" w:cs="Arial" w:eastAsia="Arial" w:hAnsi="Arial"/>
                <w:sz w:val="17"/>
                <w:szCs w:val="17"/>
                <w:color w:val="003551"/>
              </w:rPr>
              <w:t>MARA Holdings [MARA]</w:t>
            </w:r>
          </w:p>
        </w:tc>
      </w:tr>
      <w:tr>
        <w:trPr>
          <w:trHeight w:val="310"/>
        </w:trPr>
        <w:tc>
          <w:tcPr>
            <w:tcW w:w="2380" w:type="dxa"/>
            <w:vAlign w:val="bottom"/>
          </w:tcPr>
          <w:p>
            <w:pPr>
              <w:spacing w:after="0"/>
              <w:rPr>
                <w:sz w:val="20"/>
                <w:szCs w:val="20"/>
                <w:color w:val="auto"/>
              </w:rPr>
            </w:pPr>
            <w:r>
              <w:rPr>
                <w:rFonts w:ascii="Arial" w:cs="Arial" w:eastAsia="Arial" w:hAnsi="Arial"/>
                <w:sz w:val="17"/>
                <w:szCs w:val="17"/>
                <w:b w:val="1"/>
                <w:bCs w:val="1"/>
                <w:color w:val="003551"/>
              </w:rPr>
              <w:t>Cipher Mining [CIFR]</w:t>
            </w:r>
          </w:p>
        </w:tc>
        <w:tc>
          <w:tcPr>
            <w:tcW w:w="2560" w:type="dxa"/>
            <w:vAlign w:val="bottom"/>
          </w:tcPr>
          <w:p>
            <w:pPr>
              <w:ind w:left="300"/>
              <w:spacing w:after="0"/>
              <w:rPr>
                <w:sz w:val="20"/>
                <w:szCs w:val="20"/>
                <w:color w:val="auto"/>
              </w:rPr>
            </w:pPr>
            <w:r>
              <w:rPr>
                <w:rFonts w:ascii="Arial" w:cs="Arial" w:eastAsia="Arial" w:hAnsi="Arial"/>
                <w:sz w:val="17"/>
                <w:szCs w:val="17"/>
                <w:color w:val="003551"/>
              </w:rPr>
              <w:t>DigitalOcean [DOCN]</w:t>
            </w:r>
          </w:p>
        </w:tc>
        <w:tc>
          <w:tcPr>
            <w:tcW w:w="2360" w:type="dxa"/>
            <w:vAlign w:val="bottom"/>
          </w:tcPr>
          <w:p>
            <w:pPr>
              <w:ind w:left="480"/>
              <w:spacing w:after="0"/>
              <w:rPr>
                <w:sz w:val="20"/>
                <w:szCs w:val="20"/>
                <w:color w:val="auto"/>
              </w:rPr>
            </w:pPr>
            <w:r>
              <w:rPr>
                <w:rFonts w:ascii="Arial" w:cs="Arial" w:eastAsia="Arial" w:hAnsi="Arial"/>
                <w:sz w:val="17"/>
                <w:szCs w:val="17"/>
                <w:color w:val="003551"/>
              </w:rPr>
              <w:t>Riot Platforms [RIOT]</w:t>
            </w:r>
          </w:p>
        </w:tc>
      </w:tr>
      <w:tr>
        <w:trPr>
          <w:trHeight w:val="432"/>
        </w:trPr>
        <w:tc>
          <w:tcPr>
            <w:tcW w:w="2380" w:type="dxa"/>
            <w:vAlign w:val="bottom"/>
          </w:tcPr>
          <w:p>
            <w:pPr>
              <w:spacing w:after="0"/>
              <w:rPr>
                <w:sz w:val="20"/>
                <w:szCs w:val="20"/>
                <w:color w:val="auto"/>
              </w:rPr>
            </w:pPr>
            <w:r>
              <w:rPr>
                <w:rFonts w:ascii="Arial" w:cs="Arial" w:eastAsia="Arial" w:hAnsi="Arial"/>
                <w:sz w:val="17"/>
                <w:szCs w:val="17"/>
                <w:b w:val="1"/>
                <w:bCs w:val="1"/>
                <w:color w:val="003551"/>
              </w:rPr>
              <w:t>CleanSpark [CLSK]</w:t>
            </w:r>
          </w:p>
        </w:tc>
        <w:tc>
          <w:tcPr>
            <w:tcW w:w="2560" w:type="dxa"/>
            <w:vAlign w:val="bottom"/>
          </w:tcPr>
          <w:p>
            <w:pPr>
              <w:ind w:left="300"/>
              <w:spacing w:after="0"/>
              <w:rPr>
                <w:sz w:val="20"/>
                <w:szCs w:val="20"/>
                <w:color w:val="auto"/>
              </w:rPr>
            </w:pPr>
            <w:r>
              <w:rPr>
                <w:rFonts w:ascii="Arial" w:cs="Arial" w:eastAsia="Arial" w:hAnsi="Arial"/>
                <w:sz w:val="17"/>
                <w:szCs w:val="17"/>
                <w:color w:val="003551"/>
              </w:rPr>
              <w:t>Galaxy Digital [GLXY]</w:t>
            </w:r>
          </w:p>
        </w:tc>
        <w:tc>
          <w:tcPr>
            <w:tcW w:w="2360" w:type="dxa"/>
            <w:vAlign w:val="bottom"/>
          </w:tcPr>
          <w:p>
            <w:pPr>
              <w:ind w:left="480"/>
              <w:spacing w:after="0"/>
              <w:rPr>
                <w:sz w:val="20"/>
                <w:szCs w:val="20"/>
                <w:color w:val="auto"/>
              </w:rPr>
            </w:pPr>
            <w:r>
              <w:rPr>
                <w:rFonts w:ascii="Arial" w:cs="Arial" w:eastAsia="Arial" w:hAnsi="Arial"/>
                <w:sz w:val="17"/>
                <w:szCs w:val="17"/>
                <w:color w:val="003551"/>
              </w:rPr>
              <w:t>TeraWulf [WULF]</w:t>
            </w:r>
          </w:p>
        </w:tc>
      </w:tr>
      <w:tr>
        <w:trPr>
          <w:trHeight w:val="594"/>
        </w:trPr>
        <w:tc>
          <w:tcPr>
            <w:tcW w:w="2380" w:type="dxa"/>
            <w:vAlign w:val="bottom"/>
          </w:tcPr>
          <w:p>
            <w:pPr>
              <w:spacing w:after="0"/>
              <w:rPr>
                <w:sz w:val="20"/>
                <w:szCs w:val="20"/>
                <w:color w:val="auto"/>
              </w:rPr>
            </w:pPr>
            <w:r>
              <w:rPr>
                <w:rFonts w:ascii="Arial" w:cs="Arial" w:eastAsia="Arial" w:hAnsi="Arial"/>
                <w:sz w:val="17"/>
                <w:szCs w:val="17"/>
                <w:b w:val="1"/>
                <w:bCs w:val="1"/>
                <w:color w:val="003551"/>
              </w:rPr>
              <w:t>Core Scientific [CORZ]</w:t>
            </w:r>
            <w:r>
              <w:rPr>
                <w:rFonts w:ascii="Arial" w:cs="Arial" w:eastAsia="Arial" w:hAnsi="Arial"/>
                <w:sz w:val="29"/>
                <w:szCs w:val="29"/>
                <w:b w:val="1"/>
                <w:bCs w:val="1"/>
                <w:color w:val="003551"/>
                <w:vertAlign w:val="superscript"/>
              </w:rPr>
              <w:t>(1)</w:t>
            </w:r>
          </w:p>
        </w:tc>
        <w:tc>
          <w:tcPr>
            <w:tcW w:w="2560" w:type="dxa"/>
            <w:vAlign w:val="bottom"/>
          </w:tcPr>
          <w:p>
            <w:pPr>
              <w:ind w:left="300"/>
              <w:spacing w:after="0"/>
              <w:rPr>
                <w:sz w:val="20"/>
                <w:szCs w:val="20"/>
                <w:color w:val="auto"/>
              </w:rPr>
            </w:pPr>
            <w:r>
              <w:rPr>
                <w:rFonts w:ascii="Arial" w:cs="Arial" w:eastAsia="Arial" w:hAnsi="Arial"/>
                <w:sz w:val="17"/>
                <w:szCs w:val="17"/>
                <w:color w:val="003551"/>
              </w:rPr>
              <w:t>Hut 8 [HUT]</w:t>
            </w:r>
          </w:p>
        </w:tc>
        <w:tc>
          <w:tcPr>
            <w:tcW w:w="23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-866140</wp:posOffset>
            </wp:positionV>
            <wp:extent cx="522351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223510"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-591820</wp:posOffset>
            </wp:positionV>
            <wp:extent cx="522351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223510"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-316865</wp:posOffset>
            </wp:positionV>
            <wp:extent cx="522351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223510" cy="8255"/>
                    </a:xfrm>
                    <a:prstGeom prst="rect">
                      <a:avLst/>
                    </a:prstGeom>
                    <a:noFill/>
                  </pic:spPr>
                </pic:pic>
              </a:graphicData>
            </a:graphic>
          </wp:anchor>
        </w:drawing>
      </w:r>
    </w:p>
    <w:p>
      <w:pPr>
        <w:spacing w:after="0" w:line="27" w:lineRule="exact"/>
        <w:rPr>
          <w:sz w:val="20"/>
          <w:szCs w:val="20"/>
          <w:color w:val="auto"/>
        </w:rPr>
      </w:pPr>
    </w:p>
    <w:p>
      <w:pPr>
        <w:ind w:left="1280" w:right="740" w:hanging="337"/>
        <w:spacing w:after="0" w:line="263" w:lineRule="auto"/>
        <w:tabs>
          <w:tab w:leader="none" w:pos="1280" w:val="left"/>
        </w:tabs>
        <w:numPr>
          <w:ilvl w:val="0"/>
          <w:numId w:val="19"/>
        </w:numPr>
        <w:rPr>
          <w:rFonts w:ascii="Arial" w:cs="Arial" w:eastAsia="Arial" w:hAnsi="Arial"/>
          <w:sz w:val="12"/>
          <w:szCs w:val="12"/>
          <w:i w:val="1"/>
          <w:iCs w:val="1"/>
          <w:color w:val="003551"/>
        </w:rPr>
      </w:pPr>
      <w:r>
        <w:rPr>
          <w:rFonts w:ascii="Arial" w:cs="Arial" w:eastAsia="Arial" w:hAnsi="Arial"/>
          <w:sz w:val="12"/>
          <w:szCs w:val="12"/>
          <w:i w:val="1"/>
          <w:iCs w:val="1"/>
          <w:color w:val="003551"/>
        </w:rPr>
        <w:t>In April 2025, due to IREN’s revenue growth, the Compensation Committee approved the removal of Bitfarms and the addition of Core Scientific and CoreWeave.</w:t>
      </w:r>
    </w:p>
    <w:p>
      <w:pPr>
        <w:spacing w:after="0" w:line="63" w:lineRule="exact"/>
        <w:rPr>
          <w:sz w:val="20"/>
          <w:szCs w:val="20"/>
          <w:color w:val="auto"/>
        </w:rPr>
      </w:pPr>
    </w:p>
    <w:p>
      <w:pPr>
        <w:ind w:left="940" w:right="900"/>
        <w:spacing w:after="0" w:line="262" w:lineRule="auto"/>
        <w:rPr>
          <w:sz w:val="20"/>
          <w:szCs w:val="20"/>
          <w:color w:val="auto"/>
        </w:rPr>
      </w:pPr>
      <w:r>
        <w:rPr>
          <w:rFonts w:ascii="Arial" w:cs="Arial" w:eastAsia="Arial" w:hAnsi="Arial"/>
          <w:sz w:val="17"/>
          <w:szCs w:val="17"/>
          <w:color w:val="003551"/>
        </w:rPr>
        <w:t>The Compensation Peer Group will be reviewed from time to time by our Compensation Committee, with input from FW Cook, our independent compensation consultant. The Compensation Committee also considers data from third-party surveys when evaluating executive pay levels.</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Elements of Compensation</w:t>
      </w:r>
    </w:p>
    <w:p>
      <w:pPr>
        <w:spacing w:after="0" w:line="41" w:lineRule="exact"/>
        <w:rPr>
          <w:sz w:val="20"/>
          <w:szCs w:val="20"/>
          <w:color w:val="auto"/>
        </w:rPr>
      </w:pPr>
    </w:p>
    <w:p>
      <w:pPr>
        <w:ind w:left="940" w:right="1320"/>
        <w:spacing w:after="0" w:line="263" w:lineRule="auto"/>
        <w:rPr>
          <w:sz w:val="20"/>
          <w:szCs w:val="20"/>
          <w:color w:val="auto"/>
        </w:rPr>
      </w:pPr>
      <w:r>
        <w:rPr>
          <w:rFonts w:ascii="Arial" w:cs="Arial" w:eastAsia="Arial" w:hAnsi="Arial"/>
          <w:sz w:val="17"/>
          <w:szCs w:val="17"/>
          <w:color w:val="003551"/>
        </w:rPr>
        <w:t>The following is a discussion of the primary elements of the compensation for each of our NEOs for Fiscal 2025.</w:t>
      </w:r>
    </w:p>
    <w:p>
      <w:pPr>
        <w:spacing w:after="0" w:line="201"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Annual Base Salary</w:t>
      </w:r>
    </w:p>
    <w:p>
      <w:pPr>
        <w:spacing w:after="0" w:line="15" w:lineRule="exact"/>
        <w:rPr>
          <w:sz w:val="20"/>
          <w:szCs w:val="20"/>
          <w:color w:val="auto"/>
        </w:rPr>
      </w:pPr>
    </w:p>
    <w:p>
      <w:pPr>
        <w:ind w:left="940" w:right="880"/>
        <w:spacing w:after="0" w:line="246" w:lineRule="auto"/>
        <w:rPr>
          <w:sz w:val="20"/>
          <w:szCs w:val="20"/>
          <w:color w:val="auto"/>
        </w:rPr>
      </w:pPr>
      <w:r>
        <w:rPr>
          <w:rFonts w:ascii="Arial" w:cs="Arial" w:eastAsia="Arial" w:hAnsi="Arial"/>
          <w:sz w:val="17"/>
          <w:szCs w:val="17"/>
          <w:color w:val="003551"/>
        </w:rPr>
        <w:t>Base salary for our NEOs is the fixed component of our executive compensation program. We use base salary to compensate our NEOs for services rendered during the year and to recognize the experience, skills, knowledge and responsibilities required of each NEO. Base salaries are reviewed at least annually and are set based on competitiveness versus the external market, talent planning, individual and IREN performance, and internal equity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121285</wp:posOffset>
            </wp:positionV>
            <wp:extent cx="540385" cy="6318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5220" w:type="dxa"/>
            <w:vAlign w:val="bottom"/>
          </w:tcPr>
          <w:p>
            <w:pPr>
              <w:spacing w:after="0"/>
              <w:rPr>
                <w:sz w:val="20"/>
                <w:szCs w:val="20"/>
                <w:color w:val="auto"/>
              </w:rPr>
            </w:pPr>
            <w:r>
              <w:rPr>
                <w:rFonts w:ascii="Arial" w:cs="Arial" w:eastAsia="Arial" w:hAnsi="Arial"/>
                <w:sz w:val="17"/>
                <w:szCs w:val="17"/>
                <w:color w:val="003551"/>
              </w:rPr>
              <w:t>For Fiscal 2025, our NEOs’ base salaries were as follows:</w:t>
            </w:r>
          </w:p>
        </w:tc>
        <w:tc>
          <w:tcPr>
            <w:tcW w:w="3020" w:type="dxa"/>
            <w:vAlign w:val="bottom"/>
          </w:tcPr>
          <w:p>
            <w:pPr>
              <w:spacing w:after="0"/>
              <w:rPr>
                <w:sz w:val="20"/>
                <w:szCs w:val="20"/>
                <w:color w:val="auto"/>
              </w:rPr>
            </w:pPr>
          </w:p>
        </w:tc>
      </w:tr>
      <w:tr>
        <w:trPr>
          <w:trHeight w:val="114"/>
        </w:trPr>
        <w:tc>
          <w:tcPr>
            <w:tcW w:w="5220" w:type="dxa"/>
            <w:vAlign w:val="bottom"/>
          </w:tcPr>
          <w:p>
            <w:pPr>
              <w:spacing w:after="0"/>
              <w:rPr>
                <w:sz w:val="9"/>
                <w:szCs w:val="9"/>
                <w:color w:val="auto"/>
              </w:rPr>
            </w:pPr>
          </w:p>
        </w:tc>
        <w:tc>
          <w:tcPr>
            <w:tcW w:w="3020" w:type="dxa"/>
            <w:vAlign w:val="bottom"/>
          </w:tcPr>
          <w:p>
            <w:pPr>
              <w:spacing w:after="0"/>
              <w:rPr>
                <w:sz w:val="9"/>
                <w:szCs w:val="9"/>
                <w:color w:val="auto"/>
              </w:rPr>
            </w:pPr>
          </w:p>
        </w:tc>
      </w:tr>
      <w:tr>
        <w:trPr>
          <w:trHeight w:val="511"/>
        </w:trPr>
        <w:tc>
          <w:tcPr>
            <w:tcW w:w="5220" w:type="dxa"/>
            <w:vAlign w:val="bottom"/>
            <w:tcBorders>
              <w:bottom w:val="single" w:sz="8" w:color="003551"/>
            </w:tcBorders>
            <w:shd w:val="clear" w:color="auto" w:fill="77C483"/>
          </w:tcPr>
          <w:p>
            <w:pPr>
              <w:ind w:left="140"/>
              <w:spacing w:after="0"/>
              <w:rPr>
                <w:sz w:val="20"/>
                <w:szCs w:val="20"/>
                <w:color w:val="auto"/>
              </w:rPr>
            </w:pPr>
            <w:r>
              <w:rPr>
                <w:rFonts w:ascii="Arial" w:cs="Arial" w:eastAsia="Arial" w:hAnsi="Arial"/>
                <w:sz w:val="17"/>
                <w:szCs w:val="17"/>
                <w:b w:val="1"/>
                <w:bCs w:val="1"/>
                <w:color w:val="003551"/>
              </w:rPr>
              <w:t>NEO</w:t>
            </w:r>
          </w:p>
        </w:tc>
        <w:tc>
          <w:tcPr>
            <w:tcW w:w="3020" w:type="dxa"/>
            <w:vAlign w:val="bottom"/>
            <w:tcBorders>
              <w:bottom w:val="single" w:sz="8" w:color="003551"/>
            </w:tcBorders>
            <w:shd w:val="clear" w:color="auto" w:fill="77C483"/>
          </w:tcPr>
          <w:p>
            <w:pPr>
              <w:ind w:left="740"/>
              <w:spacing w:after="0"/>
              <w:rPr>
                <w:sz w:val="20"/>
                <w:szCs w:val="20"/>
                <w:color w:val="auto"/>
              </w:rPr>
            </w:pPr>
            <w:r>
              <w:rPr>
                <w:rFonts w:ascii="Arial" w:cs="Arial" w:eastAsia="Arial" w:hAnsi="Arial"/>
                <w:sz w:val="17"/>
                <w:szCs w:val="17"/>
                <w:b w:val="1"/>
                <w:bCs w:val="1"/>
                <w:color w:val="003551"/>
              </w:rPr>
              <w:t>Fiscal 2025 Base Salary</w:t>
            </w:r>
            <w:r>
              <w:rPr>
                <w:rFonts w:ascii="Arial" w:cs="Arial" w:eastAsia="Arial" w:hAnsi="Arial"/>
                <w:sz w:val="29"/>
                <w:szCs w:val="29"/>
                <w:b w:val="1"/>
                <w:bCs w:val="1"/>
                <w:color w:val="003551"/>
                <w:vertAlign w:val="superscript"/>
              </w:rPr>
              <w:t>(1)</w:t>
            </w:r>
          </w:p>
        </w:tc>
      </w:tr>
      <w:tr>
        <w:trPr>
          <w:trHeight w:val="332"/>
        </w:trPr>
        <w:tc>
          <w:tcPr>
            <w:tcW w:w="5220" w:type="dxa"/>
            <w:vAlign w:val="bottom"/>
          </w:tcPr>
          <w:p>
            <w:pPr>
              <w:ind w:left="140"/>
              <w:spacing w:after="0"/>
              <w:rPr>
                <w:sz w:val="20"/>
                <w:szCs w:val="20"/>
                <w:color w:val="auto"/>
              </w:rPr>
            </w:pPr>
            <w:r>
              <w:rPr>
                <w:rFonts w:ascii="Arial" w:cs="Arial" w:eastAsia="Arial" w:hAnsi="Arial"/>
                <w:sz w:val="17"/>
                <w:szCs w:val="17"/>
                <w:b w:val="1"/>
                <w:bCs w:val="1"/>
                <w:color w:val="003551"/>
              </w:rPr>
              <w:t>William Roberts</w:t>
            </w:r>
          </w:p>
        </w:tc>
        <w:tc>
          <w:tcPr>
            <w:tcW w:w="3020" w:type="dxa"/>
            <w:vAlign w:val="bottom"/>
          </w:tcPr>
          <w:p>
            <w:pPr>
              <w:ind w:left="740"/>
              <w:spacing w:after="0"/>
              <w:rPr>
                <w:sz w:val="20"/>
                <w:szCs w:val="20"/>
                <w:color w:val="auto"/>
              </w:rPr>
            </w:pPr>
            <w:r>
              <w:rPr>
                <w:rFonts w:ascii="Arial" w:cs="Arial" w:eastAsia="Arial" w:hAnsi="Arial"/>
                <w:sz w:val="17"/>
                <w:szCs w:val="17"/>
                <w:color w:val="003551"/>
              </w:rPr>
              <w:t>$964,350</w:t>
            </w:r>
          </w:p>
        </w:tc>
      </w:tr>
      <w:tr>
        <w:trPr>
          <w:trHeight w:val="432"/>
        </w:trPr>
        <w:tc>
          <w:tcPr>
            <w:tcW w:w="5220" w:type="dxa"/>
            <w:vAlign w:val="bottom"/>
          </w:tcPr>
          <w:p>
            <w:pPr>
              <w:ind w:left="140"/>
              <w:spacing w:after="0"/>
              <w:rPr>
                <w:sz w:val="20"/>
                <w:szCs w:val="20"/>
                <w:color w:val="auto"/>
              </w:rPr>
            </w:pPr>
            <w:r>
              <w:rPr>
                <w:rFonts w:ascii="Arial" w:cs="Arial" w:eastAsia="Arial" w:hAnsi="Arial"/>
                <w:sz w:val="17"/>
                <w:szCs w:val="17"/>
                <w:b w:val="1"/>
                <w:bCs w:val="1"/>
                <w:color w:val="003551"/>
              </w:rPr>
              <w:t>Daniel Roberts</w:t>
            </w:r>
          </w:p>
        </w:tc>
        <w:tc>
          <w:tcPr>
            <w:tcW w:w="3020" w:type="dxa"/>
            <w:vAlign w:val="bottom"/>
          </w:tcPr>
          <w:p>
            <w:pPr>
              <w:ind w:left="740"/>
              <w:spacing w:after="0"/>
              <w:rPr>
                <w:sz w:val="20"/>
                <w:szCs w:val="20"/>
                <w:color w:val="auto"/>
              </w:rPr>
            </w:pPr>
            <w:r>
              <w:rPr>
                <w:rFonts w:ascii="Arial" w:cs="Arial" w:eastAsia="Arial" w:hAnsi="Arial"/>
                <w:sz w:val="17"/>
                <w:szCs w:val="17"/>
                <w:color w:val="003551"/>
              </w:rPr>
              <w:t>$964,350</w:t>
            </w:r>
          </w:p>
        </w:tc>
      </w:tr>
      <w:tr>
        <w:trPr>
          <w:trHeight w:val="594"/>
        </w:trPr>
        <w:tc>
          <w:tcPr>
            <w:tcW w:w="5220" w:type="dxa"/>
            <w:vAlign w:val="bottom"/>
          </w:tcPr>
          <w:p>
            <w:pPr>
              <w:ind w:left="140"/>
              <w:spacing w:after="0"/>
              <w:rPr>
                <w:sz w:val="20"/>
                <w:szCs w:val="20"/>
                <w:color w:val="auto"/>
              </w:rPr>
            </w:pPr>
            <w:r>
              <w:rPr>
                <w:rFonts w:ascii="Arial" w:cs="Arial" w:eastAsia="Arial" w:hAnsi="Arial"/>
                <w:sz w:val="17"/>
                <w:szCs w:val="17"/>
                <w:b w:val="1"/>
                <w:bCs w:val="1"/>
                <w:color w:val="003551"/>
              </w:rPr>
              <w:t>Belinda Nucifora</w:t>
            </w:r>
            <w:r>
              <w:rPr>
                <w:rFonts w:ascii="Arial" w:cs="Arial" w:eastAsia="Arial" w:hAnsi="Arial"/>
                <w:sz w:val="29"/>
                <w:szCs w:val="29"/>
                <w:b w:val="1"/>
                <w:bCs w:val="1"/>
                <w:color w:val="003551"/>
                <w:vertAlign w:val="superscript"/>
              </w:rPr>
              <w:t>(2)</w:t>
            </w:r>
          </w:p>
        </w:tc>
        <w:tc>
          <w:tcPr>
            <w:tcW w:w="3020" w:type="dxa"/>
            <w:vAlign w:val="bottom"/>
          </w:tcPr>
          <w:p>
            <w:pPr>
              <w:ind w:left="740"/>
              <w:spacing w:after="0"/>
              <w:rPr>
                <w:sz w:val="20"/>
                <w:szCs w:val="20"/>
                <w:color w:val="auto"/>
              </w:rPr>
            </w:pPr>
            <w:r>
              <w:rPr>
                <w:rFonts w:ascii="Arial" w:cs="Arial" w:eastAsia="Arial" w:hAnsi="Arial"/>
                <w:sz w:val="17"/>
                <w:szCs w:val="17"/>
                <w:color w:val="003551"/>
              </w:rPr>
              <w:t>$303,363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-591820</wp:posOffset>
            </wp:positionV>
            <wp:extent cx="522351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223510"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-316865</wp:posOffset>
            </wp:positionV>
            <wp:extent cx="522351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223510" cy="8255"/>
                    </a:xfrm>
                    <a:prstGeom prst="rect">
                      <a:avLst/>
                    </a:prstGeom>
                    <a:noFill/>
                  </pic:spPr>
                </pic:pic>
              </a:graphicData>
            </a:graphic>
          </wp:anchor>
        </w:drawing>
      </w:r>
    </w:p>
    <w:p>
      <w:pPr>
        <w:spacing w:after="0" w:line="79" w:lineRule="exact"/>
        <w:rPr>
          <w:sz w:val="20"/>
          <w:szCs w:val="20"/>
          <w:color w:val="auto"/>
        </w:rPr>
      </w:pPr>
    </w:p>
    <w:p>
      <w:pPr>
        <w:ind w:left="1280" w:hanging="337"/>
        <w:spacing w:after="0"/>
        <w:tabs>
          <w:tab w:leader="none" w:pos="1280" w:val="left"/>
        </w:tabs>
        <w:numPr>
          <w:ilvl w:val="0"/>
          <w:numId w:val="20"/>
        </w:numPr>
        <w:rPr>
          <w:rFonts w:ascii="Arial" w:cs="Arial" w:eastAsia="Arial" w:hAnsi="Arial"/>
          <w:sz w:val="12"/>
          <w:szCs w:val="12"/>
          <w:i w:val="1"/>
          <w:iCs w:val="1"/>
          <w:color w:val="003551"/>
        </w:rPr>
      </w:pPr>
      <w:r>
        <w:rPr>
          <w:rFonts w:ascii="Arial" w:cs="Arial" w:eastAsia="Arial" w:hAnsi="Arial"/>
          <w:sz w:val="12"/>
          <w:szCs w:val="12"/>
          <w:i w:val="1"/>
          <w:iCs w:val="1"/>
          <w:color w:val="003551"/>
        </w:rPr>
        <w:t>Base salary excludes Superannuation (as defined below) ($19,650 for Messrs. W. Roberts and D. Roberts and $19,317 for Ms. Nucifora).</w:t>
      </w:r>
    </w:p>
    <w:p>
      <w:pPr>
        <w:spacing w:after="0" w:line="2" w:lineRule="exact"/>
        <w:rPr>
          <w:rFonts w:ascii="Arial" w:cs="Arial" w:eastAsia="Arial" w:hAnsi="Arial"/>
          <w:sz w:val="12"/>
          <w:szCs w:val="12"/>
          <w:i w:val="1"/>
          <w:iCs w:val="1"/>
          <w:color w:val="003551"/>
        </w:rPr>
      </w:pPr>
    </w:p>
    <w:p>
      <w:pPr>
        <w:jc w:val="both"/>
        <w:ind w:left="1280" w:right="740" w:hanging="337"/>
        <w:spacing w:after="0"/>
        <w:tabs>
          <w:tab w:leader="none" w:pos="1280" w:val="left"/>
        </w:tabs>
        <w:numPr>
          <w:ilvl w:val="0"/>
          <w:numId w:val="20"/>
        </w:numPr>
        <w:rPr>
          <w:rFonts w:ascii="Arial" w:cs="Arial" w:eastAsia="Arial" w:hAnsi="Arial"/>
          <w:sz w:val="12"/>
          <w:szCs w:val="12"/>
          <w:i w:val="1"/>
          <w:iCs w:val="1"/>
          <w:color w:val="003551"/>
        </w:rPr>
      </w:pPr>
      <w:r>
        <w:rPr>
          <w:rFonts w:ascii="Arial" w:cs="Arial" w:eastAsia="Arial" w:hAnsi="Arial"/>
          <w:sz w:val="12"/>
          <w:szCs w:val="12"/>
          <w:i w:val="1"/>
          <w:iCs w:val="1"/>
          <w:color w:val="003551"/>
        </w:rPr>
        <w:t>Ms. Nucifora was paid in Australian Dollars (AUD). U.S. Dollar (USD) amounts in this Proxy Statement with respect to Ms. Nucifora have been converted from AUD at a rate of 0.6454 USD to one AUD. The exchange rate represents the 12-month average exchange rate during Fiscal 2025.</w:t>
      </w:r>
    </w:p>
    <w:p>
      <w:pPr>
        <w:spacing w:after="0" w:line="345"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Short-Term Cash Incentive Compensation</w:t>
      </w:r>
    </w:p>
    <w:p>
      <w:pPr>
        <w:spacing w:after="0" w:line="15" w:lineRule="exact"/>
        <w:rPr>
          <w:sz w:val="20"/>
          <w:szCs w:val="20"/>
          <w:color w:val="auto"/>
        </w:rPr>
      </w:pPr>
    </w:p>
    <w:p>
      <w:pPr>
        <w:ind w:left="940" w:right="780"/>
        <w:spacing w:after="0" w:line="248" w:lineRule="auto"/>
        <w:rPr>
          <w:sz w:val="20"/>
          <w:szCs w:val="20"/>
          <w:color w:val="auto"/>
        </w:rPr>
      </w:pPr>
      <w:r>
        <w:rPr>
          <w:rFonts w:ascii="Arial" w:cs="Arial" w:eastAsia="Arial" w:hAnsi="Arial"/>
          <w:sz w:val="17"/>
          <w:szCs w:val="17"/>
          <w:color w:val="003551"/>
        </w:rPr>
        <w:t>We believe that near-term operational excellence is critical to achieving long-term shareholder value. To support this objective, we maintain the STIP to reward employees, including our NEOs, for the achievement of annual performance goals. These incentives are intended to drive accountability, reinforce key business priorities, and align compensation with IREN’s short-term financial and strategic objectives.</w:t>
      </w:r>
    </w:p>
    <w:p>
      <w:pPr>
        <w:spacing w:after="0" w:line="106" w:lineRule="exact"/>
        <w:rPr>
          <w:sz w:val="20"/>
          <w:szCs w:val="20"/>
          <w:color w:val="auto"/>
        </w:rPr>
      </w:pPr>
    </w:p>
    <w:p>
      <w:pPr>
        <w:ind w:left="940" w:right="1180"/>
        <w:spacing w:after="0" w:line="283" w:lineRule="auto"/>
        <w:rPr>
          <w:sz w:val="20"/>
          <w:szCs w:val="20"/>
          <w:color w:val="auto"/>
        </w:rPr>
      </w:pPr>
      <w:r>
        <w:rPr>
          <w:rFonts w:ascii="Arial" w:cs="Arial" w:eastAsia="Arial" w:hAnsi="Arial"/>
          <w:sz w:val="17"/>
          <w:szCs w:val="17"/>
          <w:color w:val="003551"/>
        </w:rPr>
        <w:t>For Fiscal 2025, the bonus targets (expressed as a percentage of base salary) for our NEOs were as follows:</w:t>
      </w:r>
    </w:p>
    <w:p>
      <w:pPr>
        <w:spacing w:after="0" w:line="93" w:lineRule="exact"/>
        <w:rPr>
          <w:sz w:val="20"/>
          <w:szCs w:val="20"/>
          <w:color w:val="auto"/>
        </w:rPr>
      </w:pPr>
    </w:p>
    <w:tbl>
      <w:tblPr>
        <w:tblLayout w:type="fixed"/>
        <w:tblInd w:w="940" w:type="dxa"/>
        <w:tblCellMar>
          <w:top w:w="0" w:type="dxa"/>
          <w:left w:w="0" w:type="dxa"/>
          <w:bottom w:w="0" w:type="dxa"/>
          <w:right w:w="0" w:type="dxa"/>
        </w:tblCellMar>
      </w:tblPr>
      <w:tr>
        <w:trPr>
          <w:trHeight w:val="511"/>
        </w:trPr>
        <w:tc>
          <w:tcPr>
            <w:tcW w:w="2380" w:type="dxa"/>
            <w:vAlign w:val="bottom"/>
            <w:tcBorders>
              <w:bottom w:val="single" w:sz="8" w:color="003551"/>
            </w:tcBorders>
            <w:shd w:val="clear" w:color="auto" w:fill="77C483"/>
          </w:tcPr>
          <w:p>
            <w:pPr>
              <w:ind w:left="140"/>
              <w:spacing w:after="0"/>
              <w:rPr>
                <w:sz w:val="20"/>
                <w:szCs w:val="20"/>
                <w:color w:val="auto"/>
              </w:rPr>
            </w:pPr>
            <w:r>
              <w:rPr>
                <w:rFonts w:ascii="Arial" w:cs="Arial" w:eastAsia="Arial" w:hAnsi="Arial"/>
                <w:sz w:val="17"/>
                <w:szCs w:val="17"/>
                <w:b w:val="1"/>
                <w:bCs w:val="1"/>
                <w:color w:val="003551"/>
              </w:rPr>
              <w:t>NEO</w:t>
            </w:r>
          </w:p>
        </w:tc>
        <w:tc>
          <w:tcPr>
            <w:tcW w:w="3720" w:type="dxa"/>
            <w:vAlign w:val="bottom"/>
            <w:tcBorders>
              <w:bottom w:val="single" w:sz="8" w:color="003551"/>
            </w:tcBorders>
            <w:shd w:val="clear" w:color="auto" w:fill="77C483"/>
          </w:tcPr>
          <w:p>
            <w:pPr>
              <w:ind w:left="680"/>
              <w:spacing w:after="0"/>
              <w:rPr>
                <w:sz w:val="20"/>
                <w:szCs w:val="20"/>
                <w:color w:val="auto"/>
              </w:rPr>
            </w:pPr>
            <w:r>
              <w:rPr>
                <w:rFonts w:ascii="Arial" w:cs="Arial" w:eastAsia="Arial" w:hAnsi="Arial"/>
                <w:sz w:val="17"/>
                <w:szCs w:val="17"/>
                <w:b w:val="1"/>
                <w:bCs w:val="1"/>
                <w:color w:val="003551"/>
              </w:rPr>
              <w:t>Target STIP Award (% of Salary)</w:t>
            </w:r>
          </w:p>
        </w:tc>
        <w:tc>
          <w:tcPr>
            <w:tcW w:w="2140" w:type="dxa"/>
            <w:vAlign w:val="bottom"/>
            <w:tcBorders>
              <w:bottom w:val="single" w:sz="8" w:color="003551"/>
            </w:tcBorders>
            <w:shd w:val="clear" w:color="auto" w:fill="77C483"/>
          </w:tcPr>
          <w:p>
            <w:pPr>
              <w:ind w:left="380"/>
              <w:spacing w:after="0"/>
              <w:rPr>
                <w:sz w:val="20"/>
                <w:szCs w:val="20"/>
                <w:color w:val="auto"/>
              </w:rPr>
            </w:pPr>
            <w:r>
              <w:rPr>
                <w:rFonts w:ascii="Arial" w:cs="Arial" w:eastAsia="Arial" w:hAnsi="Arial"/>
                <w:sz w:val="17"/>
                <w:szCs w:val="17"/>
                <w:b w:val="1"/>
                <w:bCs w:val="1"/>
                <w:color w:val="003551"/>
              </w:rPr>
              <w:t>Target STIP Value</w:t>
            </w:r>
            <w:r>
              <w:rPr>
                <w:rFonts w:ascii="Arial" w:cs="Arial" w:eastAsia="Arial" w:hAnsi="Arial"/>
                <w:sz w:val="29"/>
                <w:szCs w:val="29"/>
                <w:b w:val="1"/>
                <w:bCs w:val="1"/>
                <w:color w:val="003551"/>
                <w:vertAlign w:val="superscript"/>
              </w:rPr>
              <w:t>(1)</w:t>
            </w:r>
          </w:p>
        </w:tc>
      </w:tr>
      <w:tr>
        <w:trPr>
          <w:trHeight w:val="332"/>
        </w:trPr>
        <w:tc>
          <w:tcPr>
            <w:tcW w:w="2380" w:type="dxa"/>
            <w:vAlign w:val="bottom"/>
          </w:tcPr>
          <w:p>
            <w:pPr>
              <w:ind w:left="140"/>
              <w:spacing w:after="0"/>
              <w:rPr>
                <w:sz w:val="20"/>
                <w:szCs w:val="20"/>
                <w:color w:val="auto"/>
              </w:rPr>
            </w:pPr>
            <w:r>
              <w:rPr>
                <w:rFonts w:ascii="Arial" w:cs="Arial" w:eastAsia="Arial" w:hAnsi="Arial"/>
                <w:sz w:val="17"/>
                <w:szCs w:val="17"/>
                <w:b w:val="1"/>
                <w:bCs w:val="1"/>
                <w:color w:val="003551"/>
              </w:rPr>
              <w:t>William Roberts</w:t>
            </w:r>
          </w:p>
        </w:tc>
        <w:tc>
          <w:tcPr>
            <w:tcW w:w="3720" w:type="dxa"/>
            <w:vAlign w:val="bottom"/>
          </w:tcPr>
          <w:p>
            <w:pPr>
              <w:ind w:left="680"/>
              <w:spacing w:after="0"/>
              <w:rPr>
                <w:sz w:val="20"/>
                <w:szCs w:val="20"/>
                <w:color w:val="auto"/>
              </w:rPr>
            </w:pPr>
            <w:r>
              <w:rPr>
                <w:rFonts w:ascii="Arial" w:cs="Arial" w:eastAsia="Arial" w:hAnsi="Arial"/>
                <w:sz w:val="17"/>
                <w:szCs w:val="17"/>
                <w:color w:val="003551"/>
              </w:rPr>
              <w:t>100%</w:t>
            </w:r>
          </w:p>
        </w:tc>
        <w:tc>
          <w:tcPr>
            <w:tcW w:w="2140" w:type="dxa"/>
            <w:vAlign w:val="bottom"/>
          </w:tcPr>
          <w:p>
            <w:pPr>
              <w:ind w:left="380"/>
              <w:spacing w:after="0"/>
              <w:rPr>
                <w:sz w:val="20"/>
                <w:szCs w:val="20"/>
                <w:color w:val="auto"/>
              </w:rPr>
            </w:pPr>
            <w:r>
              <w:rPr>
                <w:rFonts w:ascii="Arial" w:cs="Arial" w:eastAsia="Arial" w:hAnsi="Arial"/>
                <w:sz w:val="17"/>
                <w:szCs w:val="17"/>
                <w:color w:val="003551"/>
              </w:rPr>
              <w:t>$984,000</w:t>
            </w:r>
          </w:p>
        </w:tc>
      </w:tr>
      <w:tr>
        <w:trPr>
          <w:trHeight w:val="432"/>
        </w:trPr>
        <w:tc>
          <w:tcPr>
            <w:tcW w:w="2380" w:type="dxa"/>
            <w:vAlign w:val="bottom"/>
          </w:tcPr>
          <w:p>
            <w:pPr>
              <w:ind w:left="140"/>
              <w:spacing w:after="0"/>
              <w:rPr>
                <w:sz w:val="20"/>
                <w:szCs w:val="20"/>
                <w:color w:val="auto"/>
              </w:rPr>
            </w:pPr>
            <w:r>
              <w:rPr>
                <w:rFonts w:ascii="Arial" w:cs="Arial" w:eastAsia="Arial" w:hAnsi="Arial"/>
                <w:sz w:val="17"/>
                <w:szCs w:val="17"/>
                <w:b w:val="1"/>
                <w:bCs w:val="1"/>
                <w:color w:val="003551"/>
              </w:rPr>
              <w:t>Daniel Roberts</w:t>
            </w:r>
          </w:p>
        </w:tc>
        <w:tc>
          <w:tcPr>
            <w:tcW w:w="3720" w:type="dxa"/>
            <w:vAlign w:val="bottom"/>
          </w:tcPr>
          <w:p>
            <w:pPr>
              <w:ind w:left="680"/>
              <w:spacing w:after="0"/>
              <w:rPr>
                <w:sz w:val="20"/>
                <w:szCs w:val="20"/>
                <w:color w:val="auto"/>
              </w:rPr>
            </w:pPr>
            <w:r>
              <w:rPr>
                <w:rFonts w:ascii="Arial" w:cs="Arial" w:eastAsia="Arial" w:hAnsi="Arial"/>
                <w:sz w:val="17"/>
                <w:szCs w:val="17"/>
                <w:color w:val="003551"/>
              </w:rPr>
              <w:t>100%</w:t>
            </w:r>
          </w:p>
        </w:tc>
        <w:tc>
          <w:tcPr>
            <w:tcW w:w="2140" w:type="dxa"/>
            <w:vAlign w:val="bottom"/>
          </w:tcPr>
          <w:p>
            <w:pPr>
              <w:ind w:left="380"/>
              <w:spacing w:after="0"/>
              <w:rPr>
                <w:sz w:val="20"/>
                <w:szCs w:val="20"/>
                <w:color w:val="auto"/>
              </w:rPr>
            </w:pPr>
            <w:r>
              <w:rPr>
                <w:rFonts w:ascii="Arial" w:cs="Arial" w:eastAsia="Arial" w:hAnsi="Arial"/>
                <w:sz w:val="17"/>
                <w:szCs w:val="17"/>
                <w:color w:val="003551"/>
              </w:rPr>
              <w:t>$984,000</w:t>
            </w:r>
          </w:p>
        </w:tc>
      </w:tr>
      <w:tr>
        <w:trPr>
          <w:trHeight w:val="594"/>
        </w:trPr>
        <w:tc>
          <w:tcPr>
            <w:tcW w:w="2380" w:type="dxa"/>
            <w:vAlign w:val="bottom"/>
          </w:tcPr>
          <w:p>
            <w:pPr>
              <w:ind w:left="140"/>
              <w:spacing w:after="0"/>
              <w:rPr>
                <w:sz w:val="20"/>
                <w:szCs w:val="20"/>
                <w:color w:val="auto"/>
              </w:rPr>
            </w:pPr>
            <w:r>
              <w:rPr>
                <w:rFonts w:ascii="Arial" w:cs="Arial" w:eastAsia="Arial" w:hAnsi="Arial"/>
                <w:sz w:val="17"/>
                <w:szCs w:val="17"/>
                <w:b w:val="1"/>
                <w:bCs w:val="1"/>
                <w:color w:val="003551"/>
              </w:rPr>
              <w:t>Belinda Nucifora</w:t>
            </w:r>
            <w:r>
              <w:rPr>
                <w:rFonts w:ascii="Arial" w:cs="Arial" w:eastAsia="Arial" w:hAnsi="Arial"/>
                <w:sz w:val="29"/>
                <w:szCs w:val="29"/>
                <w:b w:val="1"/>
                <w:bCs w:val="1"/>
                <w:color w:val="003551"/>
                <w:vertAlign w:val="superscript"/>
              </w:rPr>
              <w:t>(2)</w:t>
            </w:r>
          </w:p>
        </w:tc>
        <w:tc>
          <w:tcPr>
            <w:tcW w:w="3720" w:type="dxa"/>
            <w:vAlign w:val="bottom"/>
          </w:tcPr>
          <w:p>
            <w:pPr>
              <w:ind w:left="680"/>
              <w:spacing w:after="0"/>
              <w:rPr>
                <w:sz w:val="20"/>
                <w:szCs w:val="20"/>
                <w:color w:val="auto"/>
              </w:rPr>
            </w:pPr>
            <w:r>
              <w:rPr>
                <w:rFonts w:ascii="Arial" w:cs="Arial" w:eastAsia="Arial" w:hAnsi="Arial"/>
                <w:sz w:val="17"/>
                <w:szCs w:val="17"/>
                <w:color w:val="003551"/>
              </w:rPr>
              <w:t>80%</w:t>
            </w:r>
          </w:p>
        </w:tc>
        <w:tc>
          <w:tcPr>
            <w:tcW w:w="2140" w:type="dxa"/>
            <w:vAlign w:val="bottom"/>
          </w:tcPr>
          <w:p>
            <w:pPr>
              <w:ind w:left="380"/>
              <w:spacing w:after="0"/>
              <w:rPr>
                <w:sz w:val="20"/>
                <w:szCs w:val="20"/>
                <w:color w:val="auto"/>
              </w:rPr>
            </w:pPr>
            <w:r>
              <w:rPr>
                <w:rFonts w:ascii="Arial" w:cs="Arial" w:eastAsia="Arial" w:hAnsi="Arial"/>
                <w:sz w:val="17"/>
                <w:szCs w:val="17"/>
                <w:color w:val="003551"/>
              </w:rPr>
              <w:t>$258,144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-591820</wp:posOffset>
            </wp:positionV>
            <wp:extent cx="522351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223510"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-316865</wp:posOffset>
            </wp:positionV>
            <wp:extent cx="522351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223510" cy="8255"/>
                    </a:xfrm>
                    <a:prstGeom prst="rect">
                      <a:avLst/>
                    </a:prstGeom>
                    <a:noFill/>
                  </pic:spPr>
                </pic:pic>
              </a:graphicData>
            </a:graphic>
          </wp:anchor>
        </w:drawing>
      </w:r>
    </w:p>
    <w:p>
      <w:pPr>
        <w:spacing w:after="0" w:line="79" w:lineRule="exact"/>
        <w:rPr>
          <w:sz w:val="20"/>
          <w:szCs w:val="20"/>
          <w:color w:val="auto"/>
        </w:rPr>
      </w:pPr>
    </w:p>
    <w:p>
      <w:pPr>
        <w:ind w:left="1280" w:hanging="337"/>
        <w:spacing w:after="0"/>
        <w:tabs>
          <w:tab w:leader="none" w:pos="1280" w:val="left"/>
        </w:tabs>
        <w:numPr>
          <w:ilvl w:val="0"/>
          <w:numId w:val="21"/>
        </w:numPr>
        <w:rPr>
          <w:rFonts w:ascii="Arial" w:cs="Arial" w:eastAsia="Arial" w:hAnsi="Arial"/>
          <w:sz w:val="12"/>
          <w:szCs w:val="12"/>
          <w:i w:val="1"/>
          <w:iCs w:val="1"/>
          <w:color w:val="003551"/>
        </w:rPr>
      </w:pPr>
      <w:r>
        <w:rPr>
          <w:rFonts w:ascii="Arial" w:cs="Arial" w:eastAsia="Arial" w:hAnsi="Arial"/>
          <w:sz w:val="12"/>
          <w:szCs w:val="12"/>
          <w:i w:val="1"/>
          <w:iCs w:val="1"/>
          <w:color w:val="003551"/>
        </w:rPr>
        <w:t>Base salary includes Superannuation to calculate target STIP ($19,650 for Messrs. W. Roberts and D. Roberts and $19,317 for Ms. Nucifora).</w:t>
      </w:r>
    </w:p>
    <w:p>
      <w:pPr>
        <w:spacing w:after="0" w:line="2" w:lineRule="exact"/>
        <w:rPr>
          <w:rFonts w:ascii="Arial" w:cs="Arial" w:eastAsia="Arial" w:hAnsi="Arial"/>
          <w:sz w:val="12"/>
          <w:szCs w:val="12"/>
          <w:i w:val="1"/>
          <w:iCs w:val="1"/>
          <w:color w:val="003551"/>
        </w:rPr>
      </w:pPr>
    </w:p>
    <w:p>
      <w:pPr>
        <w:jc w:val="both"/>
        <w:ind w:left="1280" w:right="740" w:hanging="337"/>
        <w:spacing w:after="0"/>
        <w:tabs>
          <w:tab w:leader="none" w:pos="1280" w:val="left"/>
        </w:tabs>
        <w:numPr>
          <w:ilvl w:val="0"/>
          <w:numId w:val="21"/>
        </w:numPr>
        <w:rPr>
          <w:rFonts w:ascii="Arial" w:cs="Arial" w:eastAsia="Arial" w:hAnsi="Arial"/>
          <w:sz w:val="12"/>
          <w:szCs w:val="12"/>
          <w:i w:val="1"/>
          <w:iCs w:val="1"/>
          <w:color w:val="003551"/>
        </w:rPr>
      </w:pPr>
      <w:r>
        <w:rPr>
          <w:rFonts w:ascii="Arial" w:cs="Arial" w:eastAsia="Arial" w:hAnsi="Arial"/>
          <w:sz w:val="12"/>
          <w:szCs w:val="12"/>
          <w:i w:val="1"/>
          <w:iCs w:val="1"/>
          <w:color w:val="003551"/>
        </w:rPr>
        <w:t>Ms. Nucifora was paid in Australian Dollars (AUD). U.S. Dollar (USD) amounts in this Proxy Statement with respect to Ms. Nucifora have been converted from AUD at a rate of 0.6454 USD to one AUD. The exchange rate represents the 12-month average exchange rate during Fiscal 2025.</w:t>
      </w:r>
    </w:p>
    <w:p>
      <w:pPr>
        <w:spacing w:after="0" w:line="209" w:lineRule="exact"/>
        <w:rPr>
          <w:sz w:val="20"/>
          <w:szCs w:val="20"/>
          <w:color w:val="auto"/>
        </w:rPr>
      </w:pPr>
    </w:p>
    <w:p>
      <w:pPr>
        <w:ind w:left="940" w:right="940"/>
        <w:spacing w:after="0" w:line="256" w:lineRule="auto"/>
        <w:rPr>
          <w:sz w:val="20"/>
          <w:szCs w:val="20"/>
          <w:color w:val="auto"/>
        </w:rPr>
      </w:pPr>
      <w:r>
        <w:rPr>
          <w:rFonts w:ascii="Arial" w:cs="Arial" w:eastAsia="Arial" w:hAnsi="Arial"/>
          <w:sz w:val="17"/>
          <w:szCs w:val="17"/>
          <w:color w:val="003551"/>
        </w:rPr>
        <w:t>Under the STIP, bonus payments were based on achievement of key performance indicators (“</w:t>
      </w:r>
      <w:r>
        <w:rPr>
          <w:rFonts w:ascii="Arial" w:cs="Arial" w:eastAsia="Arial" w:hAnsi="Arial"/>
          <w:sz w:val="17"/>
          <w:szCs w:val="17"/>
          <w:b w:val="1"/>
          <w:bCs w:val="1"/>
          <w:color w:val="003551"/>
        </w:rPr>
        <w:t>KPIs</w:t>
      </w:r>
      <w:r>
        <w:rPr>
          <w:rFonts w:ascii="Arial" w:cs="Arial" w:eastAsia="Arial" w:hAnsi="Arial"/>
          <w:sz w:val="17"/>
          <w:szCs w:val="17"/>
          <w:color w:val="003551"/>
        </w:rPr>
        <w:t>”) established by our Board. In accordance with the terms of the STIP, the Board has exclusive authority to evaluate performance relative to the KPIs, and any resulting payment is wholly within the Board’s discretion.</w:t>
      </w:r>
    </w:p>
    <w:p>
      <w:pPr>
        <w:spacing w:after="0" w:line="98"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Our Fiscal 2025 STIP was measured against the following four KPIs:</w:t>
      </w:r>
    </w:p>
    <w:p>
      <w:pPr>
        <w:spacing w:after="0" w:line="143" w:lineRule="exact"/>
        <w:rPr>
          <w:sz w:val="20"/>
          <w:szCs w:val="20"/>
          <w:color w:val="auto"/>
        </w:rPr>
      </w:pPr>
    </w:p>
    <w:p>
      <w:pPr>
        <w:ind w:left="1280" w:right="880" w:hanging="337"/>
        <w:spacing w:after="0" w:line="248" w:lineRule="auto"/>
        <w:tabs>
          <w:tab w:leader="none" w:pos="1280" w:val="left"/>
        </w:tabs>
        <w:numPr>
          <w:ilvl w:val="0"/>
          <w:numId w:val="22"/>
        </w:numPr>
        <w:rPr>
          <w:rFonts w:ascii="Arial" w:cs="Arial" w:eastAsia="Arial" w:hAnsi="Arial"/>
          <w:sz w:val="17"/>
          <w:szCs w:val="17"/>
          <w:color w:val="003551"/>
        </w:rPr>
      </w:pPr>
      <w:r>
        <w:rPr>
          <w:rFonts w:ascii="Arial" w:cs="Arial" w:eastAsia="Arial" w:hAnsi="Arial"/>
          <w:sz w:val="17"/>
          <w:szCs w:val="17"/>
          <w:b w:val="1"/>
          <w:bCs w:val="1"/>
          <w:color w:val="003551"/>
        </w:rPr>
        <w:t>“Safety KPI”</w:t>
      </w:r>
      <w:r>
        <w:rPr>
          <w:rFonts w:ascii="Arial" w:cs="Arial" w:eastAsia="Arial" w:hAnsi="Arial"/>
          <w:sz w:val="17"/>
          <w:szCs w:val="17"/>
          <w:color w:val="003551"/>
        </w:rPr>
        <w:t>: IREN considers that safety should be a key focus for all functions including workplace</w:t>
      </w:r>
      <w:r>
        <w:rPr>
          <w:rFonts w:ascii="Arial" w:cs="Arial" w:eastAsia="Arial" w:hAnsi="Arial"/>
          <w:sz w:val="17"/>
          <w:szCs w:val="17"/>
          <w:b w:val="1"/>
          <w:bCs w:val="1"/>
          <w:color w:val="003551"/>
        </w:rPr>
        <w:t xml:space="preserve"> </w:t>
      </w:r>
      <w:r>
        <w:rPr>
          <w:rFonts w:ascii="Arial" w:cs="Arial" w:eastAsia="Arial" w:hAnsi="Arial"/>
          <w:sz w:val="17"/>
          <w:szCs w:val="17"/>
          <w:color w:val="003551"/>
        </w:rPr>
        <w:t>incident reduction, compliance with safety standards, reporting and training. This KPI promotes accountability, fosters a safety-first culture and aims to minimize risks to our employees and third parties. This KPI encourages effective safety risk management, proactive reporting, hazard identification, and continuous improvement in health and safety practices. By linking employee wellbeing to operational outcomes, this KPI is designed to support sustainable performance, reduce costs from accidents and enhances IREN’s reputation as a safe workplace.</w:t>
      </w:r>
    </w:p>
    <w:p>
      <w:pPr>
        <w:spacing w:after="0" w:line="92" w:lineRule="exact"/>
        <w:rPr>
          <w:rFonts w:ascii="Arial" w:cs="Arial" w:eastAsia="Arial" w:hAnsi="Arial"/>
          <w:sz w:val="17"/>
          <w:szCs w:val="17"/>
          <w:color w:val="003551"/>
        </w:rPr>
      </w:pPr>
    </w:p>
    <w:p>
      <w:pPr>
        <w:ind w:left="1280" w:hanging="337"/>
        <w:spacing w:after="0"/>
        <w:tabs>
          <w:tab w:leader="none" w:pos="1280" w:val="left"/>
        </w:tabs>
        <w:numPr>
          <w:ilvl w:val="0"/>
          <w:numId w:val="22"/>
        </w:numPr>
        <w:rPr>
          <w:rFonts w:ascii="Arial" w:cs="Arial" w:eastAsia="Arial" w:hAnsi="Arial"/>
          <w:sz w:val="17"/>
          <w:szCs w:val="17"/>
          <w:color w:val="003551"/>
        </w:rPr>
      </w:pPr>
      <w:r>
        <w:rPr>
          <w:rFonts w:ascii="Arial" w:cs="Arial" w:eastAsia="Arial" w:hAnsi="Arial"/>
          <w:sz w:val="17"/>
          <w:szCs w:val="17"/>
          <w:b w:val="1"/>
          <w:bCs w:val="1"/>
          <w:color w:val="003551"/>
        </w:rPr>
        <w:t>“Operations Scorecard KPI”</w:t>
      </w:r>
      <w:r>
        <w:rPr>
          <w:rFonts w:ascii="Arial" w:cs="Arial" w:eastAsia="Arial" w:hAnsi="Arial"/>
          <w:sz w:val="17"/>
          <w:szCs w:val="17"/>
          <w:color w:val="003551"/>
        </w:rPr>
        <w:t>: This KPI is measured against IREN’s operations scorecard, which</w:t>
      </w:r>
    </w:p>
    <w:p>
      <w:pPr>
        <w:spacing w:after="0" w:line="19" w:lineRule="exact"/>
        <w:rPr>
          <w:rFonts w:ascii="Arial" w:cs="Arial" w:eastAsia="Arial" w:hAnsi="Arial"/>
          <w:sz w:val="17"/>
          <w:szCs w:val="17"/>
          <w:color w:val="003551"/>
        </w:rPr>
      </w:pPr>
    </w:p>
    <w:p>
      <w:pPr>
        <w:ind w:left="1280" w:right="860"/>
        <w:spacing w:after="0" w:line="252" w:lineRule="auto"/>
        <w:rPr>
          <w:rFonts w:ascii="Arial" w:cs="Arial" w:eastAsia="Arial" w:hAnsi="Arial"/>
          <w:sz w:val="17"/>
          <w:szCs w:val="17"/>
          <w:color w:val="003551"/>
        </w:rPr>
      </w:pPr>
      <w:r>
        <w:rPr>
          <w:rFonts w:ascii="Arial" w:cs="Arial" w:eastAsia="Arial" w:hAnsi="Arial"/>
          <w:sz w:val="17"/>
          <w:szCs w:val="17"/>
          <w:color w:val="003551"/>
        </w:rPr>
        <w:t>measures performance against the following goals: safety, health and environment, growth, operations and demand response. This KPI is designed to provide clarity of goals and expectations for the site operations that support other functions in the business and are critical to IREN’s success.</w:t>
      </w:r>
    </w:p>
    <w:p>
      <w:pPr>
        <w:spacing w:after="0" w:line="99" w:lineRule="exact"/>
        <w:rPr>
          <w:rFonts w:ascii="Arial" w:cs="Arial" w:eastAsia="Arial" w:hAnsi="Arial"/>
          <w:sz w:val="17"/>
          <w:szCs w:val="17"/>
          <w:color w:val="003551"/>
        </w:rPr>
      </w:pPr>
    </w:p>
    <w:p>
      <w:pPr>
        <w:ind w:left="1280" w:right="740" w:hanging="337"/>
        <w:spacing w:after="0" w:line="256" w:lineRule="auto"/>
        <w:tabs>
          <w:tab w:leader="none" w:pos="1280" w:val="left"/>
        </w:tabs>
        <w:numPr>
          <w:ilvl w:val="0"/>
          <w:numId w:val="22"/>
        </w:numPr>
        <w:rPr>
          <w:rFonts w:ascii="Arial" w:cs="Arial" w:eastAsia="Arial" w:hAnsi="Arial"/>
          <w:sz w:val="17"/>
          <w:szCs w:val="17"/>
          <w:color w:val="003551"/>
        </w:rPr>
      </w:pPr>
      <w:r>
        <w:rPr>
          <w:rFonts w:ascii="Arial" w:cs="Arial" w:eastAsia="Arial" w:hAnsi="Arial"/>
          <w:sz w:val="17"/>
          <w:szCs w:val="17"/>
          <w:b w:val="1"/>
          <w:bCs w:val="1"/>
          <w:color w:val="003551"/>
        </w:rPr>
        <w:t>“Group Performance KPI”</w:t>
      </w:r>
      <w:r>
        <w:rPr>
          <w:rFonts w:ascii="Arial" w:cs="Arial" w:eastAsia="Arial" w:hAnsi="Arial"/>
          <w:sz w:val="17"/>
          <w:szCs w:val="17"/>
          <w:color w:val="003551"/>
        </w:rPr>
        <w:t>: IREN believes that each employee can contribute to the performance of</w:t>
      </w:r>
      <w:r>
        <w:rPr>
          <w:rFonts w:ascii="Arial" w:cs="Arial" w:eastAsia="Arial" w:hAnsi="Arial"/>
          <w:sz w:val="17"/>
          <w:szCs w:val="17"/>
          <w:b w:val="1"/>
          <w:bCs w:val="1"/>
          <w:color w:val="003551"/>
        </w:rPr>
        <w:t xml:space="preserve"> </w:t>
      </w:r>
      <w:r>
        <w:rPr>
          <w:rFonts w:ascii="Arial" w:cs="Arial" w:eastAsia="Arial" w:hAnsi="Arial"/>
          <w:sz w:val="17"/>
          <w:szCs w:val="17"/>
          <w:color w:val="003551"/>
        </w:rPr>
        <w:t>the group as a whole. This KPI provides the clear goal for cost efficiency and growth outcomes for all STIP participants, emphasizing that IREN’s overall performance reflects the quality of decision-making across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114300</wp:posOffset>
            </wp:positionV>
            <wp:extent cx="540385" cy="6318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228600</wp:posOffset>
            </wp:positionV>
            <wp:extent cx="6786880" cy="165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300" w:right="1120"/>
        <w:spacing w:after="0" w:line="255" w:lineRule="auto"/>
        <w:rPr>
          <w:sz w:val="20"/>
          <w:szCs w:val="20"/>
          <w:color w:val="auto"/>
        </w:rPr>
      </w:pPr>
      <w:r>
        <w:rPr>
          <w:rFonts w:ascii="Arial" w:cs="Arial" w:eastAsia="Arial" w:hAnsi="Arial"/>
          <w:sz w:val="17"/>
          <w:szCs w:val="17"/>
          <w:color w:val="003551"/>
        </w:rPr>
        <w:t>business units. This KPI combines quantitative metrics, such as project delivery rates, quality of outputs, and resource utilization, with qualitative indicators such as communication effectiveness, problem-solving, and knowledge sharing. This KPI ultimately links collective performance to organizational success.</w:t>
      </w:r>
    </w:p>
    <w:p>
      <w:pPr>
        <w:spacing w:after="0" w:line="84" w:lineRule="exact"/>
        <w:rPr>
          <w:sz w:val="20"/>
          <w:szCs w:val="20"/>
          <w:color w:val="auto"/>
        </w:rPr>
      </w:pPr>
    </w:p>
    <w:p>
      <w:pPr>
        <w:ind w:left="1280" w:right="780" w:hanging="337"/>
        <w:spacing w:after="0" w:line="252" w:lineRule="auto"/>
        <w:tabs>
          <w:tab w:leader="none" w:pos="1280" w:val="left"/>
        </w:tabs>
        <w:numPr>
          <w:ilvl w:val="0"/>
          <w:numId w:val="23"/>
        </w:numPr>
        <w:rPr>
          <w:rFonts w:ascii="Arial" w:cs="Arial" w:eastAsia="Arial" w:hAnsi="Arial"/>
          <w:sz w:val="17"/>
          <w:szCs w:val="17"/>
          <w:color w:val="003551"/>
        </w:rPr>
      </w:pPr>
      <w:r>
        <w:rPr>
          <w:rFonts w:ascii="Arial" w:cs="Arial" w:eastAsia="Arial" w:hAnsi="Arial"/>
          <w:sz w:val="17"/>
          <w:szCs w:val="17"/>
          <w:b w:val="1"/>
          <w:bCs w:val="1"/>
          <w:color w:val="003551"/>
        </w:rPr>
        <w:t>“Individual Performance KPI”</w:t>
      </w:r>
      <w:r>
        <w:rPr>
          <w:rFonts w:ascii="Arial" w:cs="Arial" w:eastAsia="Arial" w:hAnsi="Arial"/>
          <w:sz w:val="17"/>
          <w:szCs w:val="17"/>
          <w:color w:val="003551"/>
        </w:rPr>
        <w:t>: This KPI evaluates both quantitative outputs, such as sales targets,</w:t>
      </w:r>
      <w:r>
        <w:rPr>
          <w:rFonts w:ascii="Arial" w:cs="Arial" w:eastAsia="Arial" w:hAnsi="Arial"/>
          <w:sz w:val="17"/>
          <w:szCs w:val="17"/>
          <w:b w:val="1"/>
          <w:bCs w:val="1"/>
          <w:color w:val="003551"/>
        </w:rPr>
        <w:t xml:space="preserve"> </w:t>
      </w:r>
      <w:r>
        <w:rPr>
          <w:rFonts w:ascii="Arial" w:cs="Arial" w:eastAsia="Arial" w:hAnsi="Arial"/>
          <w:sz w:val="17"/>
          <w:szCs w:val="17"/>
          <w:color w:val="003551"/>
        </w:rPr>
        <w:t>project milestones, or task completion rates, and qualitative contributions like teamwork, innovation, and adherence to IREN values. It provides insight into an individual’s productivity, reliability, and impact on organizational success. This KPI is designed to drive accountability, personal development, and alignment between individual efforts and IREN’s strategic goals.</w:t>
      </w:r>
    </w:p>
    <w:p>
      <w:pPr>
        <w:spacing w:after="0" w:line="63" w:lineRule="exact"/>
        <w:rPr>
          <w:sz w:val="20"/>
          <w:szCs w:val="20"/>
          <w:color w:val="auto"/>
        </w:rPr>
      </w:pPr>
    </w:p>
    <w:p>
      <w:pPr>
        <w:ind w:left="940" w:right="920"/>
        <w:spacing w:after="0" w:line="283" w:lineRule="auto"/>
        <w:rPr>
          <w:sz w:val="20"/>
          <w:szCs w:val="20"/>
          <w:color w:val="auto"/>
        </w:rPr>
      </w:pPr>
      <w:r>
        <w:rPr>
          <w:rFonts w:ascii="Arial" w:cs="Arial" w:eastAsia="Arial" w:hAnsi="Arial"/>
          <w:sz w:val="17"/>
          <w:szCs w:val="17"/>
          <w:color w:val="003551"/>
        </w:rPr>
        <w:t>We believe these KPIs are directly linked to our business plan objectives, financial targets, and the long-term strategy of the business.</w:t>
      </w:r>
    </w:p>
    <w:p>
      <w:pPr>
        <w:spacing w:after="0" w:line="197"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Safety KPI</w:t>
      </w:r>
    </w:p>
    <w:p>
      <w:pPr>
        <w:spacing w:after="0" w:line="15" w:lineRule="exact"/>
        <w:rPr>
          <w:sz w:val="20"/>
          <w:szCs w:val="20"/>
          <w:color w:val="auto"/>
        </w:rPr>
      </w:pPr>
    </w:p>
    <w:p>
      <w:pPr>
        <w:ind w:left="940" w:right="820"/>
        <w:spacing w:after="0" w:line="263" w:lineRule="auto"/>
        <w:rPr>
          <w:sz w:val="20"/>
          <w:szCs w:val="20"/>
          <w:color w:val="auto"/>
        </w:rPr>
      </w:pPr>
      <w:r>
        <w:rPr>
          <w:rFonts w:ascii="Arial" w:cs="Arial" w:eastAsia="Arial" w:hAnsi="Arial"/>
          <w:sz w:val="17"/>
          <w:szCs w:val="17"/>
          <w:color w:val="003551"/>
        </w:rPr>
        <w:t>To assess the performance of IREN’s NEOs against the Safety KPI for the Fiscal 2025 STIP, the following was considered:</w:t>
      </w:r>
    </w:p>
    <w:p>
      <w:pPr>
        <w:spacing w:after="0" w:line="78" w:lineRule="exact"/>
        <w:rPr>
          <w:sz w:val="20"/>
          <w:szCs w:val="20"/>
          <w:color w:val="auto"/>
        </w:rPr>
      </w:pPr>
    </w:p>
    <w:p>
      <w:pPr>
        <w:ind w:left="1280" w:hanging="337"/>
        <w:spacing w:after="0"/>
        <w:tabs>
          <w:tab w:leader="none" w:pos="1280" w:val="left"/>
        </w:tabs>
        <w:numPr>
          <w:ilvl w:val="0"/>
          <w:numId w:val="24"/>
        </w:numPr>
        <w:rPr>
          <w:rFonts w:ascii="Arial" w:cs="Arial" w:eastAsia="Arial" w:hAnsi="Arial"/>
          <w:sz w:val="17"/>
          <w:szCs w:val="17"/>
          <w:color w:val="003551"/>
        </w:rPr>
      </w:pPr>
      <w:r>
        <w:rPr>
          <w:rFonts w:ascii="Arial" w:cs="Arial" w:eastAsia="Arial" w:hAnsi="Arial"/>
          <w:sz w:val="17"/>
          <w:szCs w:val="17"/>
          <w:b w:val="1"/>
          <w:bCs w:val="1"/>
          <w:color w:val="003551"/>
        </w:rPr>
        <w:t>Incident Reduction</w:t>
      </w:r>
      <w:r>
        <w:rPr>
          <w:rFonts w:ascii="Arial" w:cs="Arial" w:eastAsia="Arial" w:hAnsi="Arial"/>
          <w:sz w:val="17"/>
          <w:szCs w:val="17"/>
          <w:color w:val="003551"/>
        </w:rPr>
        <w:t>: injury frequency rates when compared to industry standards.</w:t>
      </w:r>
    </w:p>
    <w:p>
      <w:pPr>
        <w:spacing w:after="0" w:line="145" w:lineRule="exact"/>
        <w:rPr>
          <w:rFonts w:ascii="Arial" w:cs="Arial" w:eastAsia="Arial" w:hAnsi="Arial"/>
          <w:sz w:val="17"/>
          <w:szCs w:val="17"/>
          <w:color w:val="003551"/>
        </w:rPr>
      </w:pPr>
    </w:p>
    <w:p>
      <w:pPr>
        <w:ind w:left="1280" w:hanging="337"/>
        <w:spacing w:after="0"/>
        <w:tabs>
          <w:tab w:leader="none" w:pos="1280" w:val="left"/>
        </w:tabs>
        <w:numPr>
          <w:ilvl w:val="0"/>
          <w:numId w:val="24"/>
        </w:numPr>
        <w:rPr>
          <w:rFonts w:ascii="Arial" w:cs="Arial" w:eastAsia="Arial" w:hAnsi="Arial"/>
          <w:sz w:val="17"/>
          <w:szCs w:val="17"/>
          <w:color w:val="003551"/>
        </w:rPr>
      </w:pPr>
      <w:r>
        <w:rPr>
          <w:rFonts w:ascii="Arial" w:cs="Arial" w:eastAsia="Arial" w:hAnsi="Arial"/>
          <w:sz w:val="17"/>
          <w:szCs w:val="17"/>
          <w:b w:val="1"/>
          <w:bCs w:val="1"/>
          <w:color w:val="003551"/>
        </w:rPr>
        <w:t>Regulatory and Operational Compliance</w:t>
      </w:r>
      <w:r>
        <w:rPr>
          <w:rFonts w:ascii="Arial" w:cs="Arial" w:eastAsia="Arial" w:hAnsi="Arial"/>
          <w:sz w:val="17"/>
          <w:szCs w:val="17"/>
          <w:color w:val="003551"/>
        </w:rPr>
        <w:t>: the implementation of internal and external audits.</w:t>
      </w:r>
    </w:p>
    <w:p>
      <w:pPr>
        <w:spacing w:after="0" w:line="145" w:lineRule="exact"/>
        <w:rPr>
          <w:rFonts w:ascii="Arial" w:cs="Arial" w:eastAsia="Arial" w:hAnsi="Arial"/>
          <w:sz w:val="17"/>
          <w:szCs w:val="17"/>
          <w:color w:val="003551"/>
        </w:rPr>
      </w:pPr>
    </w:p>
    <w:p>
      <w:pPr>
        <w:ind w:left="1280" w:right="840" w:hanging="337"/>
        <w:spacing w:after="0" w:line="286" w:lineRule="auto"/>
        <w:tabs>
          <w:tab w:leader="none" w:pos="1280" w:val="left"/>
        </w:tabs>
        <w:numPr>
          <w:ilvl w:val="0"/>
          <w:numId w:val="24"/>
        </w:numPr>
        <w:rPr>
          <w:rFonts w:ascii="Arial" w:cs="Arial" w:eastAsia="Arial" w:hAnsi="Arial"/>
          <w:sz w:val="17"/>
          <w:szCs w:val="17"/>
          <w:color w:val="003551"/>
        </w:rPr>
      </w:pPr>
      <w:r>
        <w:rPr>
          <w:rFonts w:ascii="Arial" w:cs="Arial" w:eastAsia="Arial" w:hAnsi="Arial"/>
          <w:sz w:val="17"/>
          <w:szCs w:val="17"/>
          <w:b w:val="1"/>
          <w:bCs w:val="1"/>
          <w:color w:val="003551"/>
        </w:rPr>
        <w:t>Training and Procedures</w:t>
      </w:r>
      <w:r>
        <w:rPr>
          <w:rFonts w:ascii="Arial" w:cs="Arial" w:eastAsia="Arial" w:hAnsi="Arial"/>
          <w:sz w:val="17"/>
          <w:szCs w:val="17"/>
          <w:color w:val="003551"/>
        </w:rPr>
        <w:t>: internal and external training regarding safety and health procedures and</w:t>
      </w:r>
      <w:r>
        <w:rPr>
          <w:rFonts w:ascii="Arial" w:cs="Arial" w:eastAsia="Arial" w:hAnsi="Arial"/>
          <w:sz w:val="17"/>
          <w:szCs w:val="17"/>
          <w:b w:val="1"/>
          <w:bCs w:val="1"/>
          <w:color w:val="003551"/>
        </w:rPr>
        <w:t xml:space="preserve"> </w:t>
      </w:r>
      <w:r>
        <w:rPr>
          <w:rFonts w:ascii="Arial" w:cs="Arial" w:eastAsia="Arial" w:hAnsi="Arial"/>
          <w:sz w:val="17"/>
          <w:szCs w:val="17"/>
          <w:color w:val="003551"/>
        </w:rPr>
        <w:t>other protocols and risk management practices.</w:t>
      </w:r>
    </w:p>
    <w:p>
      <w:pPr>
        <w:spacing w:after="0" w:line="34" w:lineRule="exact"/>
        <w:rPr>
          <w:sz w:val="20"/>
          <w:szCs w:val="20"/>
          <w:color w:val="auto"/>
        </w:rPr>
      </w:pPr>
    </w:p>
    <w:p>
      <w:pPr>
        <w:ind w:left="940" w:right="1100"/>
        <w:spacing w:after="0" w:line="283" w:lineRule="auto"/>
        <w:rPr>
          <w:sz w:val="20"/>
          <w:szCs w:val="20"/>
          <w:color w:val="auto"/>
        </w:rPr>
      </w:pPr>
      <w:r>
        <w:rPr>
          <w:rFonts w:ascii="Arial" w:cs="Arial" w:eastAsia="Arial" w:hAnsi="Arial"/>
          <w:sz w:val="17"/>
          <w:szCs w:val="17"/>
          <w:i w:val="1"/>
          <w:iCs w:val="1"/>
          <w:color w:val="003551"/>
        </w:rPr>
        <w:t>Key Accomplishments</w:t>
      </w:r>
      <w:r>
        <w:rPr>
          <w:rFonts w:ascii="Arial" w:cs="Arial" w:eastAsia="Arial" w:hAnsi="Arial"/>
          <w:sz w:val="17"/>
          <w:szCs w:val="17"/>
          <w:color w:val="003551"/>
        </w:rPr>
        <w:t>: Maintained lower injury frequency rates when compared to industry standards,</w:t>
      </w:r>
      <w:r>
        <w:rPr>
          <w:rFonts w:ascii="Arial" w:cs="Arial" w:eastAsia="Arial" w:hAnsi="Arial"/>
          <w:sz w:val="17"/>
          <w:szCs w:val="17"/>
          <w:i w:val="1"/>
          <w:iCs w:val="1"/>
          <w:color w:val="003551"/>
        </w:rPr>
        <w:t xml:space="preserve"> </w:t>
      </w:r>
      <w:r>
        <w:rPr>
          <w:rFonts w:ascii="Arial" w:cs="Arial" w:eastAsia="Arial" w:hAnsi="Arial"/>
          <w:sz w:val="17"/>
          <w:szCs w:val="17"/>
          <w:color w:val="003551"/>
        </w:rPr>
        <w:t>conducted external audits on safety matters, developed new safety initiatives.</w:t>
      </w:r>
    </w:p>
    <w:p>
      <w:pPr>
        <w:spacing w:after="0" w:line="171"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Operations Scorecard KPI</w:t>
      </w:r>
    </w:p>
    <w:p>
      <w:pPr>
        <w:spacing w:after="0" w:line="15"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To assess the performance of IREN’s NEOs against the Operations Scorecard KPI for the Fiscal 2025</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STIP, the following was considered:</w:t>
      </w:r>
    </w:p>
    <w:p>
      <w:pPr>
        <w:spacing w:after="0" w:line="127" w:lineRule="exact"/>
        <w:rPr>
          <w:sz w:val="20"/>
          <w:szCs w:val="20"/>
          <w:color w:val="auto"/>
        </w:rPr>
      </w:pPr>
    </w:p>
    <w:p>
      <w:pPr>
        <w:ind w:left="1280" w:right="1620" w:hanging="337"/>
        <w:spacing w:after="0" w:line="286" w:lineRule="auto"/>
        <w:tabs>
          <w:tab w:leader="none" w:pos="1280" w:val="left"/>
        </w:tabs>
        <w:numPr>
          <w:ilvl w:val="0"/>
          <w:numId w:val="25"/>
        </w:numPr>
        <w:rPr>
          <w:rFonts w:ascii="Arial" w:cs="Arial" w:eastAsia="Arial" w:hAnsi="Arial"/>
          <w:sz w:val="17"/>
          <w:szCs w:val="17"/>
          <w:color w:val="003551"/>
        </w:rPr>
      </w:pPr>
      <w:r>
        <w:rPr>
          <w:rFonts w:ascii="Arial" w:cs="Arial" w:eastAsia="Arial" w:hAnsi="Arial"/>
          <w:sz w:val="17"/>
          <w:szCs w:val="17"/>
          <w:b w:val="1"/>
          <w:bCs w:val="1"/>
          <w:color w:val="003551"/>
        </w:rPr>
        <w:t xml:space="preserve">Safety, Health and Environment (15%): </w:t>
      </w:r>
      <w:r>
        <w:rPr>
          <w:rFonts w:ascii="Arial" w:cs="Arial" w:eastAsia="Arial" w:hAnsi="Arial"/>
          <w:sz w:val="17"/>
          <w:szCs w:val="17"/>
          <w:color w:val="003551"/>
        </w:rPr>
        <w:t>injuries and reportable events, audit findings and</w:t>
      </w:r>
      <w:r>
        <w:rPr>
          <w:rFonts w:ascii="Arial" w:cs="Arial" w:eastAsia="Arial" w:hAnsi="Arial"/>
          <w:sz w:val="17"/>
          <w:szCs w:val="17"/>
          <w:b w:val="1"/>
          <w:bCs w:val="1"/>
          <w:color w:val="003551"/>
        </w:rPr>
        <w:t xml:space="preserve"> </w:t>
      </w:r>
      <w:r>
        <w:rPr>
          <w:rFonts w:ascii="Arial" w:cs="Arial" w:eastAsia="Arial" w:hAnsi="Arial"/>
          <w:sz w:val="17"/>
          <w:szCs w:val="17"/>
          <w:color w:val="003551"/>
        </w:rPr>
        <w:t>compliance reviews.</w:t>
      </w:r>
    </w:p>
    <w:p>
      <w:pPr>
        <w:spacing w:after="0" w:line="71" w:lineRule="exact"/>
        <w:rPr>
          <w:rFonts w:ascii="Arial" w:cs="Arial" w:eastAsia="Arial" w:hAnsi="Arial"/>
          <w:sz w:val="17"/>
          <w:szCs w:val="17"/>
          <w:color w:val="003551"/>
        </w:rPr>
      </w:pPr>
    </w:p>
    <w:p>
      <w:pPr>
        <w:ind w:left="1280" w:hanging="337"/>
        <w:spacing w:after="0"/>
        <w:tabs>
          <w:tab w:leader="none" w:pos="1280" w:val="left"/>
        </w:tabs>
        <w:numPr>
          <w:ilvl w:val="0"/>
          <w:numId w:val="25"/>
        </w:numPr>
        <w:rPr>
          <w:rFonts w:ascii="Arial" w:cs="Arial" w:eastAsia="Arial" w:hAnsi="Arial"/>
          <w:sz w:val="17"/>
          <w:szCs w:val="17"/>
          <w:color w:val="003551"/>
        </w:rPr>
      </w:pPr>
      <w:r>
        <w:rPr>
          <w:rFonts w:ascii="Arial" w:cs="Arial" w:eastAsia="Arial" w:hAnsi="Arial"/>
          <w:sz w:val="17"/>
          <w:szCs w:val="17"/>
          <w:b w:val="1"/>
          <w:bCs w:val="1"/>
          <w:color w:val="003551"/>
        </w:rPr>
        <w:t xml:space="preserve">Growth (55%): </w:t>
      </w:r>
      <w:r>
        <w:rPr>
          <w:rFonts w:ascii="Arial" w:cs="Arial" w:eastAsia="Arial" w:hAnsi="Arial"/>
          <w:sz w:val="17"/>
          <w:szCs w:val="17"/>
          <w:color w:val="003551"/>
        </w:rPr>
        <w:t>data center expansion and improvements.</w:t>
      </w:r>
    </w:p>
    <w:p>
      <w:pPr>
        <w:spacing w:after="0" w:line="131" w:lineRule="exact"/>
        <w:rPr>
          <w:rFonts w:ascii="Arial" w:cs="Arial" w:eastAsia="Arial" w:hAnsi="Arial"/>
          <w:sz w:val="17"/>
          <w:szCs w:val="17"/>
          <w:color w:val="003551"/>
        </w:rPr>
      </w:pPr>
    </w:p>
    <w:p>
      <w:pPr>
        <w:ind w:left="1280" w:hanging="337"/>
        <w:spacing w:after="0"/>
        <w:tabs>
          <w:tab w:leader="none" w:pos="1280" w:val="left"/>
        </w:tabs>
        <w:numPr>
          <w:ilvl w:val="0"/>
          <w:numId w:val="25"/>
        </w:numPr>
        <w:rPr>
          <w:rFonts w:ascii="Arial" w:cs="Arial" w:eastAsia="Arial" w:hAnsi="Arial"/>
          <w:sz w:val="17"/>
          <w:szCs w:val="17"/>
          <w:color w:val="003551"/>
        </w:rPr>
      </w:pPr>
      <w:r>
        <w:rPr>
          <w:rFonts w:ascii="Arial" w:cs="Arial" w:eastAsia="Arial" w:hAnsi="Arial"/>
          <w:sz w:val="17"/>
          <w:szCs w:val="17"/>
          <w:b w:val="1"/>
          <w:bCs w:val="1"/>
          <w:color w:val="003551"/>
        </w:rPr>
        <w:t xml:space="preserve">Operations (15%): </w:t>
      </w:r>
      <w:r>
        <w:rPr>
          <w:rFonts w:ascii="Arial" w:cs="Arial" w:eastAsia="Arial" w:hAnsi="Arial"/>
          <w:sz w:val="17"/>
          <w:szCs w:val="17"/>
          <w:color w:val="003551"/>
        </w:rPr>
        <w:t>operational performance and reliability.</w:t>
      </w:r>
    </w:p>
    <w:p>
      <w:pPr>
        <w:spacing w:after="0" w:line="145" w:lineRule="exact"/>
        <w:rPr>
          <w:rFonts w:ascii="Arial" w:cs="Arial" w:eastAsia="Arial" w:hAnsi="Arial"/>
          <w:sz w:val="17"/>
          <w:szCs w:val="17"/>
          <w:color w:val="003551"/>
        </w:rPr>
      </w:pPr>
    </w:p>
    <w:p>
      <w:pPr>
        <w:ind w:left="1280" w:right="1200" w:hanging="337"/>
        <w:spacing w:after="0" w:line="286" w:lineRule="auto"/>
        <w:tabs>
          <w:tab w:leader="none" w:pos="1280" w:val="left"/>
        </w:tabs>
        <w:numPr>
          <w:ilvl w:val="0"/>
          <w:numId w:val="25"/>
        </w:numPr>
        <w:rPr>
          <w:rFonts w:ascii="Arial" w:cs="Arial" w:eastAsia="Arial" w:hAnsi="Arial"/>
          <w:sz w:val="17"/>
          <w:szCs w:val="17"/>
          <w:color w:val="003551"/>
        </w:rPr>
      </w:pPr>
      <w:r>
        <w:rPr>
          <w:rFonts w:ascii="Arial" w:cs="Arial" w:eastAsia="Arial" w:hAnsi="Arial"/>
          <w:sz w:val="17"/>
          <w:szCs w:val="17"/>
          <w:b w:val="1"/>
          <w:bCs w:val="1"/>
          <w:color w:val="003551"/>
        </w:rPr>
        <w:t xml:space="preserve">Demand Response (15%): </w:t>
      </w:r>
      <w:r>
        <w:rPr>
          <w:rFonts w:ascii="Arial" w:cs="Arial" w:eastAsia="Arial" w:hAnsi="Arial"/>
          <w:sz w:val="17"/>
          <w:szCs w:val="17"/>
          <w:color w:val="003551"/>
        </w:rPr>
        <w:t>performance against targets, emergency responses and curtailment</w:t>
      </w:r>
      <w:r>
        <w:rPr>
          <w:rFonts w:ascii="Arial" w:cs="Arial" w:eastAsia="Arial" w:hAnsi="Arial"/>
          <w:sz w:val="17"/>
          <w:szCs w:val="17"/>
          <w:b w:val="1"/>
          <w:bCs w:val="1"/>
          <w:color w:val="003551"/>
        </w:rPr>
        <w:t xml:space="preserve"> </w:t>
      </w:r>
      <w:r>
        <w:rPr>
          <w:rFonts w:ascii="Arial" w:cs="Arial" w:eastAsia="Arial" w:hAnsi="Arial"/>
          <w:sz w:val="17"/>
          <w:szCs w:val="17"/>
          <w:color w:val="003551"/>
        </w:rPr>
        <w:t>goals.</w:t>
      </w:r>
    </w:p>
    <w:p>
      <w:pPr>
        <w:spacing w:after="0" w:line="34" w:lineRule="exact"/>
        <w:rPr>
          <w:sz w:val="20"/>
          <w:szCs w:val="20"/>
          <w:color w:val="auto"/>
        </w:rPr>
      </w:pPr>
    </w:p>
    <w:p>
      <w:pPr>
        <w:ind w:left="940" w:right="840"/>
        <w:spacing w:after="0" w:line="283" w:lineRule="auto"/>
        <w:rPr>
          <w:sz w:val="20"/>
          <w:szCs w:val="20"/>
          <w:color w:val="auto"/>
        </w:rPr>
      </w:pPr>
      <w:r>
        <w:rPr>
          <w:rFonts w:ascii="Arial" w:cs="Arial" w:eastAsia="Arial" w:hAnsi="Arial"/>
          <w:sz w:val="17"/>
          <w:szCs w:val="17"/>
          <w:i w:val="1"/>
          <w:iCs w:val="1"/>
          <w:color w:val="003551"/>
        </w:rPr>
        <w:t>Key Accomplishments</w:t>
      </w:r>
      <w:r>
        <w:rPr>
          <w:rFonts w:ascii="Arial" w:cs="Arial" w:eastAsia="Arial" w:hAnsi="Arial"/>
          <w:sz w:val="17"/>
          <w:szCs w:val="17"/>
          <w:color w:val="003551"/>
        </w:rPr>
        <w:t>: Completed safety, health and environment reporting targets, achieved data center</w:t>
      </w:r>
      <w:r>
        <w:rPr>
          <w:rFonts w:ascii="Arial" w:cs="Arial" w:eastAsia="Arial" w:hAnsi="Arial"/>
          <w:sz w:val="17"/>
          <w:szCs w:val="17"/>
          <w:i w:val="1"/>
          <w:iCs w:val="1"/>
          <w:color w:val="003551"/>
        </w:rPr>
        <w:t xml:space="preserve"> </w:t>
      </w:r>
      <w:r>
        <w:rPr>
          <w:rFonts w:ascii="Arial" w:cs="Arial" w:eastAsia="Arial" w:hAnsi="Arial"/>
          <w:sz w:val="17"/>
          <w:szCs w:val="17"/>
          <w:color w:val="003551"/>
        </w:rPr>
        <w:t>expansion targets, high operational performance and reliability, achieved demand response goals.</w:t>
      </w:r>
    </w:p>
    <w:p>
      <w:pPr>
        <w:spacing w:after="0" w:line="184"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Group Performance KPI</w:t>
      </w:r>
    </w:p>
    <w:p>
      <w:pPr>
        <w:spacing w:after="0" w:line="15" w:lineRule="exact"/>
        <w:rPr>
          <w:sz w:val="20"/>
          <w:szCs w:val="20"/>
          <w:color w:val="auto"/>
        </w:rPr>
      </w:pPr>
    </w:p>
    <w:p>
      <w:pPr>
        <w:ind w:left="940" w:right="800"/>
        <w:spacing w:after="0" w:line="263" w:lineRule="auto"/>
        <w:rPr>
          <w:sz w:val="20"/>
          <w:szCs w:val="20"/>
          <w:color w:val="auto"/>
        </w:rPr>
      </w:pPr>
      <w:r>
        <w:rPr>
          <w:rFonts w:ascii="Arial" w:cs="Arial" w:eastAsia="Arial" w:hAnsi="Arial"/>
          <w:sz w:val="17"/>
          <w:szCs w:val="17"/>
          <w:color w:val="003551"/>
        </w:rPr>
        <w:t>To assess the performance of IREN’s NEOs against the Group Performance KPI for the Fiscal 2025 STIP, the following was considered:</w:t>
      </w:r>
    </w:p>
    <w:p>
      <w:pPr>
        <w:spacing w:after="0" w:line="78" w:lineRule="exact"/>
        <w:rPr>
          <w:sz w:val="20"/>
          <w:szCs w:val="20"/>
          <w:color w:val="auto"/>
        </w:rPr>
      </w:pPr>
    </w:p>
    <w:p>
      <w:pPr>
        <w:ind w:left="1280" w:hanging="337"/>
        <w:spacing w:after="0"/>
        <w:tabs>
          <w:tab w:leader="none" w:pos="1280" w:val="left"/>
        </w:tabs>
        <w:numPr>
          <w:ilvl w:val="0"/>
          <w:numId w:val="26"/>
        </w:numPr>
        <w:rPr>
          <w:rFonts w:ascii="Arial" w:cs="Arial" w:eastAsia="Arial" w:hAnsi="Arial"/>
          <w:sz w:val="17"/>
          <w:szCs w:val="17"/>
          <w:color w:val="003551"/>
        </w:rPr>
      </w:pPr>
      <w:r>
        <w:rPr>
          <w:rFonts w:ascii="Arial" w:cs="Arial" w:eastAsia="Arial" w:hAnsi="Arial"/>
          <w:sz w:val="17"/>
          <w:szCs w:val="17"/>
          <w:b w:val="1"/>
          <w:bCs w:val="1"/>
          <w:color w:val="003551"/>
        </w:rPr>
        <w:t xml:space="preserve">Capital and Cost Management: </w:t>
      </w:r>
      <w:r>
        <w:rPr>
          <w:rFonts w:ascii="Arial" w:cs="Arial" w:eastAsia="Arial" w:hAnsi="Arial"/>
          <w:sz w:val="17"/>
          <w:szCs w:val="17"/>
          <w:color w:val="003551"/>
        </w:rPr>
        <w:t>capital structure to meet goals including IREN’s growth initiatives.</w:t>
      </w:r>
    </w:p>
    <w:p>
      <w:pPr>
        <w:spacing w:after="0" w:line="145" w:lineRule="exact"/>
        <w:rPr>
          <w:rFonts w:ascii="Arial" w:cs="Arial" w:eastAsia="Arial" w:hAnsi="Arial"/>
          <w:sz w:val="17"/>
          <w:szCs w:val="17"/>
          <w:color w:val="003551"/>
        </w:rPr>
      </w:pPr>
    </w:p>
    <w:p>
      <w:pPr>
        <w:ind w:left="1280" w:right="880" w:hanging="337"/>
        <w:spacing w:after="0" w:line="286" w:lineRule="auto"/>
        <w:tabs>
          <w:tab w:leader="none" w:pos="1280" w:val="left"/>
        </w:tabs>
        <w:numPr>
          <w:ilvl w:val="0"/>
          <w:numId w:val="26"/>
        </w:numPr>
        <w:rPr>
          <w:rFonts w:ascii="Arial" w:cs="Arial" w:eastAsia="Arial" w:hAnsi="Arial"/>
          <w:sz w:val="17"/>
          <w:szCs w:val="17"/>
          <w:color w:val="003551"/>
        </w:rPr>
      </w:pPr>
      <w:r>
        <w:rPr>
          <w:rFonts w:ascii="Arial" w:cs="Arial" w:eastAsia="Arial" w:hAnsi="Arial"/>
          <w:sz w:val="17"/>
          <w:szCs w:val="17"/>
          <w:b w:val="1"/>
          <w:bCs w:val="1"/>
          <w:color w:val="003551"/>
        </w:rPr>
        <w:t xml:space="preserve">Development Pipeline: </w:t>
      </w:r>
      <w:r>
        <w:rPr>
          <w:rFonts w:ascii="Arial" w:cs="Arial" w:eastAsia="Arial" w:hAnsi="Arial"/>
          <w:sz w:val="17"/>
          <w:szCs w:val="17"/>
          <w:color w:val="003551"/>
        </w:rPr>
        <w:t>expansion target achievements, connections secured and any expansion of</w:t>
      </w:r>
      <w:r>
        <w:rPr>
          <w:rFonts w:ascii="Arial" w:cs="Arial" w:eastAsia="Arial" w:hAnsi="Arial"/>
          <w:sz w:val="17"/>
          <w:szCs w:val="17"/>
          <w:b w:val="1"/>
          <w:bCs w:val="1"/>
          <w:color w:val="003551"/>
        </w:rPr>
        <w:t xml:space="preserve"> </w:t>
      </w:r>
      <w:r>
        <w:rPr>
          <w:rFonts w:ascii="Arial" w:cs="Arial" w:eastAsia="Arial" w:hAnsi="Arial"/>
          <w:sz w:val="17"/>
          <w:szCs w:val="17"/>
          <w:color w:val="003551"/>
        </w:rPr>
        <w:t>IREN’s development sites.</w:t>
      </w:r>
    </w:p>
    <w:p>
      <w:pPr>
        <w:spacing w:after="0" w:line="58" w:lineRule="exact"/>
        <w:rPr>
          <w:rFonts w:ascii="Arial" w:cs="Arial" w:eastAsia="Arial" w:hAnsi="Arial"/>
          <w:sz w:val="17"/>
          <w:szCs w:val="17"/>
          <w:color w:val="003551"/>
        </w:rPr>
      </w:pPr>
    </w:p>
    <w:p>
      <w:pPr>
        <w:ind w:left="1280" w:right="1060" w:hanging="337"/>
        <w:spacing w:after="0" w:line="286" w:lineRule="auto"/>
        <w:tabs>
          <w:tab w:leader="none" w:pos="1280" w:val="left"/>
        </w:tabs>
        <w:numPr>
          <w:ilvl w:val="0"/>
          <w:numId w:val="26"/>
        </w:numPr>
        <w:rPr>
          <w:rFonts w:ascii="Arial" w:cs="Arial" w:eastAsia="Arial" w:hAnsi="Arial"/>
          <w:sz w:val="17"/>
          <w:szCs w:val="17"/>
          <w:color w:val="003551"/>
        </w:rPr>
      </w:pPr>
      <w:r>
        <w:rPr>
          <w:rFonts w:ascii="Arial" w:cs="Arial" w:eastAsia="Arial" w:hAnsi="Arial"/>
          <w:sz w:val="17"/>
          <w:szCs w:val="17"/>
          <w:b w:val="1"/>
          <w:bCs w:val="1"/>
          <w:color w:val="003551"/>
        </w:rPr>
        <w:t xml:space="preserve">Bitcoin Mining: </w:t>
      </w:r>
      <w:r>
        <w:rPr>
          <w:rFonts w:ascii="Arial" w:cs="Arial" w:eastAsia="Arial" w:hAnsi="Arial"/>
          <w:sz w:val="17"/>
          <w:szCs w:val="17"/>
          <w:color w:val="003551"/>
        </w:rPr>
        <w:t>performance against any Bitcoin mining related goals and uptime performance of</w:t>
      </w:r>
      <w:r>
        <w:rPr>
          <w:rFonts w:ascii="Arial" w:cs="Arial" w:eastAsia="Arial" w:hAnsi="Arial"/>
          <w:sz w:val="17"/>
          <w:szCs w:val="17"/>
          <w:b w:val="1"/>
          <w:bCs w:val="1"/>
          <w:color w:val="003551"/>
        </w:rPr>
        <w:t xml:space="preserve"> </w:t>
      </w:r>
      <w:r>
        <w:rPr>
          <w:rFonts w:ascii="Arial" w:cs="Arial" w:eastAsia="Arial" w:hAnsi="Arial"/>
          <w:sz w:val="17"/>
          <w:szCs w:val="17"/>
          <w:color w:val="003551"/>
        </w:rPr>
        <w:t>Bitcoin mining hardware.</w:t>
      </w:r>
    </w:p>
    <w:p>
      <w:pPr>
        <w:spacing w:after="0" w:line="71" w:lineRule="exact"/>
        <w:rPr>
          <w:rFonts w:ascii="Arial" w:cs="Arial" w:eastAsia="Arial" w:hAnsi="Arial"/>
          <w:sz w:val="17"/>
          <w:szCs w:val="17"/>
          <w:color w:val="003551"/>
        </w:rPr>
      </w:pPr>
    </w:p>
    <w:p>
      <w:pPr>
        <w:ind w:left="1280" w:right="980" w:hanging="337"/>
        <w:spacing w:after="0" w:line="286" w:lineRule="auto"/>
        <w:tabs>
          <w:tab w:leader="none" w:pos="1280" w:val="left"/>
        </w:tabs>
        <w:numPr>
          <w:ilvl w:val="0"/>
          <w:numId w:val="26"/>
        </w:numPr>
        <w:rPr>
          <w:rFonts w:ascii="Arial" w:cs="Arial" w:eastAsia="Arial" w:hAnsi="Arial"/>
          <w:sz w:val="17"/>
          <w:szCs w:val="17"/>
          <w:color w:val="003551"/>
        </w:rPr>
      </w:pPr>
      <w:r>
        <w:rPr>
          <w:rFonts w:ascii="Arial" w:cs="Arial" w:eastAsia="Arial" w:hAnsi="Arial"/>
          <w:sz w:val="17"/>
          <w:szCs w:val="17"/>
          <w:b w:val="1"/>
          <w:bCs w:val="1"/>
          <w:color w:val="003551"/>
        </w:rPr>
        <w:t xml:space="preserve">AI Cloud Services: </w:t>
      </w:r>
      <w:r>
        <w:rPr>
          <w:rFonts w:ascii="Arial" w:cs="Arial" w:eastAsia="Arial" w:hAnsi="Arial"/>
          <w:sz w:val="17"/>
          <w:szCs w:val="17"/>
          <w:color w:val="003551"/>
        </w:rPr>
        <w:t>performance against any AI Cloud Services related goals, customer objectives</w:t>
      </w:r>
      <w:r>
        <w:rPr>
          <w:rFonts w:ascii="Arial" w:cs="Arial" w:eastAsia="Arial" w:hAnsi="Arial"/>
          <w:sz w:val="17"/>
          <w:szCs w:val="17"/>
          <w:b w:val="1"/>
          <w:bCs w:val="1"/>
          <w:color w:val="003551"/>
        </w:rPr>
        <w:t xml:space="preserve"> </w:t>
      </w:r>
      <w:r>
        <w:rPr>
          <w:rFonts w:ascii="Arial" w:cs="Arial" w:eastAsia="Arial" w:hAnsi="Arial"/>
          <w:sz w:val="17"/>
          <w:szCs w:val="17"/>
          <w:color w:val="003551"/>
        </w:rPr>
        <w:t>and customer feedback goals.</w:t>
      </w:r>
    </w:p>
    <w:p>
      <w:pPr>
        <w:spacing w:after="0" w:line="71" w:lineRule="exact"/>
        <w:rPr>
          <w:rFonts w:ascii="Arial" w:cs="Arial" w:eastAsia="Arial" w:hAnsi="Arial"/>
          <w:sz w:val="17"/>
          <w:szCs w:val="17"/>
          <w:color w:val="003551"/>
        </w:rPr>
      </w:pPr>
    </w:p>
    <w:p>
      <w:pPr>
        <w:ind w:left="1280" w:hanging="337"/>
        <w:spacing w:after="0"/>
        <w:tabs>
          <w:tab w:leader="none" w:pos="1280" w:val="left"/>
        </w:tabs>
        <w:numPr>
          <w:ilvl w:val="0"/>
          <w:numId w:val="26"/>
        </w:numPr>
        <w:rPr>
          <w:rFonts w:ascii="Arial" w:cs="Arial" w:eastAsia="Arial" w:hAnsi="Arial"/>
          <w:sz w:val="17"/>
          <w:szCs w:val="17"/>
          <w:color w:val="003551"/>
        </w:rPr>
      </w:pPr>
      <w:r>
        <w:rPr>
          <w:rFonts w:ascii="Arial" w:cs="Arial" w:eastAsia="Arial" w:hAnsi="Arial"/>
          <w:sz w:val="17"/>
          <w:szCs w:val="17"/>
          <w:b w:val="1"/>
          <w:bCs w:val="1"/>
          <w:color w:val="003551"/>
        </w:rPr>
        <w:t xml:space="preserve">AI Data Centers: </w:t>
      </w:r>
      <w:r>
        <w:rPr>
          <w:rFonts w:ascii="Arial" w:cs="Arial" w:eastAsia="Arial" w:hAnsi="Arial"/>
          <w:sz w:val="17"/>
          <w:szCs w:val="17"/>
          <w:color w:val="003551"/>
        </w:rPr>
        <w:t>development and construction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145415</wp:posOffset>
            </wp:positionV>
            <wp:extent cx="540385" cy="6318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80" w:right="840" w:hanging="337"/>
        <w:spacing w:after="0" w:line="286" w:lineRule="auto"/>
        <w:tabs>
          <w:tab w:leader="none" w:pos="1280" w:val="left"/>
        </w:tabs>
        <w:numPr>
          <w:ilvl w:val="0"/>
          <w:numId w:val="27"/>
        </w:numPr>
        <w:rPr>
          <w:rFonts w:ascii="Arial" w:cs="Arial" w:eastAsia="Arial" w:hAnsi="Arial"/>
          <w:sz w:val="17"/>
          <w:szCs w:val="17"/>
          <w:color w:val="003551"/>
        </w:rPr>
      </w:pPr>
      <w:r>
        <w:rPr>
          <w:rFonts w:ascii="Arial" w:cs="Arial" w:eastAsia="Arial" w:hAnsi="Arial"/>
          <w:sz w:val="17"/>
          <w:szCs w:val="17"/>
          <w:b w:val="1"/>
          <w:bCs w:val="1"/>
          <w:color w:val="003551"/>
        </w:rPr>
        <w:t xml:space="preserve">Corporate Matters: </w:t>
      </w:r>
      <w:r>
        <w:rPr>
          <w:rFonts w:ascii="Arial" w:cs="Arial" w:eastAsia="Arial" w:hAnsi="Arial"/>
          <w:sz w:val="17"/>
          <w:szCs w:val="17"/>
          <w:color w:val="003551"/>
        </w:rPr>
        <w:t>the achievement of key corporate projects and objectives, including with respect</w:t>
      </w:r>
      <w:r>
        <w:rPr>
          <w:rFonts w:ascii="Arial" w:cs="Arial" w:eastAsia="Arial" w:hAnsi="Arial"/>
          <w:sz w:val="17"/>
          <w:szCs w:val="17"/>
          <w:b w:val="1"/>
          <w:bCs w:val="1"/>
          <w:color w:val="003551"/>
        </w:rPr>
        <w:t xml:space="preserve"> </w:t>
      </w:r>
      <w:r>
        <w:rPr>
          <w:rFonts w:ascii="Arial" w:cs="Arial" w:eastAsia="Arial" w:hAnsi="Arial"/>
          <w:sz w:val="17"/>
          <w:szCs w:val="17"/>
          <w:color w:val="003551"/>
        </w:rPr>
        <w:t>to corporate governance, listing and financial reporting.</w:t>
      </w:r>
    </w:p>
    <w:p>
      <w:pPr>
        <w:spacing w:after="0" w:line="34" w:lineRule="exact"/>
        <w:rPr>
          <w:sz w:val="20"/>
          <w:szCs w:val="20"/>
          <w:color w:val="auto"/>
        </w:rPr>
      </w:pPr>
    </w:p>
    <w:p>
      <w:pPr>
        <w:ind w:left="940" w:right="800"/>
        <w:spacing w:after="0" w:line="255" w:lineRule="auto"/>
        <w:rPr>
          <w:sz w:val="20"/>
          <w:szCs w:val="20"/>
          <w:color w:val="auto"/>
        </w:rPr>
      </w:pPr>
      <w:r>
        <w:rPr>
          <w:rFonts w:ascii="Arial" w:cs="Arial" w:eastAsia="Arial" w:hAnsi="Arial"/>
          <w:sz w:val="17"/>
          <w:szCs w:val="17"/>
          <w:i w:val="1"/>
          <w:iCs w:val="1"/>
          <w:color w:val="003551"/>
        </w:rPr>
        <w:t>Key Accomplishments</w:t>
      </w:r>
      <w:r>
        <w:rPr>
          <w:rFonts w:ascii="Arial" w:cs="Arial" w:eastAsia="Arial" w:hAnsi="Arial"/>
          <w:sz w:val="17"/>
          <w:szCs w:val="17"/>
          <w:color w:val="003551"/>
        </w:rPr>
        <w:t>: Raised significant capital through convertible note issuances, accelerated</w:t>
      </w:r>
      <w:r>
        <w:rPr>
          <w:rFonts w:ascii="Arial" w:cs="Arial" w:eastAsia="Arial" w:hAnsi="Arial"/>
          <w:sz w:val="17"/>
          <w:szCs w:val="17"/>
          <w:i w:val="1"/>
          <w:iCs w:val="1"/>
          <w:color w:val="003551"/>
        </w:rPr>
        <w:t xml:space="preserve"> </w:t>
      </w:r>
      <w:r>
        <w:rPr>
          <w:rFonts w:ascii="Arial" w:cs="Arial" w:eastAsia="Arial" w:hAnsi="Arial"/>
          <w:sz w:val="17"/>
          <w:szCs w:val="17"/>
          <w:color w:val="003551"/>
        </w:rPr>
        <w:t>energization timelines and increased development pipeline, achieved data center and hashrate expansion targets, increased GPU fleet size, commenced construction on key data centers and transitioned to U.S. domestic issuer status.</w:t>
      </w:r>
    </w:p>
    <w:p>
      <w:pPr>
        <w:spacing w:after="0" w:line="207"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Individual Performance</w:t>
      </w:r>
    </w:p>
    <w:p>
      <w:pPr>
        <w:spacing w:after="0" w:line="15"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To assess the performance of IREN’s NEOs against the Individual Performance KPI for the Fiscal 2025</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STIP, the following was considered:</w:t>
      </w:r>
    </w:p>
    <w:p>
      <w:pPr>
        <w:spacing w:after="0" w:line="127" w:lineRule="exact"/>
        <w:rPr>
          <w:sz w:val="20"/>
          <w:szCs w:val="20"/>
          <w:color w:val="auto"/>
        </w:rPr>
      </w:pPr>
    </w:p>
    <w:p>
      <w:pPr>
        <w:ind w:left="1280" w:hanging="337"/>
        <w:spacing w:after="0"/>
        <w:tabs>
          <w:tab w:leader="none" w:pos="1280" w:val="left"/>
        </w:tabs>
        <w:numPr>
          <w:ilvl w:val="0"/>
          <w:numId w:val="28"/>
        </w:numPr>
        <w:rPr>
          <w:rFonts w:ascii="Arial" w:cs="Arial" w:eastAsia="Arial" w:hAnsi="Arial"/>
          <w:sz w:val="17"/>
          <w:szCs w:val="17"/>
          <w:color w:val="003551"/>
        </w:rPr>
      </w:pPr>
      <w:r>
        <w:rPr>
          <w:rFonts w:ascii="Arial" w:cs="Arial" w:eastAsia="Arial" w:hAnsi="Arial"/>
          <w:sz w:val="17"/>
          <w:szCs w:val="17"/>
          <w:b w:val="1"/>
          <w:bCs w:val="1"/>
          <w:color w:val="003551"/>
        </w:rPr>
        <w:t>Individual Leadership and Stakeholder Engagement.</w:t>
      </w:r>
    </w:p>
    <w:p>
      <w:pPr>
        <w:spacing w:after="0" w:line="131" w:lineRule="exact"/>
        <w:rPr>
          <w:rFonts w:ascii="Arial" w:cs="Arial" w:eastAsia="Arial" w:hAnsi="Arial"/>
          <w:sz w:val="17"/>
          <w:szCs w:val="17"/>
          <w:color w:val="003551"/>
        </w:rPr>
      </w:pPr>
    </w:p>
    <w:p>
      <w:pPr>
        <w:ind w:left="1280" w:hanging="337"/>
        <w:spacing w:after="0"/>
        <w:tabs>
          <w:tab w:leader="none" w:pos="1280" w:val="left"/>
        </w:tabs>
        <w:numPr>
          <w:ilvl w:val="0"/>
          <w:numId w:val="28"/>
        </w:numPr>
        <w:rPr>
          <w:rFonts w:ascii="Arial" w:cs="Arial" w:eastAsia="Arial" w:hAnsi="Arial"/>
          <w:sz w:val="17"/>
          <w:szCs w:val="17"/>
          <w:color w:val="003551"/>
        </w:rPr>
      </w:pPr>
      <w:r>
        <w:rPr>
          <w:rFonts w:ascii="Arial" w:cs="Arial" w:eastAsia="Arial" w:hAnsi="Arial"/>
          <w:sz w:val="17"/>
          <w:szCs w:val="17"/>
          <w:b w:val="1"/>
          <w:bCs w:val="1"/>
          <w:color w:val="003551"/>
        </w:rPr>
        <w:t>Financial Results.</w:t>
      </w:r>
    </w:p>
    <w:p>
      <w:pPr>
        <w:spacing w:after="0" w:line="145" w:lineRule="exact"/>
        <w:rPr>
          <w:rFonts w:ascii="Arial" w:cs="Arial" w:eastAsia="Arial" w:hAnsi="Arial"/>
          <w:sz w:val="17"/>
          <w:szCs w:val="17"/>
          <w:color w:val="003551"/>
        </w:rPr>
      </w:pPr>
    </w:p>
    <w:p>
      <w:pPr>
        <w:ind w:left="1280" w:hanging="337"/>
        <w:spacing w:after="0"/>
        <w:tabs>
          <w:tab w:leader="none" w:pos="1280" w:val="left"/>
        </w:tabs>
        <w:numPr>
          <w:ilvl w:val="0"/>
          <w:numId w:val="28"/>
        </w:numPr>
        <w:rPr>
          <w:rFonts w:ascii="Arial" w:cs="Arial" w:eastAsia="Arial" w:hAnsi="Arial"/>
          <w:sz w:val="17"/>
          <w:szCs w:val="17"/>
          <w:color w:val="003551"/>
        </w:rPr>
      </w:pPr>
      <w:r>
        <w:rPr>
          <w:rFonts w:ascii="Arial" w:cs="Arial" w:eastAsia="Arial" w:hAnsi="Arial"/>
          <w:sz w:val="17"/>
          <w:szCs w:val="17"/>
          <w:b w:val="1"/>
          <w:bCs w:val="1"/>
          <w:color w:val="003551"/>
        </w:rPr>
        <w:t>Operating and Safety Performance.</w:t>
      </w:r>
    </w:p>
    <w:p>
      <w:pPr>
        <w:spacing w:after="0" w:line="145" w:lineRule="exact"/>
        <w:rPr>
          <w:rFonts w:ascii="Arial" w:cs="Arial" w:eastAsia="Arial" w:hAnsi="Arial"/>
          <w:sz w:val="17"/>
          <w:szCs w:val="17"/>
          <w:color w:val="003551"/>
        </w:rPr>
      </w:pPr>
    </w:p>
    <w:p>
      <w:pPr>
        <w:ind w:left="1280" w:hanging="337"/>
        <w:spacing w:after="0"/>
        <w:tabs>
          <w:tab w:leader="none" w:pos="1280" w:val="left"/>
        </w:tabs>
        <w:numPr>
          <w:ilvl w:val="0"/>
          <w:numId w:val="28"/>
        </w:numPr>
        <w:rPr>
          <w:rFonts w:ascii="Arial" w:cs="Arial" w:eastAsia="Arial" w:hAnsi="Arial"/>
          <w:sz w:val="17"/>
          <w:szCs w:val="17"/>
          <w:color w:val="003551"/>
        </w:rPr>
      </w:pPr>
      <w:r>
        <w:rPr>
          <w:rFonts w:ascii="Arial" w:cs="Arial" w:eastAsia="Arial" w:hAnsi="Arial"/>
          <w:sz w:val="17"/>
          <w:szCs w:val="17"/>
          <w:b w:val="1"/>
          <w:bCs w:val="1"/>
          <w:color w:val="003551"/>
        </w:rPr>
        <w:t>Customer and Partner Outcomes.</w:t>
      </w:r>
    </w:p>
    <w:p>
      <w:pPr>
        <w:spacing w:after="0" w:line="131" w:lineRule="exact"/>
        <w:rPr>
          <w:rFonts w:ascii="Arial" w:cs="Arial" w:eastAsia="Arial" w:hAnsi="Arial"/>
          <w:sz w:val="17"/>
          <w:szCs w:val="17"/>
          <w:color w:val="003551"/>
        </w:rPr>
      </w:pPr>
    </w:p>
    <w:p>
      <w:pPr>
        <w:ind w:left="1280" w:hanging="337"/>
        <w:spacing w:after="0"/>
        <w:tabs>
          <w:tab w:leader="none" w:pos="1280" w:val="left"/>
        </w:tabs>
        <w:numPr>
          <w:ilvl w:val="0"/>
          <w:numId w:val="28"/>
        </w:numPr>
        <w:rPr>
          <w:rFonts w:ascii="Arial" w:cs="Arial" w:eastAsia="Arial" w:hAnsi="Arial"/>
          <w:sz w:val="17"/>
          <w:szCs w:val="17"/>
          <w:color w:val="003551"/>
        </w:rPr>
      </w:pPr>
      <w:r>
        <w:rPr>
          <w:rFonts w:ascii="Arial" w:cs="Arial" w:eastAsia="Arial" w:hAnsi="Arial"/>
          <w:sz w:val="17"/>
          <w:szCs w:val="17"/>
          <w:b w:val="1"/>
          <w:bCs w:val="1"/>
          <w:color w:val="003551"/>
        </w:rPr>
        <w:t>Culture and Community.</w:t>
      </w:r>
    </w:p>
    <w:p>
      <w:pPr>
        <w:spacing w:after="0" w:line="268" w:lineRule="exact"/>
        <w:rPr>
          <w:sz w:val="20"/>
          <w:szCs w:val="20"/>
          <w:color w:val="auto"/>
        </w:rPr>
      </w:pPr>
    </w:p>
    <w:p>
      <w:pPr>
        <w:ind w:left="940"/>
        <w:spacing w:after="0"/>
        <w:rPr>
          <w:sz w:val="20"/>
          <w:szCs w:val="20"/>
          <w:color w:val="auto"/>
        </w:rPr>
      </w:pPr>
      <w:r>
        <w:rPr>
          <w:rFonts w:ascii="Arial" w:cs="Arial" w:eastAsia="Arial" w:hAnsi="Arial"/>
          <w:sz w:val="18"/>
          <w:szCs w:val="18"/>
          <w:b w:val="1"/>
          <w:bCs w:val="1"/>
          <w:i w:val="1"/>
          <w:iCs w:val="1"/>
          <w:u w:val="single" w:color="auto"/>
          <w:color w:val="003551"/>
        </w:rPr>
        <w:t>Key Accomplishments</w:t>
      </w:r>
      <w:r>
        <w:rPr>
          <w:rFonts w:ascii="Arial" w:cs="Arial" w:eastAsia="Arial" w:hAnsi="Arial"/>
          <w:sz w:val="18"/>
          <w:szCs w:val="18"/>
          <w:b w:val="1"/>
          <w:bCs w:val="1"/>
          <w:color w:val="003551"/>
        </w:rPr>
        <w:t>:</w:t>
      </w:r>
    </w:p>
    <w:p>
      <w:pPr>
        <w:spacing w:after="0" w:line="15" w:lineRule="exact"/>
        <w:rPr>
          <w:sz w:val="20"/>
          <w:szCs w:val="20"/>
          <w:color w:val="auto"/>
        </w:rPr>
      </w:pPr>
    </w:p>
    <w:p>
      <w:pPr>
        <w:jc w:val="both"/>
        <w:ind w:left="940" w:right="920"/>
        <w:spacing w:after="0" w:line="252" w:lineRule="auto"/>
        <w:rPr>
          <w:sz w:val="20"/>
          <w:szCs w:val="20"/>
          <w:color w:val="auto"/>
        </w:rPr>
      </w:pPr>
      <w:r>
        <w:rPr>
          <w:rFonts w:ascii="Arial" w:cs="Arial" w:eastAsia="Arial" w:hAnsi="Arial"/>
          <w:sz w:val="17"/>
          <w:szCs w:val="17"/>
          <w:color w:val="003551"/>
        </w:rPr>
        <w:t>William Roberts and Daniel Roberts: Drove significant expansion across the Bitcoin mining and AI Cloud Services businesses, secured additional projects for continued data center development, and developed supplier and customer relationships.</w:t>
      </w:r>
    </w:p>
    <w:p>
      <w:pPr>
        <w:spacing w:after="0" w:line="102"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Belinda Nucifora: Enabled IREN’s rapid expansion while maintaining balance sheet strength.</w:t>
      </w:r>
    </w:p>
    <w:p>
      <w:pPr>
        <w:spacing w:after="0" w:line="106" w:lineRule="exact"/>
        <w:rPr>
          <w:sz w:val="20"/>
          <w:szCs w:val="20"/>
          <w:color w:val="auto"/>
        </w:rPr>
      </w:pPr>
    </w:p>
    <w:p>
      <w:pPr>
        <w:ind w:left="940" w:right="780"/>
        <w:spacing w:after="0" w:line="252" w:lineRule="auto"/>
        <w:rPr>
          <w:sz w:val="20"/>
          <w:szCs w:val="20"/>
          <w:color w:val="auto"/>
        </w:rPr>
      </w:pPr>
      <w:r>
        <w:rPr>
          <w:rFonts w:ascii="Arial" w:cs="Arial" w:eastAsia="Arial" w:hAnsi="Arial"/>
          <w:sz w:val="17"/>
          <w:szCs w:val="17"/>
          <w:color w:val="003551"/>
        </w:rPr>
        <w:t>Based on the level of achievement of the KPIs for Fiscal 2025, as well as outstanding performance across IREN, the Board determined the STIP was achieved at maximum payout (200% for the Co-Chief Executive Officers and 150% for Ms. Nucifora). This payout aligns with IREN’s strong Fiscal 2025 performance. Accordingly, our NEOs received the following bonuses under the STIP in respect of Fiscal 2025:</w:t>
      </w:r>
    </w:p>
    <w:p>
      <w:pPr>
        <w:spacing w:after="0" w:line="322" w:lineRule="exact"/>
        <w:rPr>
          <w:sz w:val="20"/>
          <w:szCs w:val="20"/>
          <w:color w:val="auto"/>
        </w:rPr>
      </w:pPr>
    </w:p>
    <w:tbl>
      <w:tblPr>
        <w:tblLayout w:type="fixed"/>
        <w:tblInd w:w="940" w:type="dxa"/>
        <w:tblCellMar>
          <w:top w:w="0" w:type="dxa"/>
          <w:left w:w="0" w:type="dxa"/>
          <w:bottom w:w="0" w:type="dxa"/>
          <w:right w:w="0" w:type="dxa"/>
        </w:tblCellMar>
      </w:tblPr>
      <w:tr>
        <w:trPr>
          <w:trHeight w:val="335"/>
        </w:trPr>
        <w:tc>
          <w:tcPr>
            <w:tcW w:w="1960" w:type="dxa"/>
            <w:vAlign w:val="bottom"/>
            <w:shd w:val="clear" w:color="auto" w:fill="77C483"/>
          </w:tcPr>
          <w:p>
            <w:pPr>
              <w:spacing w:after="0"/>
              <w:rPr>
                <w:sz w:val="24"/>
                <w:szCs w:val="24"/>
                <w:color w:val="auto"/>
              </w:rPr>
            </w:pPr>
          </w:p>
        </w:tc>
        <w:tc>
          <w:tcPr>
            <w:tcW w:w="2040" w:type="dxa"/>
            <w:vAlign w:val="bottom"/>
            <w:vMerge w:val="restart"/>
            <w:shd w:val="clear" w:color="auto" w:fill="77C483"/>
          </w:tcPr>
          <w:p>
            <w:pPr>
              <w:ind w:left="240"/>
              <w:spacing w:after="0"/>
              <w:rPr>
                <w:sz w:val="20"/>
                <w:szCs w:val="20"/>
                <w:color w:val="auto"/>
              </w:rPr>
            </w:pPr>
            <w:r>
              <w:rPr>
                <w:rFonts w:ascii="Arial" w:cs="Arial" w:eastAsia="Arial" w:hAnsi="Arial"/>
                <w:sz w:val="17"/>
                <w:szCs w:val="17"/>
                <w:b w:val="1"/>
                <w:bCs w:val="1"/>
                <w:color w:val="003551"/>
              </w:rPr>
              <w:t>Target STIP Value</w:t>
            </w:r>
            <w:r>
              <w:rPr>
                <w:rFonts w:ascii="Arial" w:cs="Arial" w:eastAsia="Arial" w:hAnsi="Arial"/>
                <w:sz w:val="29"/>
                <w:szCs w:val="29"/>
                <w:b w:val="1"/>
                <w:bCs w:val="1"/>
                <w:color w:val="003551"/>
                <w:vertAlign w:val="superscript"/>
              </w:rPr>
              <w:t>(1)</w:t>
            </w:r>
          </w:p>
        </w:tc>
        <w:tc>
          <w:tcPr>
            <w:tcW w:w="2060" w:type="dxa"/>
            <w:vAlign w:val="bottom"/>
            <w:shd w:val="clear" w:color="auto" w:fill="77C483"/>
          </w:tcPr>
          <w:p>
            <w:pPr>
              <w:ind w:left="160"/>
              <w:spacing w:after="0"/>
              <w:rPr>
                <w:sz w:val="20"/>
                <w:szCs w:val="20"/>
                <w:color w:val="auto"/>
              </w:rPr>
            </w:pPr>
            <w:r>
              <w:rPr>
                <w:rFonts w:ascii="Arial" w:cs="Arial" w:eastAsia="Arial" w:hAnsi="Arial"/>
                <w:sz w:val="17"/>
                <w:szCs w:val="17"/>
                <w:b w:val="1"/>
                <w:bCs w:val="1"/>
                <w:color w:val="003551"/>
              </w:rPr>
              <w:t>Percentage of Target</w:t>
            </w:r>
          </w:p>
        </w:tc>
        <w:tc>
          <w:tcPr>
            <w:tcW w:w="2180" w:type="dxa"/>
            <w:vAlign w:val="bottom"/>
            <w:shd w:val="clear" w:color="auto" w:fill="77C483"/>
          </w:tcPr>
          <w:p>
            <w:pPr>
              <w:ind w:left="200"/>
              <w:spacing w:after="0"/>
              <w:rPr>
                <w:sz w:val="20"/>
                <w:szCs w:val="20"/>
                <w:color w:val="auto"/>
              </w:rPr>
            </w:pPr>
            <w:r>
              <w:rPr>
                <w:rFonts w:ascii="Arial" w:cs="Arial" w:eastAsia="Arial" w:hAnsi="Arial"/>
                <w:sz w:val="17"/>
                <w:szCs w:val="17"/>
                <w:b w:val="1"/>
                <w:bCs w:val="1"/>
                <w:color w:val="003551"/>
              </w:rPr>
              <w:t>Total Fiscal 2025 STIP</w:t>
            </w:r>
          </w:p>
        </w:tc>
        <w:tc>
          <w:tcPr>
            <w:tcW w:w="0" w:type="dxa"/>
            <w:vAlign w:val="bottom"/>
          </w:tcPr>
          <w:p>
            <w:pPr>
              <w:spacing w:after="0"/>
              <w:rPr>
                <w:sz w:val="1"/>
                <w:szCs w:val="1"/>
                <w:color w:val="auto"/>
              </w:rPr>
            </w:pPr>
          </w:p>
        </w:tc>
      </w:tr>
      <w:tr>
        <w:trPr>
          <w:trHeight w:val="333"/>
        </w:trPr>
        <w:tc>
          <w:tcPr>
            <w:tcW w:w="1960" w:type="dxa"/>
            <w:vAlign w:val="bottom"/>
            <w:tcBorders>
              <w:bottom w:val="single" w:sz="8" w:color="003551"/>
            </w:tcBorders>
            <w:shd w:val="clear" w:color="auto" w:fill="77C483"/>
          </w:tcPr>
          <w:p>
            <w:pPr>
              <w:ind w:left="140"/>
              <w:spacing w:after="0"/>
              <w:rPr>
                <w:sz w:val="20"/>
                <w:szCs w:val="20"/>
                <w:color w:val="auto"/>
              </w:rPr>
            </w:pPr>
            <w:r>
              <w:rPr>
                <w:rFonts w:ascii="Arial" w:cs="Arial" w:eastAsia="Arial" w:hAnsi="Arial"/>
                <w:sz w:val="17"/>
                <w:szCs w:val="17"/>
                <w:b w:val="1"/>
                <w:bCs w:val="1"/>
                <w:color w:val="003551"/>
              </w:rPr>
              <w:t>NEO</w:t>
            </w:r>
          </w:p>
        </w:tc>
        <w:tc>
          <w:tcPr>
            <w:tcW w:w="2040" w:type="dxa"/>
            <w:vAlign w:val="bottom"/>
            <w:tcBorders>
              <w:bottom w:val="single" w:sz="8" w:color="003551"/>
            </w:tcBorders>
            <w:vMerge w:val="continue"/>
            <w:shd w:val="clear" w:color="auto" w:fill="77C483"/>
          </w:tcPr>
          <w:p>
            <w:pPr>
              <w:spacing w:after="0"/>
              <w:rPr>
                <w:sz w:val="24"/>
                <w:szCs w:val="24"/>
                <w:color w:val="auto"/>
              </w:rPr>
            </w:pPr>
          </w:p>
        </w:tc>
        <w:tc>
          <w:tcPr>
            <w:tcW w:w="2060" w:type="dxa"/>
            <w:vAlign w:val="bottom"/>
            <w:tcBorders>
              <w:bottom w:val="single" w:sz="8" w:color="003551"/>
            </w:tcBorders>
            <w:shd w:val="clear" w:color="auto" w:fill="77C483"/>
          </w:tcPr>
          <w:p>
            <w:pPr>
              <w:ind w:left="160"/>
              <w:spacing w:after="0"/>
              <w:rPr>
                <w:sz w:val="20"/>
                <w:szCs w:val="20"/>
                <w:color w:val="auto"/>
              </w:rPr>
            </w:pPr>
            <w:r>
              <w:rPr>
                <w:rFonts w:ascii="Arial" w:cs="Arial" w:eastAsia="Arial" w:hAnsi="Arial"/>
                <w:sz w:val="17"/>
                <w:szCs w:val="17"/>
                <w:b w:val="1"/>
                <w:bCs w:val="1"/>
                <w:color w:val="003551"/>
              </w:rPr>
              <w:t>Earned</w:t>
            </w:r>
          </w:p>
        </w:tc>
        <w:tc>
          <w:tcPr>
            <w:tcW w:w="2180" w:type="dxa"/>
            <w:vAlign w:val="bottom"/>
            <w:tcBorders>
              <w:bottom w:val="single" w:sz="8" w:color="003551"/>
            </w:tcBorders>
            <w:shd w:val="clear" w:color="auto" w:fill="77C483"/>
          </w:tcPr>
          <w:p>
            <w:pPr>
              <w:ind w:left="200"/>
              <w:spacing w:after="0"/>
              <w:rPr>
                <w:sz w:val="20"/>
                <w:szCs w:val="20"/>
                <w:color w:val="auto"/>
              </w:rPr>
            </w:pPr>
            <w:r>
              <w:rPr>
                <w:rFonts w:ascii="Arial" w:cs="Arial" w:eastAsia="Arial" w:hAnsi="Arial"/>
                <w:sz w:val="17"/>
                <w:szCs w:val="17"/>
                <w:b w:val="1"/>
                <w:bCs w:val="1"/>
                <w:color w:val="003551"/>
              </w:rPr>
              <w:t>Award</w:t>
            </w:r>
          </w:p>
        </w:tc>
        <w:tc>
          <w:tcPr>
            <w:tcW w:w="0" w:type="dxa"/>
            <w:vAlign w:val="bottom"/>
          </w:tcPr>
          <w:p>
            <w:pPr>
              <w:spacing w:after="0"/>
              <w:rPr>
                <w:sz w:val="1"/>
                <w:szCs w:val="1"/>
                <w:color w:val="auto"/>
              </w:rPr>
            </w:pPr>
          </w:p>
        </w:tc>
      </w:tr>
      <w:tr>
        <w:trPr>
          <w:trHeight w:val="332"/>
        </w:trPr>
        <w:tc>
          <w:tcPr>
            <w:tcW w:w="1960" w:type="dxa"/>
            <w:vAlign w:val="bottom"/>
          </w:tcPr>
          <w:p>
            <w:pPr>
              <w:ind w:left="140"/>
              <w:spacing w:after="0"/>
              <w:rPr>
                <w:sz w:val="20"/>
                <w:szCs w:val="20"/>
                <w:color w:val="auto"/>
              </w:rPr>
            </w:pPr>
            <w:r>
              <w:rPr>
                <w:rFonts w:ascii="Arial" w:cs="Arial" w:eastAsia="Arial" w:hAnsi="Arial"/>
                <w:sz w:val="17"/>
                <w:szCs w:val="17"/>
                <w:b w:val="1"/>
                <w:bCs w:val="1"/>
                <w:color w:val="003551"/>
              </w:rPr>
              <w:t>William Roberts</w:t>
            </w:r>
          </w:p>
        </w:tc>
        <w:tc>
          <w:tcPr>
            <w:tcW w:w="2040" w:type="dxa"/>
            <w:vAlign w:val="bottom"/>
          </w:tcPr>
          <w:p>
            <w:pPr>
              <w:ind w:left="240"/>
              <w:spacing w:after="0"/>
              <w:rPr>
                <w:sz w:val="20"/>
                <w:szCs w:val="20"/>
                <w:color w:val="auto"/>
              </w:rPr>
            </w:pPr>
            <w:r>
              <w:rPr>
                <w:rFonts w:ascii="Arial" w:cs="Arial" w:eastAsia="Arial" w:hAnsi="Arial"/>
                <w:sz w:val="17"/>
                <w:szCs w:val="17"/>
                <w:color w:val="003551"/>
              </w:rPr>
              <w:t>$984,000</w:t>
            </w:r>
          </w:p>
        </w:tc>
        <w:tc>
          <w:tcPr>
            <w:tcW w:w="2060" w:type="dxa"/>
            <w:vAlign w:val="bottom"/>
          </w:tcPr>
          <w:p>
            <w:pPr>
              <w:ind w:left="160"/>
              <w:spacing w:after="0"/>
              <w:rPr>
                <w:sz w:val="20"/>
                <w:szCs w:val="20"/>
                <w:color w:val="auto"/>
              </w:rPr>
            </w:pPr>
            <w:r>
              <w:rPr>
                <w:rFonts w:ascii="Arial" w:cs="Arial" w:eastAsia="Arial" w:hAnsi="Arial"/>
                <w:sz w:val="17"/>
                <w:szCs w:val="17"/>
                <w:color w:val="003551"/>
              </w:rPr>
              <w:t>200%</w:t>
            </w:r>
          </w:p>
        </w:tc>
        <w:tc>
          <w:tcPr>
            <w:tcW w:w="2180" w:type="dxa"/>
            <w:vAlign w:val="bottom"/>
          </w:tcPr>
          <w:p>
            <w:pPr>
              <w:ind w:left="200"/>
              <w:spacing w:after="0"/>
              <w:rPr>
                <w:sz w:val="20"/>
                <w:szCs w:val="20"/>
                <w:color w:val="auto"/>
              </w:rPr>
            </w:pPr>
            <w:r>
              <w:rPr>
                <w:rFonts w:ascii="Arial" w:cs="Arial" w:eastAsia="Arial" w:hAnsi="Arial"/>
                <w:sz w:val="17"/>
                <w:szCs w:val="17"/>
                <w:color w:val="003551"/>
              </w:rPr>
              <w:t>$1,968,000</w:t>
            </w:r>
          </w:p>
        </w:tc>
        <w:tc>
          <w:tcPr>
            <w:tcW w:w="0" w:type="dxa"/>
            <w:vAlign w:val="bottom"/>
          </w:tcPr>
          <w:p>
            <w:pPr>
              <w:spacing w:after="0"/>
              <w:rPr>
                <w:sz w:val="1"/>
                <w:szCs w:val="1"/>
                <w:color w:val="auto"/>
              </w:rPr>
            </w:pPr>
          </w:p>
        </w:tc>
      </w:tr>
      <w:tr>
        <w:trPr>
          <w:trHeight w:val="432"/>
        </w:trPr>
        <w:tc>
          <w:tcPr>
            <w:tcW w:w="1960" w:type="dxa"/>
            <w:vAlign w:val="bottom"/>
          </w:tcPr>
          <w:p>
            <w:pPr>
              <w:ind w:left="140"/>
              <w:spacing w:after="0"/>
              <w:rPr>
                <w:sz w:val="20"/>
                <w:szCs w:val="20"/>
                <w:color w:val="auto"/>
              </w:rPr>
            </w:pPr>
            <w:r>
              <w:rPr>
                <w:rFonts w:ascii="Arial" w:cs="Arial" w:eastAsia="Arial" w:hAnsi="Arial"/>
                <w:sz w:val="17"/>
                <w:szCs w:val="17"/>
                <w:b w:val="1"/>
                <w:bCs w:val="1"/>
                <w:color w:val="003551"/>
              </w:rPr>
              <w:t>Daniel Roberts</w:t>
            </w:r>
          </w:p>
        </w:tc>
        <w:tc>
          <w:tcPr>
            <w:tcW w:w="2040" w:type="dxa"/>
            <w:vAlign w:val="bottom"/>
          </w:tcPr>
          <w:p>
            <w:pPr>
              <w:ind w:left="240"/>
              <w:spacing w:after="0"/>
              <w:rPr>
                <w:sz w:val="20"/>
                <w:szCs w:val="20"/>
                <w:color w:val="auto"/>
              </w:rPr>
            </w:pPr>
            <w:r>
              <w:rPr>
                <w:rFonts w:ascii="Arial" w:cs="Arial" w:eastAsia="Arial" w:hAnsi="Arial"/>
                <w:sz w:val="17"/>
                <w:szCs w:val="17"/>
                <w:color w:val="003551"/>
              </w:rPr>
              <w:t>$984,000</w:t>
            </w:r>
          </w:p>
        </w:tc>
        <w:tc>
          <w:tcPr>
            <w:tcW w:w="2060" w:type="dxa"/>
            <w:vAlign w:val="bottom"/>
          </w:tcPr>
          <w:p>
            <w:pPr>
              <w:ind w:left="160"/>
              <w:spacing w:after="0"/>
              <w:rPr>
                <w:sz w:val="20"/>
                <w:szCs w:val="20"/>
                <w:color w:val="auto"/>
              </w:rPr>
            </w:pPr>
            <w:r>
              <w:rPr>
                <w:rFonts w:ascii="Arial" w:cs="Arial" w:eastAsia="Arial" w:hAnsi="Arial"/>
                <w:sz w:val="17"/>
                <w:szCs w:val="17"/>
                <w:color w:val="003551"/>
              </w:rPr>
              <w:t>200%</w:t>
            </w:r>
          </w:p>
        </w:tc>
        <w:tc>
          <w:tcPr>
            <w:tcW w:w="2180" w:type="dxa"/>
            <w:vAlign w:val="bottom"/>
          </w:tcPr>
          <w:p>
            <w:pPr>
              <w:ind w:left="200"/>
              <w:spacing w:after="0"/>
              <w:rPr>
                <w:sz w:val="20"/>
                <w:szCs w:val="20"/>
                <w:color w:val="auto"/>
              </w:rPr>
            </w:pPr>
            <w:r>
              <w:rPr>
                <w:rFonts w:ascii="Arial" w:cs="Arial" w:eastAsia="Arial" w:hAnsi="Arial"/>
                <w:sz w:val="17"/>
                <w:szCs w:val="17"/>
                <w:color w:val="003551"/>
              </w:rPr>
              <w:t>$1,968,000</w:t>
            </w:r>
          </w:p>
        </w:tc>
        <w:tc>
          <w:tcPr>
            <w:tcW w:w="0" w:type="dxa"/>
            <w:vAlign w:val="bottom"/>
          </w:tcPr>
          <w:p>
            <w:pPr>
              <w:spacing w:after="0"/>
              <w:rPr>
                <w:sz w:val="1"/>
                <w:szCs w:val="1"/>
                <w:color w:val="auto"/>
              </w:rPr>
            </w:pPr>
          </w:p>
        </w:tc>
      </w:tr>
      <w:tr>
        <w:trPr>
          <w:trHeight w:val="594"/>
        </w:trPr>
        <w:tc>
          <w:tcPr>
            <w:tcW w:w="1960" w:type="dxa"/>
            <w:vAlign w:val="bottom"/>
          </w:tcPr>
          <w:p>
            <w:pPr>
              <w:ind w:left="140"/>
              <w:spacing w:after="0"/>
              <w:rPr>
                <w:sz w:val="20"/>
                <w:szCs w:val="20"/>
                <w:color w:val="auto"/>
              </w:rPr>
            </w:pPr>
            <w:r>
              <w:rPr>
                <w:rFonts w:ascii="Arial" w:cs="Arial" w:eastAsia="Arial" w:hAnsi="Arial"/>
                <w:sz w:val="17"/>
                <w:szCs w:val="17"/>
                <w:b w:val="1"/>
                <w:bCs w:val="1"/>
                <w:color w:val="003551"/>
              </w:rPr>
              <w:t>Belinda Nucifora</w:t>
            </w:r>
            <w:r>
              <w:rPr>
                <w:rFonts w:ascii="Arial" w:cs="Arial" w:eastAsia="Arial" w:hAnsi="Arial"/>
                <w:sz w:val="29"/>
                <w:szCs w:val="29"/>
                <w:b w:val="1"/>
                <w:bCs w:val="1"/>
                <w:color w:val="003551"/>
                <w:vertAlign w:val="superscript"/>
              </w:rPr>
              <w:t>(2)</w:t>
            </w:r>
          </w:p>
        </w:tc>
        <w:tc>
          <w:tcPr>
            <w:tcW w:w="2040" w:type="dxa"/>
            <w:vAlign w:val="bottom"/>
          </w:tcPr>
          <w:p>
            <w:pPr>
              <w:ind w:left="240"/>
              <w:spacing w:after="0"/>
              <w:rPr>
                <w:sz w:val="20"/>
                <w:szCs w:val="20"/>
                <w:color w:val="auto"/>
              </w:rPr>
            </w:pPr>
            <w:r>
              <w:rPr>
                <w:rFonts w:ascii="Arial" w:cs="Arial" w:eastAsia="Arial" w:hAnsi="Arial"/>
                <w:sz w:val="17"/>
                <w:szCs w:val="17"/>
                <w:color w:val="003551"/>
              </w:rPr>
              <w:t>$258,144</w:t>
            </w:r>
          </w:p>
        </w:tc>
        <w:tc>
          <w:tcPr>
            <w:tcW w:w="2060" w:type="dxa"/>
            <w:vAlign w:val="bottom"/>
          </w:tcPr>
          <w:p>
            <w:pPr>
              <w:ind w:left="160"/>
              <w:spacing w:after="0"/>
              <w:rPr>
                <w:sz w:val="20"/>
                <w:szCs w:val="20"/>
                <w:color w:val="auto"/>
              </w:rPr>
            </w:pPr>
            <w:r>
              <w:rPr>
                <w:rFonts w:ascii="Arial" w:cs="Arial" w:eastAsia="Arial" w:hAnsi="Arial"/>
                <w:sz w:val="17"/>
                <w:szCs w:val="17"/>
                <w:color w:val="003551"/>
              </w:rPr>
              <w:t>150%</w:t>
            </w:r>
          </w:p>
        </w:tc>
        <w:tc>
          <w:tcPr>
            <w:tcW w:w="2180" w:type="dxa"/>
            <w:vAlign w:val="bottom"/>
          </w:tcPr>
          <w:p>
            <w:pPr>
              <w:ind w:left="200"/>
              <w:spacing w:after="0"/>
              <w:rPr>
                <w:sz w:val="20"/>
                <w:szCs w:val="20"/>
                <w:color w:val="auto"/>
              </w:rPr>
            </w:pPr>
            <w:r>
              <w:rPr>
                <w:rFonts w:ascii="Arial" w:cs="Arial" w:eastAsia="Arial" w:hAnsi="Arial"/>
                <w:sz w:val="17"/>
                <w:szCs w:val="17"/>
                <w:color w:val="003551"/>
              </w:rPr>
              <w:t>$387,216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-591820</wp:posOffset>
            </wp:positionV>
            <wp:extent cx="522351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223510"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-316865</wp:posOffset>
            </wp:positionV>
            <wp:extent cx="522351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223510" cy="8255"/>
                    </a:xfrm>
                    <a:prstGeom prst="rect">
                      <a:avLst/>
                    </a:prstGeom>
                    <a:noFill/>
                  </pic:spPr>
                </pic:pic>
              </a:graphicData>
            </a:graphic>
          </wp:anchor>
        </w:drawing>
      </w:r>
    </w:p>
    <w:p>
      <w:pPr>
        <w:spacing w:after="0" w:line="66" w:lineRule="exact"/>
        <w:rPr>
          <w:sz w:val="20"/>
          <w:szCs w:val="20"/>
          <w:color w:val="auto"/>
        </w:rPr>
      </w:pPr>
    </w:p>
    <w:p>
      <w:pPr>
        <w:ind w:left="1280" w:hanging="337"/>
        <w:spacing w:after="0"/>
        <w:tabs>
          <w:tab w:leader="none" w:pos="1280" w:val="left"/>
        </w:tabs>
        <w:numPr>
          <w:ilvl w:val="0"/>
          <w:numId w:val="29"/>
        </w:numPr>
        <w:rPr>
          <w:rFonts w:ascii="Arial" w:cs="Arial" w:eastAsia="Arial" w:hAnsi="Arial"/>
          <w:sz w:val="12"/>
          <w:szCs w:val="12"/>
          <w:i w:val="1"/>
          <w:iCs w:val="1"/>
          <w:color w:val="003551"/>
        </w:rPr>
      </w:pPr>
      <w:r>
        <w:rPr>
          <w:rFonts w:ascii="Arial" w:cs="Arial" w:eastAsia="Arial" w:hAnsi="Arial"/>
          <w:sz w:val="12"/>
          <w:szCs w:val="12"/>
          <w:i w:val="1"/>
          <w:iCs w:val="1"/>
          <w:color w:val="003551"/>
        </w:rPr>
        <w:t>Target STIP values are set based on each NEO’s total annual remuneration, i.e., base salary plus Superannuation contributions.</w:t>
      </w:r>
    </w:p>
    <w:p>
      <w:pPr>
        <w:spacing w:after="0" w:line="2" w:lineRule="exact"/>
        <w:rPr>
          <w:rFonts w:ascii="Arial" w:cs="Arial" w:eastAsia="Arial" w:hAnsi="Arial"/>
          <w:sz w:val="12"/>
          <w:szCs w:val="12"/>
          <w:i w:val="1"/>
          <w:iCs w:val="1"/>
          <w:color w:val="003551"/>
        </w:rPr>
      </w:pPr>
    </w:p>
    <w:p>
      <w:pPr>
        <w:jc w:val="both"/>
        <w:ind w:left="1280" w:right="740" w:hanging="337"/>
        <w:spacing w:after="0"/>
        <w:tabs>
          <w:tab w:leader="none" w:pos="1280" w:val="left"/>
        </w:tabs>
        <w:numPr>
          <w:ilvl w:val="0"/>
          <w:numId w:val="29"/>
        </w:numPr>
        <w:rPr>
          <w:rFonts w:ascii="Arial" w:cs="Arial" w:eastAsia="Arial" w:hAnsi="Arial"/>
          <w:sz w:val="12"/>
          <w:szCs w:val="12"/>
          <w:i w:val="1"/>
          <w:iCs w:val="1"/>
          <w:color w:val="003551"/>
        </w:rPr>
      </w:pPr>
      <w:r>
        <w:rPr>
          <w:rFonts w:ascii="Arial" w:cs="Arial" w:eastAsia="Arial" w:hAnsi="Arial"/>
          <w:sz w:val="12"/>
          <w:szCs w:val="12"/>
          <w:i w:val="1"/>
          <w:iCs w:val="1"/>
          <w:color w:val="003551"/>
        </w:rPr>
        <w:t>Ms. Nucifora was paid in Australian dollars (AUD). U.S. Dollar (USD) amounts in this Proxy Statement with respect to Ms. Nucifora have been converted from AUD at a rate of 0.6454 USD to one AUD. The exchange rate represents the 12-month average exchange rate during Fiscal 2025.</w:t>
      </w:r>
    </w:p>
    <w:p>
      <w:pPr>
        <w:spacing w:after="0" w:line="345"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Long-Term Equity Incentive Compensation</w:t>
      </w:r>
    </w:p>
    <w:p>
      <w:pPr>
        <w:spacing w:after="0" w:line="15" w:lineRule="exact"/>
        <w:rPr>
          <w:sz w:val="20"/>
          <w:szCs w:val="20"/>
          <w:color w:val="auto"/>
        </w:rPr>
      </w:pPr>
    </w:p>
    <w:p>
      <w:pPr>
        <w:ind w:left="940" w:right="1000"/>
        <w:spacing w:after="0" w:line="246" w:lineRule="auto"/>
        <w:rPr>
          <w:sz w:val="20"/>
          <w:szCs w:val="20"/>
          <w:color w:val="auto"/>
        </w:rPr>
      </w:pPr>
      <w:r>
        <w:rPr>
          <w:rFonts w:ascii="Arial" w:cs="Arial" w:eastAsia="Arial" w:hAnsi="Arial"/>
          <w:sz w:val="17"/>
          <w:szCs w:val="17"/>
          <w:color w:val="003551"/>
        </w:rPr>
        <w:t>We believe that sustainable long-term performance is best achieved through a corporate culture that emphasizes long-term value creation at all levels of the organization. To reinforce this philosophy, IREN utilizes equity-based compensation for its employees, including our NEOs, to align their interests with those of its shareholders. The value of these awards is directly linked to IREN’s share performance, thereby incentivizing a long-term commitment to driving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121285</wp:posOffset>
            </wp:positionV>
            <wp:extent cx="540385" cy="6318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40" w:right="740"/>
        <w:spacing w:after="0" w:line="248" w:lineRule="auto"/>
        <w:rPr>
          <w:sz w:val="20"/>
          <w:szCs w:val="20"/>
          <w:color w:val="auto"/>
        </w:rPr>
      </w:pPr>
      <w:r>
        <w:rPr>
          <w:rFonts w:ascii="Arial" w:cs="Arial" w:eastAsia="Arial" w:hAnsi="Arial"/>
          <w:sz w:val="17"/>
          <w:szCs w:val="17"/>
          <w:color w:val="003551"/>
        </w:rPr>
        <w:t>During Fiscal 2025, IREN granted annual equity awards in the form of PRSUs (the “</w:t>
      </w:r>
      <w:r>
        <w:rPr>
          <w:rFonts w:ascii="Arial" w:cs="Arial" w:eastAsia="Arial" w:hAnsi="Arial"/>
          <w:sz w:val="17"/>
          <w:szCs w:val="17"/>
          <w:b w:val="1"/>
          <w:bCs w:val="1"/>
          <w:color w:val="003551"/>
        </w:rPr>
        <w:t>2025 Annual</w:t>
      </w:r>
      <w:r>
        <w:rPr>
          <w:rFonts w:ascii="Arial" w:cs="Arial" w:eastAsia="Arial" w:hAnsi="Arial"/>
          <w:sz w:val="17"/>
          <w:szCs w:val="17"/>
          <w:color w:val="003551"/>
        </w:rPr>
        <w:t xml:space="preserve"> </w:t>
      </w:r>
      <w:r>
        <w:rPr>
          <w:rFonts w:ascii="Arial" w:cs="Arial" w:eastAsia="Arial" w:hAnsi="Arial"/>
          <w:sz w:val="17"/>
          <w:szCs w:val="17"/>
          <w:b w:val="1"/>
          <w:bCs w:val="1"/>
          <w:color w:val="003551"/>
        </w:rPr>
        <w:t>PRSUs</w:t>
      </w:r>
      <w:r>
        <w:rPr>
          <w:rFonts w:ascii="Arial" w:cs="Arial" w:eastAsia="Arial" w:hAnsi="Arial"/>
          <w:sz w:val="17"/>
          <w:szCs w:val="17"/>
          <w:color w:val="003551"/>
        </w:rPr>
        <w:t>”) and TRSUs (the “</w:t>
      </w:r>
      <w:r>
        <w:rPr>
          <w:rFonts w:ascii="Arial" w:cs="Arial" w:eastAsia="Arial" w:hAnsi="Arial"/>
          <w:sz w:val="17"/>
          <w:szCs w:val="17"/>
          <w:b w:val="1"/>
          <w:bCs w:val="1"/>
          <w:color w:val="003551"/>
        </w:rPr>
        <w:t>2025 Annual TRSUs</w:t>
      </w:r>
      <w:r>
        <w:rPr>
          <w:rFonts w:ascii="Arial" w:cs="Arial" w:eastAsia="Arial" w:hAnsi="Arial"/>
          <w:sz w:val="17"/>
          <w:szCs w:val="17"/>
          <w:color w:val="003551"/>
        </w:rPr>
        <w:t>”) to our NEOs under the 2023 LTIP (the “</w:t>
      </w:r>
      <w:r>
        <w:rPr>
          <w:rFonts w:ascii="Arial" w:cs="Arial" w:eastAsia="Arial" w:hAnsi="Arial"/>
          <w:sz w:val="17"/>
          <w:szCs w:val="17"/>
          <w:b w:val="1"/>
          <w:bCs w:val="1"/>
          <w:color w:val="003551"/>
        </w:rPr>
        <w:t>2025 Annual Grants</w:t>
      </w:r>
      <w:r>
        <w:rPr>
          <w:rFonts w:ascii="Arial" w:cs="Arial" w:eastAsia="Arial" w:hAnsi="Arial"/>
          <w:sz w:val="17"/>
          <w:szCs w:val="17"/>
          <w:color w:val="003551"/>
        </w:rPr>
        <w:t>”). For our Co-Chief Executive Officers, the 2025 Annual Grants were allocated 66.7% to 2025</w:t>
      </w:r>
      <w:r>
        <w:rPr>
          <w:rFonts w:ascii="Arial" w:cs="Arial" w:eastAsia="Arial" w:hAnsi="Arial"/>
          <w:sz w:val="17"/>
          <w:szCs w:val="17"/>
          <w:b w:val="1"/>
          <w:bCs w:val="1"/>
          <w:color w:val="003551"/>
        </w:rPr>
        <w:t xml:space="preserve"> </w:t>
      </w:r>
      <w:r>
        <w:rPr>
          <w:rFonts w:ascii="Arial" w:cs="Arial" w:eastAsia="Arial" w:hAnsi="Arial"/>
          <w:sz w:val="17"/>
          <w:szCs w:val="17"/>
          <w:color w:val="003551"/>
        </w:rPr>
        <w:t>Annual PRSUs and 33.3% to 2025 Annual TRSUs. This increased weighting in PRSUs reinforces our pay-for-performance philosophy and supports the long-term interest of our shareholders. For Ms. Nucifora, the 2025 Annual Grants were allocated 66.6% to 2025 Annual TRSUs and 33.4% to 2025 Annual PRSUs. The 2025 Annual Grant target long-term values are shown below for each NEO.</w:t>
      </w:r>
    </w:p>
    <w:p>
      <w:pPr>
        <w:spacing w:after="0" w:line="111" w:lineRule="exact"/>
        <w:rPr>
          <w:sz w:val="20"/>
          <w:szCs w:val="20"/>
          <w:color w:val="auto"/>
        </w:rPr>
      </w:pPr>
    </w:p>
    <w:tbl>
      <w:tblPr>
        <w:tblLayout w:type="fixed"/>
        <w:tblInd w:w="940" w:type="dxa"/>
        <w:tblCellMar>
          <w:top w:w="0" w:type="dxa"/>
          <w:left w:w="0" w:type="dxa"/>
          <w:bottom w:w="0" w:type="dxa"/>
          <w:right w:w="0" w:type="dxa"/>
        </w:tblCellMar>
      </w:tblPr>
      <w:tr>
        <w:trPr>
          <w:trHeight w:val="378"/>
        </w:trPr>
        <w:tc>
          <w:tcPr>
            <w:tcW w:w="80" w:type="dxa"/>
            <w:vAlign w:val="bottom"/>
            <w:shd w:val="clear" w:color="auto" w:fill="77C483"/>
          </w:tcPr>
          <w:p>
            <w:pPr>
              <w:spacing w:after="0"/>
              <w:rPr>
                <w:sz w:val="24"/>
                <w:szCs w:val="24"/>
                <w:color w:val="auto"/>
              </w:rPr>
            </w:pPr>
          </w:p>
        </w:tc>
        <w:tc>
          <w:tcPr>
            <w:tcW w:w="2000" w:type="dxa"/>
            <w:vAlign w:val="bottom"/>
            <w:shd w:val="clear" w:color="auto" w:fill="77C483"/>
          </w:tcPr>
          <w:p>
            <w:pPr>
              <w:ind w:left="60"/>
              <w:spacing w:after="0"/>
              <w:rPr>
                <w:sz w:val="20"/>
                <w:szCs w:val="20"/>
                <w:color w:val="auto"/>
              </w:rPr>
            </w:pPr>
            <w:r>
              <w:rPr>
                <w:rFonts w:ascii="Arial" w:cs="Arial" w:eastAsia="Arial" w:hAnsi="Arial"/>
                <w:sz w:val="17"/>
                <w:szCs w:val="17"/>
                <w:b w:val="1"/>
                <w:bCs w:val="1"/>
                <w:color w:val="003551"/>
              </w:rPr>
              <w:t>NEO</w:t>
            </w:r>
          </w:p>
        </w:tc>
        <w:tc>
          <w:tcPr>
            <w:tcW w:w="1500" w:type="dxa"/>
            <w:vAlign w:val="bottom"/>
            <w:shd w:val="clear" w:color="auto" w:fill="77C483"/>
          </w:tcPr>
          <w:p>
            <w:pPr>
              <w:ind w:left="200"/>
              <w:spacing w:after="0"/>
              <w:rPr>
                <w:sz w:val="20"/>
                <w:szCs w:val="20"/>
                <w:color w:val="auto"/>
              </w:rPr>
            </w:pPr>
            <w:r>
              <w:rPr>
                <w:rFonts w:ascii="Arial" w:cs="Arial" w:eastAsia="Arial" w:hAnsi="Arial"/>
                <w:sz w:val="17"/>
                <w:szCs w:val="17"/>
                <w:b w:val="1"/>
                <w:bCs w:val="1"/>
                <w:color w:val="003551"/>
              </w:rPr>
              <w:t>TRSUs Value</w:t>
            </w:r>
          </w:p>
        </w:tc>
        <w:tc>
          <w:tcPr>
            <w:tcW w:w="2080" w:type="dxa"/>
            <w:vAlign w:val="bottom"/>
            <w:shd w:val="clear" w:color="auto" w:fill="77C483"/>
          </w:tcPr>
          <w:p>
            <w:pPr>
              <w:ind w:left="200"/>
              <w:spacing w:after="0"/>
              <w:rPr>
                <w:sz w:val="20"/>
                <w:szCs w:val="20"/>
                <w:color w:val="auto"/>
              </w:rPr>
            </w:pPr>
            <w:r>
              <w:rPr>
                <w:rFonts w:ascii="Arial" w:cs="Arial" w:eastAsia="Arial" w:hAnsi="Arial"/>
                <w:sz w:val="17"/>
                <w:szCs w:val="17"/>
                <w:b w:val="1"/>
                <w:bCs w:val="1"/>
                <w:color w:val="003551"/>
              </w:rPr>
              <w:t>Target PRSUs Value</w:t>
            </w:r>
          </w:p>
        </w:tc>
        <w:tc>
          <w:tcPr>
            <w:tcW w:w="2580" w:type="dxa"/>
            <w:vAlign w:val="bottom"/>
            <w:shd w:val="clear" w:color="auto" w:fill="77C483"/>
          </w:tcPr>
          <w:p>
            <w:pPr>
              <w:ind w:left="220"/>
              <w:spacing w:after="0"/>
              <w:rPr>
                <w:sz w:val="20"/>
                <w:szCs w:val="20"/>
                <w:color w:val="auto"/>
              </w:rPr>
            </w:pPr>
            <w:r>
              <w:rPr>
                <w:rFonts w:ascii="Arial" w:cs="Arial" w:eastAsia="Arial" w:hAnsi="Arial"/>
                <w:sz w:val="17"/>
                <w:szCs w:val="17"/>
                <w:b w:val="1"/>
                <w:bCs w:val="1"/>
                <w:color w:val="003551"/>
              </w:rPr>
              <w:t>Total Fiscal 2025 Value</w:t>
            </w:r>
          </w:p>
        </w:tc>
        <w:tc>
          <w:tcPr>
            <w:tcW w:w="0" w:type="dxa"/>
            <w:vAlign w:val="bottom"/>
          </w:tcPr>
          <w:p>
            <w:pPr>
              <w:spacing w:after="0"/>
              <w:rPr>
                <w:sz w:val="1"/>
                <w:szCs w:val="1"/>
                <w:color w:val="auto"/>
              </w:rPr>
            </w:pPr>
          </w:p>
        </w:tc>
      </w:tr>
      <w:tr>
        <w:trPr>
          <w:trHeight w:val="93"/>
        </w:trPr>
        <w:tc>
          <w:tcPr>
            <w:tcW w:w="80" w:type="dxa"/>
            <w:vAlign w:val="bottom"/>
            <w:tcBorders>
              <w:bottom w:val="single" w:sz="8" w:color="003551"/>
            </w:tcBorders>
            <w:shd w:val="clear" w:color="auto" w:fill="77C483"/>
          </w:tcPr>
          <w:p>
            <w:pPr>
              <w:spacing w:after="0"/>
              <w:rPr>
                <w:sz w:val="8"/>
                <w:szCs w:val="8"/>
                <w:color w:val="auto"/>
              </w:rPr>
            </w:pPr>
          </w:p>
        </w:tc>
        <w:tc>
          <w:tcPr>
            <w:tcW w:w="2000" w:type="dxa"/>
            <w:vAlign w:val="bottom"/>
            <w:tcBorders>
              <w:bottom w:val="single" w:sz="8" w:color="003551"/>
            </w:tcBorders>
            <w:shd w:val="clear" w:color="auto" w:fill="77C483"/>
          </w:tcPr>
          <w:p>
            <w:pPr>
              <w:spacing w:after="0"/>
              <w:rPr>
                <w:sz w:val="8"/>
                <w:szCs w:val="8"/>
                <w:color w:val="auto"/>
              </w:rPr>
            </w:pPr>
          </w:p>
        </w:tc>
        <w:tc>
          <w:tcPr>
            <w:tcW w:w="1500" w:type="dxa"/>
            <w:vAlign w:val="bottom"/>
            <w:tcBorders>
              <w:bottom w:val="single" w:sz="8" w:color="003551"/>
            </w:tcBorders>
            <w:shd w:val="clear" w:color="auto" w:fill="77C483"/>
          </w:tcPr>
          <w:p>
            <w:pPr>
              <w:spacing w:after="0"/>
              <w:rPr>
                <w:sz w:val="8"/>
                <w:szCs w:val="8"/>
                <w:color w:val="auto"/>
              </w:rPr>
            </w:pPr>
          </w:p>
        </w:tc>
        <w:tc>
          <w:tcPr>
            <w:tcW w:w="2080" w:type="dxa"/>
            <w:vAlign w:val="bottom"/>
            <w:tcBorders>
              <w:bottom w:val="single" w:sz="8" w:color="003551"/>
            </w:tcBorders>
            <w:shd w:val="clear" w:color="auto" w:fill="77C483"/>
          </w:tcPr>
          <w:p>
            <w:pPr>
              <w:spacing w:after="0"/>
              <w:rPr>
                <w:sz w:val="8"/>
                <w:szCs w:val="8"/>
                <w:color w:val="auto"/>
              </w:rPr>
            </w:pPr>
          </w:p>
        </w:tc>
        <w:tc>
          <w:tcPr>
            <w:tcW w:w="2580" w:type="dxa"/>
            <w:vAlign w:val="bottom"/>
            <w:tcBorders>
              <w:bottom w:val="single" w:sz="8" w:color="003551"/>
            </w:tcBorders>
            <w:shd w:val="clear" w:color="auto" w:fill="77C483"/>
          </w:tcPr>
          <w:p>
            <w:pPr>
              <w:spacing w:after="0"/>
              <w:rPr>
                <w:sz w:val="8"/>
                <w:szCs w:val="8"/>
                <w:color w:val="auto"/>
              </w:rPr>
            </w:pPr>
          </w:p>
        </w:tc>
        <w:tc>
          <w:tcPr>
            <w:tcW w:w="0" w:type="dxa"/>
            <w:vAlign w:val="bottom"/>
          </w:tcPr>
          <w:p>
            <w:pPr>
              <w:spacing w:after="0"/>
              <w:rPr>
                <w:sz w:val="1"/>
                <w:szCs w:val="1"/>
                <w:color w:val="auto"/>
              </w:rPr>
            </w:pPr>
          </w:p>
        </w:tc>
      </w:tr>
      <w:tr>
        <w:trPr>
          <w:trHeight w:val="332"/>
        </w:trPr>
        <w:tc>
          <w:tcPr>
            <w:tcW w:w="80" w:type="dxa"/>
            <w:vAlign w:val="bottom"/>
          </w:tcPr>
          <w:p>
            <w:pPr>
              <w:spacing w:after="0"/>
              <w:rPr>
                <w:sz w:val="24"/>
                <w:szCs w:val="24"/>
                <w:color w:val="auto"/>
              </w:rPr>
            </w:pPr>
          </w:p>
        </w:tc>
        <w:tc>
          <w:tcPr>
            <w:tcW w:w="2000" w:type="dxa"/>
            <w:vAlign w:val="bottom"/>
          </w:tcPr>
          <w:p>
            <w:pPr>
              <w:ind w:left="60"/>
              <w:spacing w:after="0"/>
              <w:rPr>
                <w:sz w:val="20"/>
                <w:szCs w:val="20"/>
                <w:color w:val="auto"/>
              </w:rPr>
            </w:pPr>
            <w:r>
              <w:rPr>
                <w:rFonts w:ascii="Arial" w:cs="Arial" w:eastAsia="Arial" w:hAnsi="Arial"/>
                <w:sz w:val="17"/>
                <w:szCs w:val="17"/>
                <w:b w:val="1"/>
                <w:bCs w:val="1"/>
                <w:color w:val="003551"/>
              </w:rPr>
              <w:t>William Roberts</w:t>
            </w:r>
          </w:p>
        </w:tc>
        <w:tc>
          <w:tcPr>
            <w:tcW w:w="1500" w:type="dxa"/>
            <w:vAlign w:val="bottom"/>
          </w:tcPr>
          <w:p>
            <w:pPr>
              <w:ind w:left="200"/>
              <w:spacing w:after="0"/>
              <w:rPr>
                <w:sz w:val="20"/>
                <w:szCs w:val="20"/>
                <w:color w:val="auto"/>
              </w:rPr>
            </w:pPr>
            <w:r>
              <w:rPr>
                <w:rFonts w:ascii="Arial" w:cs="Arial" w:eastAsia="Arial" w:hAnsi="Arial"/>
                <w:sz w:val="17"/>
                <w:szCs w:val="17"/>
                <w:color w:val="003551"/>
              </w:rPr>
              <w:t>$4,000,013</w:t>
            </w:r>
          </w:p>
        </w:tc>
        <w:tc>
          <w:tcPr>
            <w:tcW w:w="2080" w:type="dxa"/>
            <w:vAlign w:val="bottom"/>
          </w:tcPr>
          <w:p>
            <w:pPr>
              <w:ind w:left="200"/>
              <w:spacing w:after="0"/>
              <w:rPr>
                <w:sz w:val="20"/>
                <w:szCs w:val="20"/>
                <w:color w:val="auto"/>
              </w:rPr>
            </w:pPr>
            <w:r>
              <w:rPr>
                <w:rFonts w:ascii="Arial" w:cs="Arial" w:eastAsia="Arial" w:hAnsi="Arial"/>
                <w:sz w:val="17"/>
                <w:szCs w:val="17"/>
                <w:color w:val="003551"/>
              </w:rPr>
              <w:t>$8,000,026</w:t>
            </w:r>
          </w:p>
        </w:tc>
        <w:tc>
          <w:tcPr>
            <w:tcW w:w="2580" w:type="dxa"/>
            <w:vAlign w:val="bottom"/>
          </w:tcPr>
          <w:p>
            <w:pPr>
              <w:ind w:left="220"/>
              <w:spacing w:after="0"/>
              <w:rPr>
                <w:sz w:val="20"/>
                <w:szCs w:val="20"/>
                <w:color w:val="auto"/>
              </w:rPr>
            </w:pPr>
            <w:r>
              <w:rPr>
                <w:rFonts w:ascii="Arial" w:cs="Arial" w:eastAsia="Arial" w:hAnsi="Arial"/>
                <w:sz w:val="17"/>
                <w:szCs w:val="17"/>
                <w:color w:val="003551"/>
              </w:rPr>
              <w:t>$12,000,039</w:t>
            </w:r>
          </w:p>
        </w:tc>
        <w:tc>
          <w:tcPr>
            <w:tcW w:w="0" w:type="dxa"/>
            <w:vAlign w:val="bottom"/>
          </w:tcPr>
          <w:p>
            <w:pPr>
              <w:spacing w:after="0"/>
              <w:rPr>
                <w:sz w:val="1"/>
                <w:szCs w:val="1"/>
                <w:color w:val="auto"/>
              </w:rPr>
            </w:pPr>
          </w:p>
        </w:tc>
      </w:tr>
      <w:tr>
        <w:trPr>
          <w:trHeight w:val="90"/>
        </w:trPr>
        <w:tc>
          <w:tcPr>
            <w:tcW w:w="80" w:type="dxa"/>
            <w:vAlign w:val="bottom"/>
            <w:tcBorders>
              <w:bottom w:val="single" w:sz="8" w:color="77C483"/>
            </w:tcBorders>
          </w:tcPr>
          <w:p>
            <w:pPr>
              <w:spacing w:after="0"/>
              <w:rPr>
                <w:sz w:val="7"/>
                <w:szCs w:val="7"/>
                <w:color w:val="auto"/>
              </w:rPr>
            </w:pPr>
          </w:p>
        </w:tc>
        <w:tc>
          <w:tcPr>
            <w:tcW w:w="2000" w:type="dxa"/>
            <w:vAlign w:val="bottom"/>
            <w:vMerge w:val="restart"/>
          </w:tcPr>
          <w:p>
            <w:pPr>
              <w:ind w:left="60"/>
              <w:spacing w:after="0"/>
              <w:rPr>
                <w:sz w:val="20"/>
                <w:szCs w:val="20"/>
                <w:color w:val="auto"/>
              </w:rPr>
            </w:pPr>
            <w:r>
              <w:rPr>
                <w:rFonts w:ascii="Arial" w:cs="Arial" w:eastAsia="Arial" w:hAnsi="Arial"/>
                <w:sz w:val="17"/>
                <w:szCs w:val="17"/>
                <w:b w:val="1"/>
                <w:bCs w:val="1"/>
                <w:color w:val="003551"/>
              </w:rPr>
              <w:t>Daniel Roberts</w:t>
            </w:r>
          </w:p>
        </w:tc>
        <w:tc>
          <w:tcPr>
            <w:tcW w:w="1500" w:type="dxa"/>
            <w:vAlign w:val="bottom"/>
            <w:vMerge w:val="restart"/>
          </w:tcPr>
          <w:p>
            <w:pPr>
              <w:ind w:left="200"/>
              <w:spacing w:after="0"/>
              <w:rPr>
                <w:sz w:val="20"/>
                <w:szCs w:val="20"/>
                <w:color w:val="auto"/>
              </w:rPr>
            </w:pPr>
            <w:r>
              <w:rPr>
                <w:rFonts w:ascii="Arial" w:cs="Arial" w:eastAsia="Arial" w:hAnsi="Arial"/>
                <w:sz w:val="17"/>
                <w:szCs w:val="17"/>
                <w:color w:val="003551"/>
              </w:rPr>
              <w:t>$4,000,013</w:t>
            </w:r>
          </w:p>
        </w:tc>
        <w:tc>
          <w:tcPr>
            <w:tcW w:w="2080" w:type="dxa"/>
            <w:vAlign w:val="bottom"/>
            <w:vMerge w:val="restart"/>
          </w:tcPr>
          <w:p>
            <w:pPr>
              <w:ind w:left="200"/>
              <w:spacing w:after="0"/>
              <w:rPr>
                <w:sz w:val="20"/>
                <w:szCs w:val="20"/>
                <w:color w:val="auto"/>
              </w:rPr>
            </w:pPr>
            <w:r>
              <w:rPr>
                <w:rFonts w:ascii="Arial" w:cs="Arial" w:eastAsia="Arial" w:hAnsi="Arial"/>
                <w:sz w:val="17"/>
                <w:szCs w:val="17"/>
                <w:color w:val="003551"/>
              </w:rPr>
              <w:t>$8,000,026</w:t>
            </w:r>
          </w:p>
        </w:tc>
        <w:tc>
          <w:tcPr>
            <w:tcW w:w="2580" w:type="dxa"/>
            <w:vAlign w:val="bottom"/>
            <w:vMerge w:val="restart"/>
          </w:tcPr>
          <w:p>
            <w:pPr>
              <w:ind w:left="220"/>
              <w:spacing w:after="0"/>
              <w:rPr>
                <w:sz w:val="20"/>
                <w:szCs w:val="20"/>
                <w:color w:val="auto"/>
              </w:rPr>
            </w:pPr>
            <w:r>
              <w:rPr>
                <w:rFonts w:ascii="Arial" w:cs="Arial" w:eastAsia="Arial" w:hAnsi="Arial"/>
                <w:sz w:val="17"/>
                <w:szCs w:val="17"/>
                <w:color w:val="003551"/>
              </w:rPr>
              <w:t>$12,000,039</w:t>
            </w:r>
          </w:p>
        </w:tc>
        <w:tc>
          <w:tcPr>
            <w:tcW w:w="0" w:type="dxa"/>
            <w:vAlign w:val="bottom"/>
          </w:tcPr>
          <w:p>
            <w:pPr>
              <w:spacing w:after="0"/>
              <w:rPr>
                <w:sz w:val="1"/>
                <w:szCs w:val="1"/>
                <w:color w:val="auto"/>
              </w:rPr>
            </w:pPr>
          </w:p>
        </w:tc>
      </w:tr>
      <w:tr>
        <w:trPr>
          <w:trHeight w:val="323"/>
        </w:trPr>
        <w:tc>
          <w:tcPr>
            <w:tcW w:w="8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50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80" w:type="dxa"/>
            <w:vAlign w:val="bottom"/>
            <w:tcBorders>
              <w:bottom w:val="single" w:sz="8" w:color="77C483"/>
            </w:tcBorders>
          </w:tcPr>
          <w:p>
            <w:pPr>
              <w:spacing w:after="0"/>
              <w:rPr>
                <w:sz w:val="7"/>
                <w:szCs w:val="7"/>
                <w:color w:val="auto"/>
              </w:rPr>
            </w:pPr>
          </w:p>
        </w:tc>
        <w:tc>
          <w:tcPr>
            <w:tcW w:w="2000" w:type="dxa"/>
            <w:vAlign w:val="bottom"/>
            <w:vMerge w:val="restart"/>
          </w:tcPr>
          <w:p>
            <w:pPr>
              <w:ind w:left="60"/>
              <w:spacing w:after="0"/>
              <w:rPr>
                <w:sz w:val="20"/>
                <w:szCs w:val="20"/>
                <w:color w:val="auto"/>
              </w:rPr>
            </w:pPr>
            <w:r>
              <w:rPr>
                <w:rFonts w:ascii="Arial" w:cs="Arial" w:eastAsia="Arial" w:hAnsi="Arial"/>
                <w:sz w:val="17"/>
                <w:szCs w:val="17"/>
                <w:b w:val="1"/>
                <w:bCs w:val="1"/>
                <w:color w:val="003551"/>
              </w:rPr>
              <w:t>Belinda Nucifora</w:t>
            </w:r>
            <w:r>
              <w:rPr>
                <w:rFonts w:ascii="Arial" w:cs="Arial" w:eastAsia="Arial" w:hAnsi="Arial"/>
                <w:sz w:val="29"/>
                <w:szCs w:val="29"/>
                <w:b w:val="1"/>
                <w:bCs w:val="1"/>
                <w:color w:val="003551"/>
                <w:vertAlign w:val="superscript"/>
              </w:rPr>
              <w:t>(1)(2)</w:t>
            </w:r>
          </w:p>
        </w:tc>
        <w:tc>
          <w:tcPr>
            <w:tcW w:w="1500" w:type="dxa"/>
            <w:vAlign w:val="bottom"/>
            <w:vMerge w:val="restart"/>
          </w:tcPr>
          <w:p>
            <w:pPr>
              <w:ind w:left="200"/>
              <w:spacing w:after="0"/>
              <w:rPr>
                <w:sz w:val="20"/>
                <w:szCs w:val="20"/>
                <w:color w:val="auto"/>
              </w:rPr>
            </w:pPr>
            <w:r>
              <w:rPr>
                <w:rFonts w:ascii="Arial" w:cs="Arial" w:eastAsia="Arial" w:hAnsi="Arial"/>
                <w:sz w:val="17"/>
                <w:szCs w:val="17"/>
                <w:color w:val="003551"/>
              </w:rPr>
              <w:t>$218,620</w:t>
            </w:r>
          </w:p>
        </w:tc>
        <w:tc>
          <w:tcPr>
            <w:tcW w:w="2080" w:type="dxa"/>
            <w:vAlign w:val="bottom"/>
            <w:vMerge w:val="restart"/>
          </w:tcPr>
          <w:p>
            <w:pPr>
              <w:ind w:left="200"/>
              <w:spacing w:after="0"/>
              <w:rPr>
                <w:sz w:val="20"/>
                <w:szCs w:val="20"/>
                <w:color w:val="auto"/>
              </w:rPr>
            </w:pPr>
            <w:r>
              <w:rPr>
                <w:rFonts w:ascii="Arial" w:cs="Arial" w:eastAsia="Arial" w:hAnsi="Arial"/>
                <w:sz w:val="17"/>
                <w:szCs w:val="17"/>
                <w:color w:val="003551"/>
              </w:rPr>
              <w:t>$54,821</w:t>
            </w:r>
          </w:p>
        </w:tc>
        <w:tc>
          <w:tcPr>
            <w:tcW w:w="2580" w:type="dxa"/>
            <w:vAlign w:val="bottom"/>
            <w:vMerge w:val="restart"/>
          </w:tcPr>
          <w:p>
            <w:pPr>
              <w:ind w:left="220"/>
              <w:spacing w:after="0"/>
              <w:rPr>
                <w:sz w:val="20"/>
                <w:szCs w:val="20"/>
                <w:color w:val="auto"/>
              </w:rPr>
            </w:pPr>
            <w:r>
              <w:rPr>
                <w:rFonts w:ascii="Arial" w:cs="Arial" w:eastAsia="Arial" w:hAnsi="Arial"/>
                <w:sz w:val="17"/>
                <w:szCs w:val="17"/>
                <w:color w:val="003551"/>
              </w:rPr>
              <w:t>$273,441</w:t>
            </w:r>
          </w:p>
        </w:tc>
        <w:tc>
          <w:tcPr>
            <w:tcW w:w="0" w:type="dxa"/>
            <w:vAlign w:val="bottom"/>
          </w:tcPr>
          <w:p>
            <w:pPr>
              <w:spacing w:after="0"/>
              <w:rPr>
                <w:sz w:val="1"/>
                <w:szCs w:val="1"/>
                <w:color w:val="auto"/>
              </w:rPr>
            </w:pPr>
          </w:p>
        </w:tc>
      </w:tr>
      <w:tr>
        <w:trPr>
          <w:trHeight w:val="484"/>
        </w:trPr>
        <w:tc>
          <w:tcPr>
            <w:tcW w:w="8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50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-591820</wp:posOffset>
            </wp:positionV>
            <wp:extent cx="51733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7334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-316865</wp:posOffset>
            </wp:positionV>
            <wp:extent cx="517334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73345" cy="8255"/>
                    </a:xfrm>
                    <a:prstGeom prst="rect">
                      <a:avLst/>
                    </a:prstGeom>
                    <a:noFill/>
                  </pic:spPr>
                </pic:pic>
              </a:graphicData>
            </a:graphic>
          </wp:anchor>
        </w:drawing>
      </w:r>
    </w:p>
    <w:p>
      <w:pPr>
        <w:spacing w:after="0" w:line="79" w:lineRule="exact"/>
        <w:rPr>
          <w:sz w:val="20"/>
          <w:szCs w:val="20"/>
          <w:color w:val="auto"/>
        </w:rPr>
      </w:pPr>
    </w:p>
    <w:p>
      <w:pPr>
        <w:jc w:val="both"/>
        <w:ind w:left="1280" w:right="740" w:hanging="337"/>
        <w:spacing w:after="0"/>
        <w:tabs>
          <w:tab w:leader="none" w:pos="1280" w:val="left"/>
        </w:tabs>
        <w:numPr>
          <w:ilvl w:val="0"/>
          <w:numId w:val="30"/>
        </w:numPr>
        <w:rPr>
          <w:rFonts w:ascii="Arial" w:cs="Arial" w:eastAsia="Arial" w:hAnsi="Arial"/>
          <w:sz w:val="12"/>
          <w:szCs w:val="12"/>
          <w:i w:val="1"/>
          <w:iCs w:val="1"/>
          <w:color w:val="003551"/>
        </w:rPr>
      </w:pPr>
      <w:r>
        <w:rPr>
          <w:rFonts w:ascii="Arial" w:cs="Arial" w:eastAsia="Arial" w:hAnsi="Arial"/>
          <w:sz w:val="12"/>
          <w:szCs w:val="12"/>
          <w:i w:val="1"/>
          <w:iCs w:val="1"/>
          <w:color w:val="003551"/>
        </w:rPr>
        <w:t>Ms. Nucifora was paid in Australian dollars (AUD). U.S. Dollar (USD) amounts in this Proxy Statement with respect to Ms. Nucifora have been converted from AUD at a rate of 0.6454 USD to one AUD. The exchange rate represents the 12-month average exchange rate during Fiscal 2025.</w:t>
      </w:r>
    </w:p>
    <w:p>
      <w:pPr>
        <w:spacing w:after="0" w:line="126" w:lineRule="exact"/>
        <w:rPr>
          <w:rFonts w:ascii="Arial" w:cs="Arial" w:eastAsia="Arial" w:hAnsi="Arial"/>
          <w:sz w:val="12"/>
          <w:szCs w:val="12"/>
          <w:i w:val="1"/>
          <w:iCs w:val="1"/>
          <w:color w:val="003551"/>
        </w:rPr>
      </w:pPr>
    </w:p>
    <w:p>
      <w:pPr>
        <w:jc w:val="both"/>
        <w:ind w:left="1280" w:right="740" w:hanging="337"/>
        <w:spacing w:after="0" w:line="238" w:lineRule="auto"/>
        <w:tabs>
          <w:tab w:leader="none" w:pos="1280" w:val="left"/>
        </w:tabs>
        <w:numPr>
          <w:ilvl w:val="0"/>
          <w:numId w:val="30"/>
        </w:numPr>
        <w:rPr>
          <w:rFonts w:ascii="Arial" w:cs="Arial" w:eastAsia="Arial" w:hAnsi="Arial"/>
          <w:sz w:val="12"/>
          <w:szCs w:val="12"/>
          <w:i w:val="1"/>
          <w:iCs w:val="1"/>
          <w:color w:val="003551"/>
        </w:rPr>
      </w:pPr>
      <w:r>
        <w:rPr>
          <w:rFonts w:ascii="Arial" w:cs="Arial" w:eastAsia="Arial" w:hAnsi="Arial"/>
          <w:sz w:val="12"/>
          <w:szCs w:val="12"/>
          <w:i w:val="1"/>
          <w:iCs w:val="1"/>
          <w:color w:val="003551"/>
        </w:rPr>
        <w:t>Represents the value of the PRSU award assuming achievement of the TSR performance metric at target. Ms. Nucifora is eligible to earn up to a maximum value of $109,641, representing a 33.4% allocation to Ms. Nucifora’s Annual PRSU, which is subject to 200% achievement of the TSR performance metric.</w:t>
      </w:r>
    </w:p>
    <w:p>
      <w:pPr>
        <w:spacing w:after="0" w:line="210"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Fiscal 2025 Annual TRSUs – Co-Chief Executive Officers</w:t>
      </w:r>
    </w:p>
    <w:p>
      <w:pPr>
        <w:spacing w:after="0" w:line="15" w:lineRule="exact"/>
        <w:rPr>
          <w:sz w:val="20"/>
          <w:szCs w:val="20"/>
          <w:color w:val="auto"/>
        </w:rPr>
      </w:pPr>
    </w:p>
    <w:p>
      <w:pPr>
        <w:ind w:left="940" w:right="740"/>
        <w:spacing w:after="0" w:line="263" w:lineRule="auto"/>
        <w:rPr>
          <w:sz w:val="20"/>
          <w:szCs w:val="20"/>
          <w:color w:val="auto"/>
        </w:rPr>
      </w:pPr>
      <w:r>
        <w:rPr>
          <w:rFonts w:ascii="Arial" w:cs="Arial" w:eastAsia="Arial" w:hAnsi="Arial"/>
          <w:sz w:val="17"/>
          <w:szCs w:val="17"/>
          <w:color w:val="003551"/>
        </w:rPr>
        <w:t>The 2025 Annual TRSUs vest ratably over three years, subject to the NEOs’ continued service through the applicable vesting date.</w:t>
      </w:r>
    </w:p>
    <w:p>
      <w:pPr>
        <w:spacing w:after="0" w:line="201"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Fiscal 2025 Annual TRSUs – Ms. Nucifora</w:t>
      </w:r>
    </w:p>
    <w:p>
      <w:pPr>
        <w:spacing w:after="0" w:line="15" w:lineRule="exact"/>
        <w:rPr>
          <w:sz w:val="20"/>
          <w:szCs w:val="20"/>
          <w:color w:val="auto"/>
        </w:rPr>
      </w:pPr>
    </w:p>
    <w:p>
      <w:pPr>
        <w:ind w:left="940" w:right="780"/>
        <w:spacing w:after="0" w:line="252" w:lineRule="auto"/>
        <w:rPr>
          <w:sz w:val="20"/>
          <w:szCs w:val="20"/>
          <w:color w:val="auto"/>
        </w:rPr>
      </w:pPr>
      <w:r>
        <w:rPr>
          <w:rFonts w:ascii="Arial" w:cs="Arial" w:eastAsia="Arial" w:hAnsi="Arial"/>
          <w:sz w:val="17"/>
          <w:szCs w:val="17"/>
          <w:color w:val="003551"/>
        </w:rPr>
        <w:t>The 2025 Annual TRSUs to Ms. Nucifora would have vested ratably within ten days of IREN’s release of annual results for Fiscal 2025 and Fiscal 2026, subject to Ms. Nucifora’s continued employment with IREN through each applicable vesting date.</w:t>
      </w:r>
    </w:p>
    <w:p>
      <w:pPr>
        <w:spacing w:after="0" w:line="223"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Fiscal 2025 Annual PRSUs – Co-Chief Executive Officers</w:t>
      </w:r>
    </w:p>
    <w:p>
      <w:pPr>
        <w:spacing w:after="0" w:line="15" w:lineRule="exact"/>
        <w:rPr>
          <w:sz w:val="20"/>
          <w:szCs w:val="20"/>
          <w:color w:val="auto"/>
        </w:rPr>
      </w:pPr>
    </w:p>
    <w:p>
      <w:pPr>
        <w:ind w:left="940" w:right="740"/>
        <w:spacing w:after="0" w:line="248" w:lineRule="auto"/>
        <w:rPr>
          <w:sz w:val="20"/>
          <w:szCs w:val="20"/>
          <w:color w:val="auto"/>
        </w:rPr>
      </w:pPr>
      <w:r>
        <w:rPr>
          <w:rFonts w:ascii="Arial" w:cs="Arial" w:eastAsia="Arial" w:hAnsi="Arial"/>
          <w:sz w:val="17"/>
          <w:szCs w:val="17"/>
          <w:color w:val="003551"/>
        </w:rPr>
        <w:t>For our Co-Chief Executive Officers, the 2025 Annual PRSUs vest in seven tranches, each of which requires achievement of a substantial, sustained share price hurdle (based on a 30-trading day average share price) within three years of the July 1, 2024 grant date (i.e., by July 1, 2027). The closing share price on July 1, 2024 was $12.62. The seven tranches are detailed below.</w:t>
      </w:r>
    </w:p>
    <w:p>
      <w:pPr>
        <w:spacing w:after="0" w:line="110" w:lineRule="exact"/>
        <w:rPr>
          <w:sz w:val="20"/>
          <w:szCs w:val="20"/>
          <w:color w:val="auto"/>
        </w:rPr>
      </w:pPr>
    </w:p>
    <w:tbl>
      <w:tblPr>
        <w:tblLayout w:type="fixed"/>
        <w:tblInd w:w="940" w:type="dxa"/>
        <w:tblCellMar>
          <w:top w:w="0" w:type="dxa"/>
          <w:left w:w="0" w:type="dxa"/>
          <w:bottom w:w="0" w:type="dxa"/>
          <w:right w:w="0" w:type="dxa"/>
        </w:tblCellMar>
      </w:tblPr>
      <w:tr>
        <w:trPr>
          <w:trHeight w:val="335"/>
        </w:trPr>
        <w:tc>
          <w:tcPr>
            <w:tcW w:w="1380" w:type="dxa"/>
            <w:vAlign w:val="bottom"/>
            <w:shd w:val="clear" w:color="auto" w:fill="77C483"/>
          </w:tcPr>
          <w:p>
            <w:pPr>
              <w:spacing w:after="0"/>
              <w:rPr>
                <w:sz w:val="24"/>
                <w:szCs w:val="24"/>
                <w:color w:val="auto"/>
              </w:rPr>
            </w:pPr>
          </w:p>
        </w:tc>
        <w:tc>
          <w:tcPr>
            <w:tcW w:w="1080" w:type="dxa"/>
            <w:vAlign w:val="bottom"/>
            <w:shd w:val="clear" w:color="auto" w:fill="77C483"/>
          </w:tcPr>
          <w:p>
            <w:pPr>
              <w:spacing w:after="0"/>
              <w:rPr>
                <w:sz w:val="24"/>
                <w:szCs w:val="24"/>
                <w:color w:val="auto"/>
              </w:rPr>
            </w:pPr>
          </w:p>
        </w:tc>
        <w:tc>
          <w:tcPr>
            <w:tcW w:w="3640" w:type="dxa"/>
            <w:vAlign w:val="bottom"/>
            <w:shd w:val="clear" w:color="auto" w:fill="77C483"/>
          </w:tcPr>
          <w:p>
            <w:pPr>
              <w:ind w:left="1240"/>
              <w:spacing w:after="0"/>
              <w:rPr>
                <w:sz w:val="20"/>
                <w:szCs w:val="20"/>
                <w:color w:val="auto"/>
              </w:rPr>
            </w:pPr>
            <w:r>
              <w:rPr>
                <w:rFonts w:ascii="Arial" w:cs="Arial" w:eastAsia="Arial" w:hAnsi="Arial"/>
                <w:sz w:val="17"/>
                <w:szCs w:val="17"/>
                <w:b w:val="1"/>
                <w:bCs w:val="1"/>
                <w:color w:val="003551"/>
              </w:rPr>
              <w:t>Premium to 90 Day Closing</w:t>
            </w:r>
          </w:p>
        </w:tc>
        <w:tc>
          <w:tcPr>
            <w:tcW w:w="2140" w:type="dxa"/>
            <w:vAlign w:val="bottom"/>
            <w:shd w:val="clear" w:color="auto" w:fill="77C483"/>
          </w:tcPr>
          <w:p>
            <w:pPr>
              <w:spacing w:after="0"/>
              <w:rPr>
                <w:sz w:val="24"/>
                <w:szCs w:val="24"/>
                <w:color w:val="auto"/>
              </w:rPr>
            </w:pPr>
          </w:p>
        </w:tc>
      </w:tr>
      <w:tr>
        <w:trPr>
          <w:trHeight w:val="240"/>
        </w:trPr>
        <w:tc>
          <w:tcPr>
            <w:tcW w:w="1380" w:type="dxa"/>
            <w:vAlign w:val="bottom"/>
            <w:shd w:val="clear" w:color="auto" w:fill="77C483"/>
          </w:tcPr>
          <w:p>
            <w:pPr>
              <w:ind w:left="140"/>
              <w:spacing w:after="0"/>
              <w:rPr>
                <w:sz w:val="20"/>
                <w:szCs w:val="20"/>
                <w:color w:val="auto"/>
              </w:rPr>
            </w:pPr>
            <w:r>
              <w:rPr>
                <w:rFonts w:ascii="Arial" w:cs="Arial" w:eastAsia="Arial" w:hAnsi="Arial"/>
                <w:sz w:val="17"/>
                <w:szCs w:val="17"/>
                <w:b w:val="1"/>
                <w:bCs w:val="1"/>
                <w:color w:val="003551"/>
              </w:rPr>
              <w:t>Tranche</w:t>
            </w:r>
          </w:p>
        </w:tc>
        <w:tc>
          <w:tcPr>
            <w:tcW w:w="1080" w:type="dxa"/>
            <w:vAlign w:val="bottom"/>
            <w:shd w:val="clear" w:color="auto" w:fill="77C483"/>
          </w:tcPr>
          <w:p>
            <w:pPr>
              <w:ind w:left="540"/>
              <w:spacing w:after="0"/>
              <w:rPr>
                <w:sz w:val="20"/>
                <w:szCs w:val="20"/>
                <w:color w:val="auto"/>
              </w:rPr>
            </w:pPr>
            <w:r>
              <w:rPr>
                <w:rFonts w:ascii="Arial" w:cs="Arial" w:eastAsia="Arial" w:hAnsi="Arial"/>
                <w:sz w:val="17"/>
                <w:szCs w:val="17"/>
                <w:b w:val="1"/>
                <w:bCs w:val="1"/>
                <w:color w:val="003551"/>
              </w:rPr>
              <w:t>Share​</w:t>
            </w:r>
          </w:p>
        </w:tc>
        <w:tc>
          <w:tcPr>
            <w:tcW w:w="3640" w:type="dxa"/>
            <w:vAlign w:val="bottom"/>
            <w:shd w:val="clear" w:color="auto" w:fill="77C483"/>
          </w:tcPr>
          <w:p>
            <w:pPr>
              <w:spacing w:after="0"/>
              <w:rPr>
                <w:sz w:val="20"/>
                <w:szCs w:val="20"/>
                <w:color w:val="auto"/>
              </w:rPr>
            </w:pPr>
            <w:r>
              <w:rPr>
                <w:rFonts w:ascii="Arial" w:cs="Arial" w:eastAsia="Arial" w:hAnsi="Arial"/>
                <w:sz w:val="17"/>
                <w:szCs w:val="17"/>
                <w:b w:val="1"/>
                <w:bCs w:val="1"/>
                <w:color w:val="003551"/>
              </w:rPr>
              <w:t>Price Hurdle  Price</w:t>
            </w:r>
          </w:p>
        </w:tc>
        <w:tc>
          <w:tcPr>
            <w:tcW w:w="2140" w:type="dxa"/>
            <w:vAlign w:val="bottom"/>
            <w:shd w:val="clear" w:color="auto" w:fill="77C483"/>
          </w:tcPr>
          <w:p>
            <w:pPr>
              <w:ind w:left="140"/>
              <w:spacing w:after="0"/>
              <w:rPr>
                <w:sz w:val="20"/>
                <w:szCs w:val="20"/>
                <w:color w:val="auto"/>
              </w:rPr>
            </w:pPr>
            <w:r>
              <w:rPr>
                <w:rFonts w:ascii="Arial" w:cs="Arial" w:eastAsia="Arial" w:hAnsi="Arial"/>
                <w:sz w:val="17"/>
                <w:szCs w:val="17"/>
                <w:b w:val="1"/>
                <w:bCs w:val="1"/>
                <w:color w:val="003551"/>
              </w:rPr>
              <w:t>Number of PRSUs</w:t>
            </w:r>
          </w:p>
        </w:tc>
      </w:tr>
      <w:tr>
        <w:trPr>
          <w:trHeight w:val="93"/>
        </w:trPr>
        <w:tc>
          <w:tcPr>
            <w:tcW w:w="1380" w:type="dxa"/>
            <w:vAlign w:val="bottom"/>
            <w:tcBorders>
              <w:bottom w:val="single" w:sz="8" w:color="003551"/>
            </w:tcBorders>
            <w:shd w:val="clear" w:color="auto" w:fill="77C483"/>
          </w:tcPr>
          <w:p>
            <w:pPr>
              <w:spacing w:after="0"/>
              <w:rPr>
                <w:sz w:val="8"/>
                <w:szCs w:val="8"/>
                <w:color w:val="auto"/>
              </w:rPr>
            </w:pPr>
          </w:p>
        </w:tc>
        <w:tc>
          <w:tcPr>
            <w:tcW w:w="1080" w:type="dxa"/>
            <w:vAlign w:val="bottom"/>
            <w:tcBorders>
              <w:bottom w:val="single" w:sz="8" w:color="003551"/>
            </w:tcBorders>
            <w:shd w:val="clear" w:color="auto" w:fill="77C483"/>
          </w:tcPr>
          <w:p>
            <w:pPr>
              <w:spacing w:after="0"/>
              <w:rPr>
                <w:sz w:val="8"/>
                <w:szCs w:val="8"/>
                <w:color w:val="auto"/>
              </w:rPr>
            </w:pPr>
          </w:p>
        </w:tc>
        <w:tc>
          <w:tcPr>
            <w:tcW w:w="3640" w:type="dxa"/>
            <w:vAlign w:val="bottom"/>
            <w:tcBorders>
              <w:bottom w:val="single" w:sz="8" w:color="003551"/>
            </w:tcBorders>
            <w:shd w:val="clear" w:color="auto" w:fill="77C483"/>
          </w:tcPr>
          <w:p>
            <w:pPr>
              <w:spacing w:after="0"/>
              <w:rPr>
                <w:sz w:val="8"/>
                <w:szCs w:val="8"/>
                <w:color w:val="auto"/>
              </w:rPr>
            </w:pPr>
          </w:p>
        </w:tc>
        <w:tc>
          <w:tcPr>
            <w:tcW w:w="2140" w:type="dxa"/>
            <w:vAlign w:val="bottom"/>
            <w:tcBorders>
              <w:bottom w:val="single" w:sz="8" w:color="003551"/>
            </w:tcBorders>
            <w:shd w:val="clear" w:color="auto" w:fill="77C483"/>
          </w:tcPr>
          <w:p>
            <w:pPr>
              <w:spacing w:after="0"/>
              <w:rPr>
                <w:sz w:val="8"/>
                <w:szCs w:val="8"/>
                <w:color w:val="auto"/>
              </w:rPr>
            </w:pPr>
          </w:p>
        </w:tc>
      </w:tr>
      <w:tr>
        <w:trPr>
          <w:trHeight w:val="332"/>
        </w:trPr>
        <w:tc>
          <w:tcPr>
            <w:tcW w:w="1380" w:type="dxa"/>
            <w:vAlign w:val="bottom"/>
          </w:tcPr>
          <w:p>
            <w:pPr>
              <w:ind w:left="140"/>
              <w:spacing w:after="0"/>
              <w:rPr>
                <w:sz w:val="20"/>
                <w:szCs w:val="20"/>
                <w:color w:val="auto"/>
              </w:rPr>
            </w:pPr>
            <w:r>
              <w:rPr>
                <w:rFonts w:ascii="Arial" w:cs="Arial" w:eastAsia="Arial" w:hAnsi="Arial"/>
                <w:sz w:val="17"/>
                <w:szCs w:val="17"/>
                <w:b w:val="1"/>
                <w:bCs w:val="1"/>
                <w:color w:val="003551"/>
              </w:rPr>
              <w:t>1</w:t>
            </w:r>
          </w:p>
        </w:tc>
        <w:tc>
          <w:tcPr>
            <w:tcW w:w="1080" w:type="dxa"/>
            <w:vAlign w:val="bottom"/>
          </w:tcPr>
          <w:p>
            <w:pPr>
              <w:ind w:left="540"/>
              <w:spacing w:after="0"/>
              <w:rPr>
                <w:sz w:val="20"/>
                <w:szCs w:val="20"/>
                <w:color w:val="auto"/>
              </w:rPr>
            </w:pPr>
            <w:r>
              <w:rPr>
                <w:rFonts w:ascii="Arial" w:cs="Arial" w:eastAsia="Arial" w:hAnsi="Arial"/>
                <w:sz w:val="17"/>
                <w:szCs w:val="17"/>
                <w:color w:val="003551"/>
                <w:w w:val="99"/>
              </w:rPr>
              <w:t>$20.00</w:t>
            </w:r>
          </w:p>
        </w:tc>
        <w:tc>
          <w:tcPr>
            <w:tcW w:w="3640" w:type="dxa"/>
            <w:vAlign w:val="bottom"/>
          </w:tcPr>
          <w:p>
            <w:pPr>
              <w:ind w:left="1240"/>
              <w:spacing w:after="0"/>
              <w:rPr>
                <w:sz w:val="20"/>
                <w:szCs w:val="20"/>
                <w:color w:val="auto"/>
              </w:rPr>
            </w:pPr>
            <w:r>
              <w:rPr>
                <w:rFonts w:ascii="Arial" w:cs="Arial" w:eastAsia="Arial" w:hAnsi="Arial"/>
                <w:sz w:val="17"/>
                <w:szCs w:val="17"/>
                <w:color w:val="003551"/>
              </w:rPr>
              <w:t>190%</w:t>
            </w:r>
          </w:p>
        </w:tc>
        <w:tc>
          <w:tcPr>
            <w:tcW w:w="2140" w:type="dxa"/>
            <w:vAlign w:val="bottom"/>
          </w:tcPr>
          <w:p>
            <w:pPr>
              <w:ind w:left="140"/>
              <w:spacing w:after="0"/>
              <w:rPr>
                <w:sz w:val="20"/>
                <w:szCs w:val="20"/>
                <w:color w:val="auto"/>
              </w:rPr>
            </w:pPr>
            <w:r>
              <w:rPr>
                <w:rFonts w:ascii="Arial" w:cs="Arial" w:eastAsia="Arial" w:hAnsi="Arial"/>
                <w:sz w:val="17"/>
                <w:szCs w:val="17"/>
                <w:color w:val="003551"/>
              </w:rPr>
              <w:t>116,857</w:t>
            </w:r>
          </w:p>
        </w:tc>
      </w:tr>
      <w:tr>
        <w:trPr>
          <w:trHeight w:val="432"/>
        </w:trPr>
        <w:tc>
          <w:tcPr>
            <w:tcW w:w="1380" w:type="dxa"/>
            <w:vAlign w:val="bottom"/>
          </w:tcPr>
          <w:p>
            <w:pPr>
              <w:ind w:left="140"/>
              <w:spacing w:after="0"/>
              <w:rPr>
                <w:sz w:val="20"/>
                <w:szCs w:val="20"/>
                <w:color w:val="auto"/>
              </w:rPr>
            </w:pPr>
            <w:r>
              <w:rPr>
                <w:rFonts w:ascii="Arial" w:cs="Arial" w:eastAsia="Arial" w:hAnsi="Arial"/>
                <w:sz w:val="17"/>
                <w:szCs w:val="17"/>
                <w:b w:val="1"/>
                <w:bCs w:val="1"/>
                <w:color w:val="003551"/>
              </w:rPr>
              <w:t>2</w:t>
            </w:r>
          </w:p>
        </w:tc>
        <w:tc>
          <w:tcPr>
            <w:tcW w:w="1080" w:type="dxa"/>
            <w:vAlign w:val="bottom"/>
          </w:tcPr>
          <w:p>
            <w:pPr>
              <w:ind w:left="540"/>
              <w:spacing w:after="0"/>
              <w:rPr>
                <w:sz w:val="20"/>
                <w:szCs w:val="20"/>
                <w:color w:val="auto"/>
              </w:rPr>
            </w:pPr>
            <w:r>
              <w:rPr>
                <w:rFonts w:ascii="Arial" w:cs="Arial" w:eastAsia="Arial" w:hAnsi="Arial"/>
                <w:sz w:val="17"/>
                <w:szCs w:val="17"/>
                <w:color w:val="003551"/>
                <w:w w:val="99"/>
              </w:rPr>
              <w:t>$25.00</w:t>
            </w:r>
          </w:p>
        </w:tc>
        <w:tc>
          <w:tcPr>
            <w:tcW w:w="3640" w:type="dxa"/>
            <w:vAlign w:val="bottom"/>
          </w:tcPr>
          <w:p>
            <w:pPr>
              <w:ind w:left="1240"/>
              <w:spacing w:after="0"/>
              <w:rPr>
                <w:sz w:val="20"/>
                <w:szCs w:val="20"/>
                <w:color w:val="auto"/>
              </w:rPr>
            </w:pPr>
            <w:r>
              <w:rPr>
                <w:rFonts w:ascii="Arial" w:cs="Arial" w:eastAsia="Arial" w:hAnsi="Arial"/>
                <w:sz w:val="17"/>
                <w:szCs w:val="17"/>
                <w:color w:val="003551"/>
              </w:rPr>
              <w:t>262%</w:t>
            </w:r>
          </w:p>
        </w:tc>
        <w:tc>
          <w:tcPr>
            <w:tcW w:w="2140" w:type="dxa"/>
            <w:vAlign w:val="bottom"/>
          </w:tcPr>
          <w:p>
            <w:pPr>
              <w:ind w:left="140"/>
              <w:spacing w:after="0"/>
              <w:rPr>
                <w:sz w:val="20"/>
                <w:szCs w:val="20"/>
                <w:color w:val="auto"/>
              </w:rPr>
            </w:pPr>
            <w:r>
              <w:rPr>
                <w:rFonts w:ascii="Arial" w:cs="Arial" w:eastAsia="Arial" w:hAnsi="Arial"/>
                <w:sz w:val="17"/>
                <w:szCs w:val="17"/>
                <w:color w:val="003551"/>
              </w:rPr>
              <w:t>124,359</w:t>
            </w:r>
          </w:p>
        </w:tc>
      </w:tr>
      <w:tr>
        <w:trPr>
          <w:trHeight w:val="432"/>
        </w:trPr>
        <w:tc>
          <w:tcPr>
            <w:tcW w:w="1380" w:type="dxa"/>
            <w:vAlign w:val="bottom"/>
          </w:tcPr>
          <w:p>
            <w:pPr>
              <w:ind w:left="140"/>
              <w:spacing w:after="0"/>
              <w:rPr>
                <w:sz w:val="20"/>
                <w:szCs w:val="20"/>
                <w:color w:val="auto"/>
              </w:rPr>
            </w:pPr>
            <w:r>
              <w:rPr>
                <w:rFonts w:ascii="Arial" w:cs="Arial" w:eastAsia="Arial" w:hAnsi="Arial"/>
                <w:sz w:val="17"/>
                <w:szCs w:val="17"/>
                <w:b w:val="1"/>
                <w:bCs w:val="1"/>
                <w:color w:val="003551"/>
              </w:rPr>
              <w:t>3</w:t>
            </w:r>
          </w:p>
        </w:tc>
        <w:tc>
          <w:tcPr>
            <w:tcW w:w="1080" w:type="dxa"/>
            <w:vAlign w:val="bottom"/>
          </w:tcPr>
          <w:p>
            <w:pPr>
              <w:ind w:left="540"/>
              <w:spacing w:after="0"/>
              <w:rPr>
                <w:sz w:val="20"/>
                <w:szCs w:val="20"/>
                <w:color w:val="auto"/>
              </w:rPr>
            </w:pPr>
            <w:r>
              <w:rPr>
                <w:rFonts w:ascii="Arial" w:cs="Arial" w:eastAsia="Arial" w:hAnsi="Arial"/>
                <w:sz w:val="17"/>
                <w:szCs w:val="17"/>
                <w:color w:val="003551"/>
                <w:w w:val="99"/>
              </w:rPr>
              <w:t>$30.00</w:t>
            </w:r>
          </w:p>
        </w:tc>
        <w:tc>
          <w:tcPr>
            <w:tcW w:w="3640" w:type="dxa"/>
            <w:vAlign w:val="bottom"/>
          </w:tcPr>
          <w:p>
            <w:pPr>
              <w:ind w:left="1240"/>
              <w:spacing w:after="0"/>
              <w:rPr>
                <w:sz w:val="20"/>
                <w:szCs w:val="20"/>
                <w:color w:val="auto"/>
              </w:rPr>
            </w:pPr>
            <w:r>
              <w:rPr>
                <w:rFonts w:ascii="Arial" w:cs="Arial" w:eastAsia="Arial" w:hAnsi="Arial"/>
                <w:sz w:val="17"/>
                <w:szCs w:val="17"/>
                <w:color w:val="003551"/>
              </w:rPr>
              <w:t>334%</w:t>
            </w:r>
          </w:p>
        </w:tc>
        <w:tc>
          <w:tcPr>
            <w:tcW w:w="2140" w:type="dxa"/>
            <w:vAlign w:val="bottom"/>
          </w:tcPr>
          <w:p>
            <w:pPr>
              <w:ind w:left="140"/>
              <w:spacing w:after="0"/>
              <w:rPr>
                <w:sz w:val="20"/>
                <w:szCs w:val="20"/>
                <w:color w:val="auto"/>
              </w:rPr>
            </w:pPr>
            <w:r>
              <w:rPr>
                <w:rFonts w:ascii="Arial" w:cs="Arial" w:eastAsia="Arial" w:hAnsi="Arial"/>
                <w:sz w:val="17"/>
                <w:szCs w:val="17"/>
                <w:color w:val="003551"/>
              </w:rPr>
              <w:t>131,970</w:t>
            </w:r>
          </w:p>
        </w:tc>
      </w:tr>
      <w:tr>
        <w:trPr>
          <w:trHeight w:val="432"/>
        </w:trPr>
        <w:tc>
          <w:tcPr>
            <w:tcW w:w="1380" w:type="dxa"/>
            <w:vAlign w:val="bottom"/>
          </w:tcPr>
          <w:p>
            <w:pPr>
              <w:ind w:left="140"/>
              <w:spacing w:after="0"/>
              <w:rPr>
                <w:sz w:val="20"/>
                <w:szCs w:val="20"/>
                <w:color w:val="auto"/>
              </w:rPr>
            </w:pPr>
            <w:r>
              <w:rPr>
                <w:rFonts w:ascii="Arial" w:cs="Arial" w:eastAsia="Arial" w:hAnsi="Arial"/>
                <w:sz w:val="17"/>
                <w:szCs w:val="17"/>
                <w:b w:val="1"/>
                <w:bCs w:val="1"/>
                <w:color w:val="003551"/>
              </w:rPr>
              <w:t>4</w:t>
            </w:r>
          </w:p>
        </w:tc>
        <w:tc>
          <w:tcPr>
            <w:tcW w:w="1080" w:type="dxa"/>
            <w:vAlign w:val="bottom"/>
          </w:tcPr>
          <w:p>
            <w:pPr>
              <w:ind w:left="540"/>
              <w:spacing w:after="0"/>
              <w:rPr>
                <w:sz w:val="20"/>
                <w:szCs w:val="20"/>
                <w:color w:val="auto"/>
              </w:rPr>
            </w:pPr>
            <w:r>
              <w:rPr>
                <w:rFonts w:ascii="Arial" w:cs="Arial" w:eastAsia="Arial" w:hAnsi="Arial"/>
                <w:sz w:val="17"/>
                <w:szCs w:val="17"/>
                <w:color w:val="003551"/>
                <w:w w:val="99"/>
              </w:rPr>
              <w:t>$35.00</w:t>
            </w:r>
          </w:p>
        </w:tc>
        <w:tc>
          <w:tcPr>
            <w:tcW w:w="3640" w:type="dxa"/>
            <w:vAlign w:val="bottom"/>
          </w:tcPr>
          <w:p>
            <w:pPr>
              <w:ind w:left="1240"/>
              <w:spacing w:after="0"/>
              <w:rPr>
                <w:sz w:val="20"/>
                <w:szCs w:val="20"/>
                <w:color w:val="auto"/>
              </w:rPr>
            </w:pPr>
            <w:r>
              <w:rPr>
                <w:rFonts w:ascii="Arial" w:cs="Arial" w:eastAsia="Arial" w:hAnsi="Arial"/>
                <w:sz w:val="17"/>
                <w:szCs w:val="17"/>
                <w:color w:val="003551"/>
              </w:rPr>
              <w:t>407%</w:t>
            </w:r>
          </w:p>
        </w:tc>
        <w:tc>
          <w:tcPr>
            <w:tcW w:w="2140" w:type="dxa"/>
            <w:vAlign w:val="bottom"/>
          </w:tcPr>
          <w:p>
            <w:pPr>
              <w:ind w:left="140"/>
              <w:spacing w:after="0"/>
              <w:rPr>
                <w:sz w:val="20"/>
                <w:szCs w:val="20"/>
                <w:color w:val="auto"/>
              </w:rPr>
            </w:pPr>
            <w:r>
              <w:rPr>
                <w:rFonts w:ascii="Arial" w:cs="Arial" w:eastAsia="Arial" w:hAnsi="Arial"/>
                <w:sz w:val="17"/>
                <w:szCs w:val="17"/>
                <w:color w:val="003551"/>
              </w:rPr>
              <w:t>140,228</w:t>
            </w:r>
          </w:p>
        </w:tc>
      </w:tr>
      <w:tr>
        <w:trPr>
          <w:trHeight w:val="432"/>
        </w:trPr>
        <w:tc>
          <w:tcPr>
            <w:tcW w:w="1380" w:type="dxa"/>
            <w:vAlign w:val="bottom"/>
          </w:tcPr>
          <w:p>
            <w:pPr>
              <w:ind w:left="140"/>
              <w:spacing w:after="0"/>
              <w:rPr>
                <w:sz w:val="20"/>
                <w:szCs w:val="20"/>
                <w:color w:val="auto"/>
              </w:rPr>
            </w:pPr>
            <w:r>
              <w:rPr>
                <w:rFonts w:ascii="Arial" w:cs="Arial" w:eastAsia="Arial" w:hAnsi="Arial"/>
                <w:sz w:val="17"/>
                <w:szCs w:val="17"/>
                <w:b w:val="1"/>
                <w:bCs w:val="1"/>
                <w:color w:val="003551"/>
              </w:rPr>
              <w:t>5</w:t>
            </w:r>
          </w:p>
        </w:tc>
        <w:tc>
          <w:tcPr>
            <w:tcW w:w="1080" w:type="dxa"/>
            <w:vAlign w:val="bottom"/>
          </w:tcPr>
          <w:p>
            <w:pPr>
              <w:ind w:left="540"/>
              <w:spacing w:after="0"/>
              <w:rPr>
                <w:sz w:val="20"/>
                <w:szCs w:val="20"/>
                <w:color w:val="auto"/>
              </w:rPr>
            </w:pPr>
            <w:r>
              <w:rPr>
                <w:rFonts w:ascii="Arial" w:cs="Arial" w:eastAsia="Arial" w:hAnsi="Arial"/>
                <w:sz w:val="17"/>
                <w:szCs w:val="17"/>
                <w:color w:val="003551"/>
                <w:w w:val="99"/>
              </w:rPr>
              <w:t>$40.00</w:t>
            </w:r>
          </w:p>
        </w:tc>
        <w:tc>
          <w:tcPr>
            <w:tcW w:w="3640" w:type="dxa"/>
            <w:vAlign w:val="bottom"/>
          </w:tcPr>
          <w:p>
            <w:pPr>
              <w:ind w:left="1240"/>
              <w:spacing w:after="0"/>
              <w:rPr>
                <w:sz w:val="20"/>
                <w:szCs w:val="20"/>
                <w:color w:val="auto"/>
              </w:rPr>
            </w:pPr>
            <w:r>
              <w:rPr>
                <w:rFonts w:ascii="Arial" w:cs="Arial" w:eastAsia="Arial" w:hAnsi="Arial"/>
                <w:sz w:val="17"/>
                <w:szCs w:val="17"/>
                <w:color w:val="003551"/>
              </w:rPr>
              <w:t>479%</w:t>
            </w:r>
          </w:p>
        </w:tc>
        <w:tc>
          <w:tcPr>
            <w:tcW w:w="2140" w:type="dxa"/>
            <w:vAlign w:val="bottom"/>
          </w:tcPr>
          <w:p>
            <w:pPr>
              <w:ind w:left="140"/>
              <w:spacing w:after="0"/>
              <w:rPr>
                <w:sz w:val="20"/>
                <w:szCs w:val="20"/>
                <w:color w:val="auto"/>
              </w:rPr>
            </w:pPr>
            <w:r>
              <w:rPr>
                <w:rFonts w:ascii="Arial" w:cs="Arial" w:eastAsia="Arial" w:hAnsi="Arial"/>
                <w:sz w:val="17"/>
                <w:szCs w:val="17"/>
                <w:color w:val="003551"/>
              </w:rPr>
              <w:t>147,466</w:t>
            </w:r>
          </w:p>
        </w:tc>
      </w:tr>
      <w:tr>
        <w:trPr>
          <w:trHeight w:val="432"/>
        </w:trPr>
        <w:tc>
          <w:tcPr>
            <w:tcW w:w="1380" w:type="dxa"/>
            <w:vAlign w:val="bottom"/>
          </w:tcPr>
          <w:p>
            <w:pPr>
              <w:ind w:left="140"/>
              <w:spacing w:after="0"/>
              <w:rPr>
                <w:sz w:val="20"/>
                <w:szCs w:val="20"/>
                <w:color w:val="auto"/>
              </w:rPr>
            </w:pPr>
            <w:r>
              <w:rPr>
                <w:rFonts w:ascii="Arial" w:cs="Arial" w:eastAsia="Arial" w:hAnsi="Arial"/>
                <w:sz w:val="17"/>
                <w:szCs w:val="17"/>
                <w:b w:val="1"/>
                <w:bCs w:val="1"/>
                <w:color w:val="003551"/>
              </w:rPr>
              <w:t>6</w:t>
            </w:r>
          </w:p>
        </w:tc>
        <w:tc>
          <w:tcPr>
            <w:tcW w:w="1080" w:type="dxa"/>
            <w:vAlign w:val="bottom"/>
          </w:tcPr>
          <w:p>
            <w:pPr>
              <w:ind w:left="540"/>
              <w:spacing w:after="0"/>
              <w:rPr>
                <w:sz w:val="20"/>
                <w:szCs w:val="20"/>
                <w:color w:val="auto"/>
              </w:rPr>
            </w:pPr>
            <w:r>
              <w:rPr>
                <w:rFonts w:ascii="Arial" w:cs="Arial" w:eastAsia="Arial" w:hAnsi="Arial"/>
                <w:sz w:val="17"/>
                <w:szCs w:val="17"/>
                <w:color w:val="003551"/>
                <w:w w:val="99"/>
              </w:rPr>
              <w:t>$45.00</w:t>
            </w:r>
          </w:p>
        </w:tc>
        <w:tc>
          <w:tcPr>
            <w:tcW w:w="3640" w:type="dxa"/>
            <w:vAlign w:val="bottom"/>
          </w:tcPr>
          <w:p>
            <w:pPr>
              <w:ind w:left="1240"/>
              <w:spacing w:after="0"/>
              <w:rPr>
                <w:sz w:val="20"/>
                <w:szCs w:val="20"/>
                <w:color w:val="auto"/>
              </w:rPr>
            </w:pPr>
            <w:r>
              <w:rPr>
                <w:rFonts w:ascii="Arial" w:cs="Arial" w:eastAsia="Arial" w:hAnsi="Arial"/>
                <w:sz w:val="17"/>
                <w:szCs w:val="17"/>
                <w:color w:val="003551"/>
              </w:rPr>
              <w:t>551%</w:t>
            </w:r>
          </w:p>
        </w:tc>
        <w:tc>
          <w:tcPr>
            <w:tcW w:w="2140" w:type="dxa"/>
            <w:vAlign w:val="bottom"/>
          </w:tcPr>
          <w:p>
            <w:pPr>
              <w:ind w:left="140"/>
              <w:spacing w:after="0"/>
              <w:rPr>
                <w:sz w:val="20"/>
                <w:szCs w:val="20"/>
                <w:color w:val="auto"/>
              </w:rPr>
            </w:pPr>
            <w:r>
              <w:rPr>
                <w:rFonts w:ascii="Arial" w:cs="Arial" w:eastAsia="Arial" w:hAnsi="Arial"/>
                <w:sz w:val="17"/>
                <w:szCs w:val="17"/>
                <w:color w:val="003551"/>
              </w:rPr>
              <w:t>156,129</w:t>
            </w:r>
          </w:p>
        </w:tc>
      </w:tr>
      <w:tr>
        <w:trPr>
          <w:trHeight w:val="432"/>
        </w:trPr>
        <w:tc>
          <w:tcPr>
            <w:tcW w:w="1380" w:type="dxa"/>
            <w:vAlign w:val="bottom"/>
          </w:tcPr>
          <w:p>
            <w:pPr>
              <w:ind w:left="140"/>
              <w:spacing w:after="0"/>
              <w:rPr>
                <w:sz w:val="20"/>
                <w:szCs w:val="20"/>
                <w:color w:val="auto"/>
              </w:rPr>
            </w:pPr>
            <w:r>
              <w:rPr>
                <w:rFonts w:ascii="Arial" w:cs="Arial" w:eastAsia="Arial" w:hAnsi="Arial"/>
                <w:sz w:val="17"/>
                <w:szCs w:val="17"/>
                <w:b w:val="1"/>
                <w:bCs w:val="1"/>
                <w:color w:val="003551"/>
              </w:rPr>
              <w:t>7</w:t>
            </w:r>
          </w:p>
        </w:tc>
        <w:tc>
          <w:tcPr>
            <w:tcW w:w="1080" w:type="dxa"/>
            <w:vAlign w:val="bottom"/>
          </w:tcPr>
          <w:p>
            <w:pPr>
              <w:ind w:left="540"/>
              <w:spacing w:after="0"/>
              <w:rPr>
                <w:sz w:val="20"/>
                <w:szCs w:val="20"/>
                <w:color w:val="auto"/>
              </w:rPr>
            </w:pPr>
            <w:r>
              <w:rPr>
                <w:rFonts w:ascii="Arial" w:cs="Arial" w:eastAsia="Arial" w:hAnsi="Arial"/>
                <w:sz w:val="17"/>
                <w:szCs w:val="17"/>
                <w:color w:val="003551"/>
                <w:w w:val="99"/>
              </w:rPr>
              <w:t>$50.00</w:t>
            </w:r>
          </w:p>
        </w:tc>
        <w:tc>
          <w:tcPr>
            <w:tcW w:w="3640" w:type="dxa"/>
            <w:vAlign w:val="bottom"/>
          </w:tcPr>
          <w:p>
            <w:pPr>
              <w:ind w:left="1240"/>
              <w:spacing w:after="0"/>
              <w:rPr>
                <w:sz w:val="20"/>
                <w:szCs w:val="20"/>
                <w:color w:val="auto"/>
              </w:rPr>
            </w:pPr>
            <w:r>
              <w:rPr>
                <w:rFonts w:ascii="Arial" w:cs="Arial" w:eastAsia="Arial" w:hAnsi="Arial"/>
                <w:sz w:val="17"/>
                <w:szCs w:val="17"/>
                <w:color w:val="003551"/>
              </w:rPr>
              <w:t>624%</w:t>
            </w:r>
          </w:p>
        </w:tc>
        <w:tc>
          <w:tcPr>
            <w:tcW w:w="2140" w:type="dxa"/>
            <w:vAlign w:val="bottom"/>
          </w:tcPr>
          <w:p>
            <w:pPr>
              <w:ind w:left="140"/>
              <w:spacing w:after="0"/>
              <w:rPr>
                <w:sz w:val="20"/>
                <w:szCs w:val="20"/>
                <w:color w:val="auto"/>
              </w:rPr>
            </w:pPr>
            <w:r>
              <w:rPr>
                <w:rFonts w:ascii="Arial" w:cs="Arial" w:eastAsia="Arial" w:hAnsi="Arial"/>
                <w:sz w:val="17"/>
                <w:szCs w:val="17"/>
                <w:color w:val="003551"/>
              </w:rPr>
              <w:t>167,085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-1586865</wp:posOffset>
            </wp:positionV>
            <wp:extent cx="522351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223510"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-1312545</wp:posOffset>
            </wp:positionV>
            <wp:extent cx="522351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223510"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-1038225</wp:posOffset>
            </wp:positionV>
            <wp:extent cx="522351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223510"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-763905</wp:posOffset>
            </wp:positionV>
            <wp:extent cx="522351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223510"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-488950</wp:posOffset>
            </wp:positionV>
            <wp:extent cx="522351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223510"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-214630</wp:posOffset>
            </wp:positionV>
            <wp:extent cx="522351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223510" cy="825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192405</wp:posOffset>
            </wp:positionV>
            <wp:extent cx="540385" cy="6318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The 2025 Annual PRSUs for our Co-Chief Executive Officers were modified by the Board in Fiscal 2025.</w:t>
      </w:r>
    </w:p>
    <w:p>
      <w:pPr>
        <w:spacing w:after="0" w:line="17"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For additional information, see “Award Modifications in Fiscal 2025” below.</w:t>
      </w:r>
    </w:p>
    <w:p>
      <w:pPr>
        <w:spacing w:after="0" w:line="237"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Fiscal 2025 Annual PRSUs – Ms. Nucifora</w:t>
      </w:r>
    </w:p>
    <w:p>
      <w:pPr>
        <w:spacing w:after="0" w:line="15" w:lineRule="exact"/>
        <w:rPr>
          <w:sz w:val="20"/>
          <w:szCs w:val="20"/>
          <w:color w:val="auto"/>
        </w:rPr>
      </w:pPr>
    </w:p>
    <w:p>
      <w:pPr>
        <w:ind w:left="940" w:right="780"/>
        <w:spacing w:after="0" w:line="245" w:lineRule="auto"/>
        <w:rPr>
          <w:sz w:val="20"/>
          <w:szCs w:val="20"/>
          <w:color w:val="auto"/>
        </w:rPr>
      </w:pPr>
      <w:r>
        <w:rPr>
          <w:rFonts w:ascii="Arial" w:cs="Arial" w:eastAsia="Arial" w:hAnsi="Arial"/>
          <w:sz w:val="17"/>
          <w:szCs w:val="17"/>
          <w:color w:val="003551"/>
        </w:rPr>
        <w:t>For employees other than our Co-Chief Executive Officers, including Ms. Nucifora, the 2025 Annual PRSUs vest based on IREN’s achievement of relative TSR performance goals during the three-year performance period from July 1, 2024 through June 30, 2027 (the “</w:t>
      </w:r>
      <w:r>
        <w:rPr>
          <w:rFonts w:ascii="Arial" w:cs="Arial" w:eastAsia="Arial" w:hAnsi="Arial"/>
          <w:sz w:val="17"/>
          <w:szCs w:val="17"/>
          <w:b w:val="1"/>
          <w:bCs w:val="1"/>
          <w:color w:val="003551"/>
        </w:rPr>
        <w:t>Performance Period</w:t>
      </w:r>
      <w:r>
        <w:rPr>
          <w:rFonts w:ascii="Arial" w:cs="Arial" w:eastAsia="Arial" w:hAnsi="Arial"/>
          <w:sz w:val="17"/>
          <w:szCs w:val="17"/>
          <w:color w:val="003551"/>
        </w:rPr>
        <w:t>”). The 2025 Annual PRSUs are earned, if at all, based on IREN’s cumulative TSR compared to the performance of the Nasdaq US Small Cap Index (“</w:t>
      </w:r>
      <w:r>
        <w:rPr>
          <w:rFonts w:ascii="Arial" w:cs="Arial" w:eastAsia="Arial" w:hAnsi="Arial"/>
          <w:sz w:val="17"/>
          <w:szCs w:val="17"/>
          <w:b w:val="1"/>
          <w:bCs w:val="1"/>
          <w:color w:val="003551"/>
        </w:rPr>
        <w:t>NQUSS Index</w:t>
      </w:r>
      <w:r>
        <w:rPr>
          <w:rFonts w:ascii="Arial" w:cs="Arial" w:eastAsia="Arial" w:hAnsi="Arial"/>
          <w:sz w:val="17"/>
          <w:szCs w:val="17"/>
          <w:color w:val="003551"/>
        </w:rPr>
        <w:t>”) over the Performance Period. Relative TSR was selected as the metric based on its clear alignment with shareholder value creation. The relative TSR performance goals are as follows:</w:t>
      </w:r>
    </w:p>
    <w:p>
      <w:pPr>
        <w:spacing w:after="0" w:line="323" w:lineRule="exact"/>
        <w:rPr>
          <w:sz w:val="20"/>
          <w:szCs w:val="20"/>
          <w:color w:val="auto"/>
        </w:rPr>
      </w:pPr>
    </w:p>
    <w:tbl>
      <w:tblPr>
        <w:tblLayout w:type="fixed"/>
        <w:tblInd w:w="940" w:type="dxa"/>
        <w:tblCellMar>
          <w:top w:w="0" w:type="dxa"/>
          <w:left w:w="0" w:type="dxa"/>
          <w:bottom w:w="0" w:type="dxa"/>
          <w:right w:w="0" w:type="dxa"/>
        </w:tblCellMar>
      </w:tblPr>
      <w:tr>
        <w:trPr>
          <w:trHeight w:val="378"/>
        </w:trPr>
        <w:tc>
          <w:tcPr>
            <w:tcW w:w="2280" w:type="dxa"/>
            <w:vAlign w:val="bottom"/>
            <w:shd w:val="clear" w:color="auto" w:fill="77C483"/>
          </w:tcPr>
          <w:p>
            <w:pPr>
              <w:spacing w:after="0"/>
              <w:rPr>
                <w:sz w:val="24"/>
                <w:szCs w:val="24"/>
                <w:color w:val="auto"/>
              </w:rPr>
            </w:pPr>
          </w:p>
        </w:tc>
        <w:tc>
          <w:tcPr>
            <w:tcW w:w="3320" w:type="dxa"/>
            <w:vAlign w:val="bottom"/>
            <w:shd w:val="clear" w:color="auto" w:fill="77C483"/>
          </w:tcPr>
          <w:p>
            <w:pPr>
              <w:ind w:left="720"/>
              <w:spacing w:after="0"/>
              <w:rPr>
                <w:sz w:val="20"/>
                <w:szCs w:val="20"/>
                <w:color w:val="auto"/>
              </w:rPr>
            </w:pPr>
            <w:r>
              <w:rPr>
                <w:rFonts w:ascii="Arial" w:cs="Arial" w:eastAsia="Arial" w:hAnsi="Arial"/>
                <w:sz w:val="17"/>
                <w:szCs w:val="17"/>
                <w:b w:val="1"/>
                <w:bCs w:val="1"/>
                <w:color w:val="003551"/>
              </w:rPr>
              <w:t>IREN TSR Performance</w:t>
            </w:r>
          </w:p>
        </w:tc>
        <w:tc>
          <w:tcPr>
            <w:tcW w:w="2640" w:type="dxa"/>
            <w:vAlign w:val="bottom"/>
            <w:shd w:val="clear" w:color="auto" w:fill="77C483"/>
          </w:tcPr>
          <w:p>
            <w:pPr>
              <w:ind w:left="440"/>
              <w:spacing w:after="0"/>
              <w:rPr>
                <w:sz w:val="20"/>
                <w:szCs w:val="20"/>
                <w:color w:val="auto"/>
              </w:rPr>
            </w:pPr>
            <w:r>
              <w:rPr>
                <w:rFonts w:ascii="Arial" w:cs="Arial" w:eastAsia="Arial" w:hAnsi="Arial"/>
                <w:sz w:val="17"/>
                <w:szCs w:val="17"/>
                <w:b w:val="1"/>
                <w:bCs w:val="1"/>
                <w:color w:val="003551"/>
              </w:rPr>
              <w:t>Payout (as a % of Target)</w:t>
            </w:r>
          </w:p>
        </w:tc>
      </w:tr>
      <w:tr>
        <w:trPr>
          <w:trHeight w:val="93"/>
        </w:trPr>
        <w:tc>
          <w:tcPr>
            <w:tcW w:w="2280" w:type="dxa"/>
            <w:vAlign w:val="bottom"/>
            <w:tcBorders>
              <w:bottom w:val="single" w:sz="8" w:color="003551"/>
            </w:tcBorders>
            <w:shd w:val="clear" w:color="auto" w:fill="77C483"/>
          </w:tcPr>
          <w:p>
            <w:pPr>
              <w:spacing w:after="0"/>
              <w:rPr>
                <w:sz w:val="8"/>
                <w:szCs w:val="8"/>
                <w:color w:val="auto"/>
              </w:rPr>
            </w:pPr>
          </w:p>
        </w:tc>
        <w:tc>
          <w:tcPr>
            <w:tcW w:w="3320" w:type="dxa"/>
            <w:vAlign w:val="bottom"/>
            <w:tcBorders>
              <w:bottom w:val="single" w:sz="8" w:color="003551"/>
            </w:tcBorders>
            <w:shd w:val="clear" w:color="auto" w:fill="77C483"/>
          </w:tcPr>
          <w:p>
            <w:pPr>
              <w:spacing w:after="0"/>
              <w:rPr>
                <w:sz w:val="8"/>
                <w:szCs w:val="8"/>
                <w:color w:val="auto"/>
              </w:rPr>
            </w:pPr>
          </w:p>
        </w:tc>
        <w:tc>
          <w:tcPr>
            <w:tcW w:w="2640" w:type="dxa"/>
            <w:vAlign w:val="bottom"/>
            <w:tcBorders>
              <w:bottom w:val="single" w:sz="8" w:color="003551"/>
            </w:tcBorders>
            <w:shd w:val="clear" w:color="auto" w:fill="77C483"/>
          </w:tcPr>
          <w:p>
            <w:pPr>
              <w:spacing w:after="0"/>
              <w:rPr>
                <w:sz w:val="8"/>
                <w:szCs w:val="8"/>
                <w:color w:val="auto"/>
              </w:rPr>
            </w:pPr>
          </w:p>
        </w:tc>
      </w:tr>
      <w:tr>
        <w:trPr>
          <w:trHeight w:val="332"/>
        </w:trPr>
        <w:tc>
          <w:tcPr>
            <w:tcW w:w="2280" w:type="dxa"/>
            <w:vAlign w:val="bottom"/>
          </w:tcPr>
          <w:p>
            <w:pPr>
              <w:ind w:left="140"/>
              <w:spacing w:after="0"/>
              <w:rPr>
                <w:sz w:val="20"/>
                <w:szCs w:val="20"/>
                <w:color w:val="auto"/>
              </w:rPr>
            </w:pPr>
            <w:r>
              <w:rPr>
                <w:rFonts w:ascii="Arial" w:cs="Arial" w:eastAsia="Arial" w:hAnsi="Arial"/>
                <w:sz w:val="17"/>
                <w:szCs w:val="17"/>
                <w:b w:val="1"/>
                <w:bCs w:val="1"/>
                <w:color w:val="003551"/>
              </w:rPr>
              <w:t>Maximum</w:t>
            </w:r>
          </w:p>
        </w:tc>
        <w:tc>
          <w:tcPr>
            <w:tcW w:w="3320" w:type="dxa"/>
            <w:vAlign w:val="bottom"/>
          </w:tcPr>
          <w:p>
            <w:pPr>
              <w:ind w:left="720"/>
              <w:spacing w:after="0"/>
              <w:rPr>
                <w:sz w:val="20"/>
                <w:szCs w:val="20"/>
                <w:color w:val="auto"/>
              </w:rPr>
            </w:pPr>
            <w:r>
              <w:rPr>
                <w:rFonts w:ascii="Arial" w:cs="Arial" w:eastAsia="Arial" w:hAnsi="Arial"/>
                <w:sz w:val="17"/>
                <w:szCs w:val="17"/>
                <w:color w:val="003551"/>
              </w:rPr>
              <w:t>≥ 40% above NQUSS Index</w:t>
            </w:r>
          </w:p>
        </w:tc>
        <w:tc>
          <w:tcPr>
            <w:tcW w:w="2640" w:type="dxa"/>
            <w:vAlign w:val="bottom"/>
          </w:tcPr>
          <w:p>
            <w:pPr>
              <w:ind w:left="440"/>
              <w:spacing w:after="0"/>
              <w:rPr>
                <w:sz w:val="20"/>
                <w:szCs w:val="20"/>
                <w:color w:val="auto"/>
              </w:rPr>
            </w:pPr>
            <w:r>
              <w:rPr>
                <w:rFonts w:ascii="Arial" w:cs="Arial" w:eastAsia="Arial" w:hAnsi="Arial"/>
                <w:sz w:val="17"/>
                <w:szCs w:val="17"/>
                <w:color w:val="003551"/>
              </w:rPr>
              <w:t>200%</w:t>
            </w:r>
          </w:p>
        </w:tc>
      </w:tr>
      <w:tr>
        <w:trPr>
          <w:trHeight w:val="432"/>
        </w:trPr>
        <w:tc>
          <w:tcPr>
            <w:tcW w:w="2280" w:type="dxa"/>
            <w:vAlign w:val="bottom"/>
          </w:tcPr>
          <w:p>
            <w:pPr>
              <w:ind w:left="140"/>
              <w:spacing w:after="0"/>
              <w:rPr>
                <w:sz w:val="20"/>
                <w:szCs w:val="20"/>
                <w:color w:val="auto"/>
              </w:rPr>
            </w:pPr>
            <w:r>
              <w:rPr>
                <w:rFonts w:ascii="Arial" w:cs="Arial" w:eastAsia="Arial" w:hAnsi="Arial"/>
                <w:sz w:val="17"/>
                <w:szCs w:val="17"/>
                <w:b w:val="1"/>
                <w:bCs w:val="1"/>
                <w:color w:val="003551"/>
              </w:rPr>
              <w:t>Target</w:t>
            </w:r>
          </w:p>
        </w:tc>
        <w:tc>
          <w:tcPr>
            <w:tcW w:w="3320" w:type="dxa"/>
            <w:vAlign w:val="bottom"/>
          </w:tcPr>
          <w:p>
            <w:pPr>
              <w:ind w:left="720"/>
              <w:spacing w:after="0"/>
              <w:rPr>
                <w:sz w:val="20"/>
                <w:szCs w:val="20"/>
                <w:color w:val="auto"/>
              </w:rPr>
            </w:pPr>
            <w:r>
              <w:rPr>
                <w:rFonts w:ascii="Arial" w:cs="Arial" w:eastAsia="Arial" w:hAnsi="Arial"/>
                <w:sz w:val="17"/>
                <w:szCs w:val="17"/>
                <w:color w:val="003551"/>
              </w:rPr>
              <w:t>Equal to NQUSS Index</w:t>
            </w:r>
          </w:p>
        </w:tc>
        <w:tc>
          <w:tcPr>
            <w:tcW w:w="2640" w:type="dxa"/>
            <w:vAlign w:val="bottom"/>
          </w:tcPr>
          <w:p>
            <w:pPr>
              <w:ind w:left="440"/>
              <w:spacing w:after="0"/>
              <w:rPr>
                <w:sz w:val="20"/>
                <w:szCs w:val="20"/>
                <w:color w:val="auto"/>
              </w:rPr>
            </w:pPr>
            <w:r>
              <w:rPr>
                <w:rFonts w:ascii="Arial" w:cs="Arial" w:eastAsia="Arial" w:hAnsi="Arial"/>
                <w:sz w:val="17"/>
                <w:szCs w:val="17"/>
                <w:color w:val="003551"/>
              </w:rPr>
              <w:t>100%</w:t>
            </w:r>
          </w:p>
        </w:tc>
      </w:tr>
      <w:tr>
        <w:trPr>
          <w:trHeight w:val="432"/>
        </w:trPr>
        <w:tc>
          <w:tcPr>
            <w:tcW w:w="2280" w:type="dxa"/>
            <w:vAlign w:val="bottom"/>
          </w:tcPr>
          <w:p>
            <w:pPr>
              <w:ind w:left="140"/>
              <w:spacing w:after="0"/>
              <w:rPr>
                <w:sz w:val="20"/>
                <w:szCs w:val="20"/>
                <w:color w:val="auto"/>
              </w:rPr>
            </w:pPr>
            <w:r>
              <w:rPr>
                <w:rFonts w:ascii="Arial" w:cs="Arial" w:eastAsia="Arial" w:hAnsi="Arial"/>
                <w:sz w:val="17"/>
                <w:szCs w:val="17"/>
                <w:b w:val="1"/>
                <w:bCs w:val="1"/>
                <w:color w:val="003551"/>
              </w:rPr>
              <w:t>Threshold</w:t>
            </w:r>
          </w:p>
        </w:tc>
        <w:tc>
          <w:tcPr>
            <w:tcW w:w="3320" w:type="dxa"/>
            <w:vAlign w:val="bottom"/>
          </w:tcPr>
          <w:p>
            <w:pPr>
              <w:ind w:left="720"/>
              <w:spacing w:after="0"/>
              <w:rPr>
                <w:sz w:val="20"/>
                <w:szCs w:val="20"/>
                <w:color w:val="auto"/>
              </w:rPr>
            </w:pPr>
            <w:r>
              <w:rPr>
                <w:rFonts w:ascii="Arial" w:cs="Arial" w:eastAsia="Arial" w:hAnsi="Arial"/>
                <w:sz w:val="17"/>
                <w:szCs w:val="17"/>
                <w:color w:val="003551"/>
              </w:rPr>
              <w:t>40% below NQUSS Index</w:t>
            </w:r>
          </w:p>
        </w:tc>
        <w:tc>
          <w:tcPr>
            <w:tcW w:w="2640" w:type="dxa"/>
            <w:vAlign w:val="bottom"/>
          </w:tcPr>
          <w:p>
            <w:pPr>
              <w:ind w:left="440"/>
              <w:spacing w:after="0"/>
              <w:rPr>
                <w:sz w:val="20"/>
                <w:szCs w:val="20"/>
                <w:color w:val="auto"/>
              </w:rPr>
            </w:pPr>
            <w:r>
              <w:rPr>
                <w:rFonts w:ascii="Arial" w:cs="Arial" w:eastAsia="Arial" w:hAnsi="Arial"/>
                <w:sz w:val="17"/>
                <w:szCs w:val="17"/>
                <w:color w:val="003551"/>
              </w:rPr>
              <w:t>50%</w:t>
            </w:r>
          </w:p>
        </w:tc>
      </w:tr>
      <w:tr>
        <w:trPr>
          <w:trHeight w:val="432"/>
        </w:trPr>
        <w:tc>
          <w:tcPr>
            <w:tcW w:w="2280" w:type="dxa"/>
            <w:vAlign w:val="bottom"/>
          </w:tcPr>
          <w:p>
            <w:pPr>
              <w:ind w:left="140"/>
              <w:spacing w:after="0"/>
              <w:rPr>
                <w:sz w:val="20"/>
                <w:szCs w:val="20"/>
                <w:color w:val="auto"/>
              </w:rPr>
            </w:pPr>
            <w:r>
              <w:rPr>
                <w:rFonts w:ascii="Arial" w:cs="Arial" w:eastAsia="Arial" w:hAnsi="Arial"/>
                <w:sz w:val="17"/>
                <w:szCs w:val="17"/>
                <w:b w:val="1"/>
                <w:bCs w:val="1"/>
                <w:color w:val="003551"/>
              </w:rPr>
              <w:t>Below Threshold</w:t>
            </w:r>
          </w:p>
        </w:tc>
        <w:tc>
          <w:tcPr>
            <w:tcW w:w="3320" w:type="dxa"/>
            <w:vAlign w:val="bottom"/>
          </w:tcPr>
          <w:p>
            <w:pPr>
              <w:ind w:left="720"/>
              <w:spacing w:after="0"/>
              <w:rPr>
                <w:sz w:val="20"/>
                <w:szCs w:val="20"/>
                <w:color w:val="auto"/>
              </w:rPr>
            </w:pPr>
            <w:r>
              <w:rPr>
                <w:rFonts w:ascii="Arial" w:cs="Arial" w:eastAsia="Arial" w:hAnsi="Arial"/>
                <w:sz w:val="17"/>
                <w:szCs w:val="17"/>
                <w:color w:val="003551"/>
              </w:rPr>
              <w:t>&lt; 40% below NQUSS Index</w:t>
            </w:r>
          </w:p>
        </w:tc>
        <w:tc>
          <w:tcPr>
            <w:tcW w:w="2640" w:type="dxa"/>
            <w:vAlign w:val="bottom"/>
          </w:tcPr>
          <w:p>
            <w:pPr>
              <w:ind w:left="440"/>
              <w:spacing w:after="0"/>
              <w:rPr>
                <w:sz w:val="20"/>
                <w:szCs w:val="20"/>
                <w:color w:val="auto"/>
              </w:rPr>
            </w:pPr>
            <w:r>
              <w:rPr>
                <w:rFonts w:ascii="Arial" w:cs="Arial" w:eastAsia="Arial" w:hAnsi="Arial"/>
                <w:sz w:val="17"/>
                <w:szCs w:val="17"/>
                <w:color w:val="003551"/>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-763905</wp:posOffset>
            </wp:positionV>
            <wp:extent cx="522351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223510"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-488950</wp:posOffset>
            </wp:positionV>
            <wp:extent cx="522351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223510"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-214630</wp:posOffset>
            </wp:positionV>
            <wp:extent cx="522351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223510" cy="8255"/>
                    </a:xfrm>
                    <a:prstGeom prst="rect">
                      <a:avLst/>
                    </a:prstGeom>
                    <a:noFill/>
                  </pic:spPr>
                </pic:pic>
              </a:graphicData>
            </a:graphic>
          </wp:anchor>
        </w:drawing>
      </w:r>
    </w:p>
    <w:p>
      <w:pPr>
        <w:spacing w:after="0" w:line="292" w:lineRule="exact"/>
        <w:rPr>
          <w:sz w:val="20"/>
          <w:szCs w:val="20"/>
          <w:color w:val="auto"/>
        </w:rPr>
      </w:pPr>
    </w:p>
    <w:p>
      <w:pPr>
        <w:ind w:left="940" w:right="860"/>
        <w:spacing w:after="0" w:line="251" w:lineRule="auto"/>
        <w:rPr>
          <w:sz w:val="20"/>
          <w:szCs w:val="20"/>
          <w:color w:val="auto"/>
        </w:rPr>
      </w:pPr>
      <w:r>
        <w:rPr>
          <w:rFonts w:ascii="Arial" w:cs="Arial" w:eastAsia="Arial" w:hAnsi="Arial"/>
          <w:sz w:val="17"/>
          <w:szCs w:val="17"/>
          <w:color w:val="003551"/>
        </w:rPr>
        <w:t>Payout for performance between levels (threshold, target, maximum) is determined based on linear interpolation. No 2025 Annual PRSUs will vest if the threshold performance hurdle is not achieved at the end of the Performance Period. If IREN’s absolute TSR is negative over the Performance Period, the maximum number of 2025 Annual PRSUs that can vest is limited to the target performance level set forth in the table above.</w:t>
      </w:r>
    </w:p>
    <w:p>
      <w:pPr>
        <w:spacing w:after="0" w:line="20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Outperformance Grants – Co-Chief Executive Officers</w:t>
      </w:r>
    </w:p>
    <w:p>
      <w:pPr>
        <w:spacing w:after="0" w:line="41" w:lineRule="exact"/>
        <w:rPr>
          <w:sz w:val="20"/>
          <w:szCs w:val="20"/>
          <w:color w:val="auto"/>
        </w:rPr>
      </w:pPr>
    </w:p>
    <w:p>
      <w:pPr>
        <w:ind w:left="940" w:right="900"/>
        <w:spacing w:after="0" w:line="252" w:lineRule="auto"/>
        <w:rPr>
          <w:sz w:val="20"/>
          <w:szCs w:val="20"/>
          <w:color w:val="auto"/>
        </w:rPr>
      </w:pPr>
      <w:r>
        <w:rPr>
          <w:rFonts w:ascii="Arial" w:cs="Arial" w:eastAsia="Arial" w:hAnsi="Arial"/>
          <w:sz w:val="17"/>
          <w:szCs w:val="17"/>
          <w:color w:val="003551"/>
        </w:rPr>
        <w:t>Over the past year, IREN delivered strong execution against its strategic priorities, reinforcing its position as a leader in high-performance computing and strengthening its foundation for long-term growth. Key operational achievements include:</w:t>
      </w:r>
    </w:p>
    <w:p>
      <w:pPr>
        <w:spacing w:after="0" w:line="89" w:lineRule="exact"/>
        <w:rPr>
          <w:sz w:val="20"/>
          <w:szCs w:val="20"/>
          <w:color w:val="auto"/>
        </w:rPr>
      </w:pPr>
    </w:p>
    <w:p>
      <w:pPr>
        <w:ind w:left="1280" w:right="1140" w:hanging="337"/>
        <w:spacing w:after="0" w:line="283" w:lineRule="auto"/>
        <w:tabs>
          <w:tab w:leader="none" w:pos="1280" w:val="left"/>
        </w:tabs>
        <w:numPr>
          <w:ilvl w:val="0"/>
          <w:numId w:val="31"/>
        </w:numPr>
        <w:rPr>
          <w:rFonts w:ascii="Arial" w:cs="Arial" w:eastAsia="Arial" w:hAnsi="Arial"/>
          <w:sz w:val="17"/>
          <w:szCs w:val="17"/>
          <w:color w:val="003551"/>
        </w:rPr>
      </w:pPr>
      <w:r>
        <w:rPr>
          <w:rFonts w:ascii="Arial" w:cs="Arial" w:eastAsia="Arial" w:hAnsi="Arial"/>
          <w:sz w:val="17"/>
          <w:szCs w:val="17"/>
          <w:color w:val="003551"/>
        </w:rPr>
        <w:t>Increased contracted, grid-connected power capacity 35% year-over-year to 2,910MW, and grew operational data center capacity 212% year-over-year to 810MW.</w:t>
      </w:r>
    </w:p>
    <w:p>
      <w:pPr>
        <w:spacing w:after="0" w:line="76" w:lineRule="exact"/>
        <w:rPr>
          <w:rFonts w:ascii="Arial" w:cs="Arial" w:eastAsia="Arial" w:hAnsi="Arial"/>
          <w:sz w:val="17"/>
          <w:szCs w:val="17"/>
          <w:color w:val="003551"/>
        </w:rPr>
      </w:pPr>
    </w:p>
    <w:p>
      <w:pPr>
        <w:ind w:left="1280" w:right="840" w:hanging="337"/>
        <w:spacing w:after="0" w:line="283" w:lineRule="auto"/>
        <w:tabs>
          <w:tab w:leader="none" w:pos="1280" w:val="left"/>
        </w:tabs>
        <w:numPr>
          <w:ilvl w:val="0"/>
          <w:numId w:val="31"/>
        </w:numPr>
        <w:rPr>
          <w:rFonts w:ascii="Arial" w:cs="Arial" w:eastAsia="Arial" w:hAnsi="Arial"/>
          <w:sz w:val="17"/>
          <w:szCs w:val="17"/>
          <w:color w:val="003551"/>
        </w:rPr>
      </w:pPr>
      <w:r>
        <w:rPr>
          <w:rFonts w:ascii="Arial" w:cs="Arial" w:eastAsia="Arial" w:hAnsi="Arial"/>
          <w:sz w:val="17"/>
          <w:szCs w:val="17"/>
          <w:color w:val="003551"/>
        </w:rPr>
        <w:t>Achieved its fiscal year-end target of 50 EH/s, a 400% increase year-over-year, establishing IREN as one of the world’s leading low-cost Bitcoin producers.</w:t>
      </w:r>
    </w:p>
    <w:p>
      <w:pPr>
        <w:spacing w:after="0" w:line="76" w:lineRule="exact"/>
        <w:rPr>
          <w:rFonts w:ascii="Arial" w:cs="Arial" w:eastAsia="Arial" w:hAnsi="Arial"/>
          <w:sz w:val="17"/>
          <w:szCs w:val="17"/>
          <w:color w:val="003551"/>
        </w:rPr>
      </w:pPr>
    </w:p>
    <w:p>
      <w:pPr>
        <w:ind w:left="1280" w:right="780" w:hanging="337"/>
        <w:spacing w:after="0" w:line="262" w:lineRule="auto"/>
        <w:tabs>
          <w:tab w:leader="none" w:pos="1280" w:val="left"/>
        </w:tabs>
        <w:numPr>
          <w:ilvl w:val="0"/>
          <w:numId w:val="31"/>
        </w:numPr>
        <w:rPr>
          <w:rFonts w:ascii="Arial" w:cs="Arial" w:eastAsia="Arial" w:hAnsi="Arial"/>
          <w:sz w:val="17"/>
          <w:szCs w:val="17"/>
          <w:color w:val="003551"/>
        </w:rPr>
      </w:pPr>
      <w:r>
        <w:rPr>
          <w:rFonts w:ascii="Arial" w:cs="Arial" w:eastAsia="Arial" w:hAnsi="Arial"/>
          <w:sz w:val="17"/>
          <w:szCs w:val="17"/>
          <w:color w:val="003551"/>
        </w:rPr>
        <w:t>Scaled AI Cloud Services capacity 132% year-over-year to approximately 1,900 NVIDIA GPUs, and prepared IREN for further potential expansion to over 10,000 NVIDIA GPUs in Fiscal 2026, supported by GPU financing.</w:t>
      </w:r>
    </w:p>
    <w:p>
      <w:pPr>
        <w:spacing w:after="0" w:line="54" w:lineRule="exact"/>
        <w:rPr>
          <w:sz w:val="20"/>
          <w:szCs w:val="20"/>
          <w:color w:val="auto"/>
        </w:rPr>
      </w:pPr>
    </w:p>
    <w:p>
      <w:pPr>
        <w:jc w:val="both"/>
        <w:ind w:left="940" w:right="900"/>
        <w:spacing w:after="0" w:line="262" w:lineRule="auto"/>
        <w:rPr>
          <w:sz w:val="20"/>
          <w:szCs w:val="20"/>
          <w:color w:val="auto"/>
        </w:rPr>
      </w:pPr>
      <w:r>
        <w:rPr>
          <w:rFonts w:ascii="Arial" w:cs="Arial" w:eastAsia="Arial" w:hAnsi="Arial"/>
          <w:sz w:val="17"/>
          <w:szCs w:val="17"/>
          <w:color w:val="003551"/>
        </w:rPr>
        <w:t>These achievements reflect the strength of IREN’s in-house technology, development, procurement, and construction teams, and demonstrate IREN’s ability to deliver large-scale infrastructure at speed across multiple markets.</w:t>
      </w:r>
    </w:p>
    <w:p>
      <w:pPr>
        <w:spacing w:after="0" w:line="54" w:lineRule="exact"/>
        <w:rPr>
          <w:sz w:val="20"/>
          <w:szCs w:val="20"/>
          <w:color w:val="auto"/>
        </w:rPr>
      </w:pPr>
    </w:p>
    <w:p>
      <w:pPr>
        <w:ind w:left="940" w:right="780"/>
        <w:spacing w:after="0" w:line="249" w:lineRule="auto"/>
        <w:rPr>
          <w:sz w:val="20"/>
          <w:szCs w:val="20"/>
          <w:color w:val="auto"/>
        </w:rPr>
      </w:pPr>
      <w:r>
        <w:rPr>
          <w:rFonts w:ascii="Arial" w:cs="Arial" w:eastAsia="Arial" w:hAnsi="Arial"/>
          <w:sz w:val="17"/>
          <w:szCs w:val="17"/>
          <w:color w:val="003551"/>
        </w:rPr>
        <w:t>To incentivize the Co-Chief Executive Officers to continue delivering strong performance and create significant shareholder value, the Board approved the grant of outperformance awards in May 2025 in the form of 2,400,000 TRSUs to each Co-Chief Executive Officer (the “</w:t>
      </w:r>
      <w:r>
        <w:rPr>
          <w:rFonts w:ascii="Arial" w:cs="Arial" w:eastAsia="Arial" w:hAnsi="Arial"/>
          <w:sz w:val="17"/>
          <w:szCs w:val="17"/>
          <w:b w:val="1"/>
          <w:bCs w:val="1"/>
          <w:color w:val="003551"/>
        </w:rPr>
        <w:t>Outperformance TRSUs</w:t>
      </w:r>
      <w:r>
        <w:rPr>
          <w:rFonts w:ascii="Arial" w:cs="Arial" w:eastAsia="Arial" w:hAnsi="Arial"/>
          <w:sz w:val="17"/>
          <w:szCs w:val="17"/>
          <w:color w:val="003551"/>
        </w:rPr>
        <w:t>”) which vest in two separate tranches over one year. The Outperformance TRSUs are intended to balance the Retention Grants (as described below), which have a six-year vesting requirement, with the PRSUs tied to rigorous share price hurdles.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119380</wp:posOffset>
            </wp:positionV>
            <wp:extent cx="540385" cy="6318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Retention Grants – NEOs</w:t>
      </w:r>
    </w:p>
    <w:p>
      <w:pPr>
        <w:spacing w:after="0" w:line="41" w:lineRule="exact"/>
        <w:rPr>
          <w:sz w:val="20"/>
          <w:szCs w:val="20"/>
          <w:color w:val="auto"/>
        </w:rPr>
      </w:pPr>
    </w:p>
    <w:p>
      <w:pPr>
        <w:ind w:left="940" w:right="740"/>
        <w:spacing w:after="0" w:line="246" w:lineRule="auto"/>
        <w:rPr>
          <w:sz w:val="20"/>
          <w:szCs w:val="20"/>
          <w:color w:val="auto"/>
        </w:rPr>
      </w:pPr>
      <w:r>
        <w:rPr>
          <w:rFonts w:ascii="Arial" w:cs="Arial" w:eastAsia="Arial" w:hAnsi="Arial"/>
          <w:sz w:val="17"/>
          <w:szCs w:val="17"/>
          <w:color w:val="003551"/>
        </w:rPr>
        <w:t>Following a review of typical retention structures performed by the Compensation Committee, the non-employee directors of the Board determined it was in the best interests of IREN and its shareholders to approve an additional long-term equity grant in the form of PRSUs and TRSUs to IREN’s senior leadership team, including the Co-Chief Executive Officers and Ms. Nucifora (the “</w:t>
      </w:r>
      <w:r>
        <w:rPr>
          <w:rFonts w:ascii="Arial" w:cs="Arial" w:eastAsia="Arial" w:hAnsi="Arial"/>
          <w:sz w:val="17"/>
          <w:szCs w:val="17"/>
          <w:b w:val="1"/>
          <w:bCs w:val="1"/>
          <w:color w:val="003551"/>
        </w:rPr>
        <w:t>Retention Grants</w:t>
      </w:r>
      <w:r>
        <w:rPr>
          <w:rFonts w:ascii="Arial" w:cs="Arial" w:eastAsia="Arial" w:hAnsi="Arial"/>
          <w:sz w:val="17"/>
          <w:szCs w:val="17"/>
          <w:color w:val="003551"/>
        </w:rPr>
        <w:t>”) that would vest over a period of six years and rigorous share price hurdles.</w:t>
      </w:r>
    </w:p>
    <w:p>
      <w:pPr>
        <w:spacing w:after="0" w:line="69" w:lineRule="exact"/>
        <w:rPr>
          <w:sz w:val="20"/>
          <w:szCs w:val="20"/>
          <w:color w:val="auto"/>
        </w:rPr>
      </w:pPr>
    </w:p>
    <w:p>
      <w:pPr>
        <w:ind w:left="940" w:right="900"/>
        <w:spacing w:after="0" w:line="262" w:lineRule="auto"/>
        <w:rPr>
          <w:sz w:val="20"/>
          <w:szCs w:val="20"/>
          <w:color w:val="auto"/>
        </w:rPr>
      </w:pPr>
      <w:r>
        <w:rPr>
          <w:rFonts w:ascii="Arial" w:cs="Arial" w:eastAsia="Arial" w:hAnsi="Arial"/>
          <w:sz w:val="17"/>
          <w:szCs w:val="17"/>
          <w:color w:val="003551"/>
        </w:rPr>
        <w:t>The Compensation Committee determined that the retention of our senior leadership team was critical to continued growth and success, including as IREN embarks on its expansion in high-performance computing and AI Cloud Services.</w:t>
      </w:r>
    </w:p>
    <w:p>
      <w:pPr>
        <w:spacing w:after="0" w:line="54" w:lineRule="exact"/>
        <w:rPr>
          <w:sz w:val="20"/>
          <w:szCs w:val="20"/>
          <w:color w:val="auto"/>
        </w:rPr>
      </w:pPr>
    </w:p>
    <w:p>
      <w:pPr>
        <w:ind w:left="940" w:right="860"/>
        <w:spacing w:after="0" w:line="249" w:lineRule="auto"/>
        <w:rPr>
          <w:sz w:val="20"/>
          <w:szCs w:val="20"/>
          <w:color w:val="auto"/>
        </w:rPr>
      </w:pPr>
      <w:r>
        <w:rPr>
          <w:rFonts w:ascii="Arial" w:cs="Arial" w:eastAsia="Arial" w:hAnsi="Arial"/>
          <w:sz w:val="17"/>
          <w:szCs w:val="17"/>
          <w:color w:val="003551"/>
        </w:rPr>
        <w:t>In deciding to award the Retention Grants, the Compensation Committee consulted with its independent compensation consultant on the design of the Retention Grants and considered several factors, including market data on the vesting terms, goals, and goal rigor in similar scenarios. The Board also considered the importance of extending a consistent long-term retention and performance-alignment structure to the senior leadership team. Following the Compensation Committee’s recommendation, the Board approved awarding the Retention Grants to certain executives, including the NEOs.</w:t>
      </w:r>
    </w:p>
    <w:p>
      <w:pPr>
        <w:spacing w:after="0" w:line="106"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The Retention Grants are shown below for each NEO.</w:t>
      </w:r>
    </w:p>
    <w:p>
      <w:pPr>
        <w:spacing w:after="0" w:line="149" w:lineRule="exact"/>
        <w:rPr>
          <w:sz w:val="20"/>
          <w:szCs w:val="20"/>
          <w:color w:val="auto"/>
        </w:rPr>
      </w:pPr>
    </w:p>
    <w:tbl>
      <w:tblPr>
        <w:tblLayout w:type="fixed"/>
        <w:tblInd w:w="940" w:type="dxa"/>
        <w:tblCellMar>
          <w:top w:w="0" w:type="dxa"/>
          <w:left w:w="0" w:type="dxa"/>
          <w:bottom w:w="0" w:type="dxa"/>
          <w:right w:w="0" w:type="dxa"/>
        </w:tblCellMar>
      </w:tblPr>
      <w:tr>
        <w:trPr>
          <w:trHeight w:val="378"/>
        </w:trPr>
        <w:tc>
          <w:tcPr>
            <w:tcW w:w="2100" w:type="dxa"/>
            <w:vAlign w:val="bottom"/>
            <w:shd w:val="clear" w:color="auto" w:fill="77C483"/>
          </w:tcPr>
          <w:p>
            <w:pPr>
              <w:ind w:left="140"/>
              <w:spacing w:after="0"/>
              <w:rPr>
                <w:sz w:val="20"/>
                <w:szCs w:val="20"/>
                <w:color w:val="auto"/>
              </w:rPr>
            </w:pPr>
            <w:r>
              <w:rPr>
                <w:rFonts w:ascii="Arial" w:cs="Arial" w:eastAsia="Arial" w:hAnsi="Arial"/>
                <w:sz w:val="17"/>
                <w:szCs w:val="17"/>
                <w:b w:val="1"/>
                <w:bCs w:val="1"/>
                <w:color w:val="003551"/>
              </w:rPr>
              <w:t>NEO</w:t>
            </w:r>
          </w:p>
        </w:tc>
        <w:tc>
          <w:tcPr>
            <w:tcW w:w="3280" w:type="dxa"/>
            <w:vAlign w:val="bottom"/>
            <w:shd w:val="clear" w:color="auto" w:fill="77C483"/>
          </w:tcPr>
          <w:p>
            <w:pPr>
              <w:ind w:left="540"/>
              <w:spacing w:after="0"/>
              <w:rPr>
                <w:sz w:val="20"/>
                <w:szCs w:val="20"/>
                <w:color w:val="auto"/>
              </w:rPr>
            </w:pPr>
            <w:r>
              <w:rPr>
                <w:rFonts w:ascii="Arial" w:cs="Arial" w:eastAsia="Arial" w:hAnsi="Arial"/>
                <w:sz w:val="17"/>
                <w:szCs w:val="17"/>
                <w:b w:val="1"/>
                <w:bCs w:val="1"/>
                <w:color w:val="003551"/>
              </w:rPr>
              <w:t>Number of Retention PRSUs</w:t>
            </w:r>
          </w:p>
        </w:tc>
        <w:tc>
          <w:tcPr>
            <w:tcW w:w="2860" w:type="dxa"/>
            <w:vAlign w:val="bottom"/>
            <w:shd w:val="clear" w:color="auto" w:fill="77C483"/>
          </w:tcPr>
          <w:p>
            <w:pPr>
              <w:ind w:left="380"/>
              <w:spacing w:after="0"/>
              <w:rPr>
                <w:sz w:val="20"/>
                <w:szCs w:val="20"/>
                <w:color w:val="auto"/>
              </w:rPr>
            </w:pPr>
            <w:r>
              <w:rPr>
                <w:rFonts w:ascii="Arial" w:cs="Arial" w:eastAsia="Arial" w:hAnsi="Arial"/>
                <w:sz w:val="17"/>
                <w:szCs w:val="17"/>
                <w:b w:val="1"/>
                <w:bCs w:val="1"/>
                <w:color w:val="003551"/>
              </w:rPr>
              <w:t>Number of Retention TRSUs</w:t>
            </w:r>
          </w:p>
        </w:tc>
      </w:tr>
      <w:tr>
        <w:trPr>
          <w:trHeight w:val="93"/>
        </w:trPr>
        <w:tc>
          <w:tcPr>
            <w:tcW w:w="2100" w:type="dxa"/>
            <w:vAlign w:val="bottom"/>
            <w:tcBorders>
              <w:bottom w:val="single" w:sz="8" w:color="003551"/>
            </w:tcBorders>
            <w:shd w:val="clear" w:color="auto" w:fill="77C483"/>
          </w:tcPr>
          <w:p>
            <w:pPr>
              <w:spacing w:after="0"/>
              <w:rPr>
                <w:sz w:val="8"/>
                <w:szCs w:val="8"/>
                <w:color w:val="auto"/>
              </w:rPr>
            </w:pPr>
          </w:p>
        </w:tc>
        <w:tc>
          <w:tcPr>
            <w:tcW w:w="3280" w:type="dxa"/>
            <w:vAlign w:val="bottom"/>
            <w:tcBorders>
              <w:bottom w:val="single" w:sz="8" w:color="003551"/>
            </w:tcBorders>
            <w:shd w:val="clear" w:color="auto" w:fill="77C483"/>
          </w:tcPr>
          <w:p>
            <w:pPr>
              <w:spacing w:after="0"/>
              <w:rPr>
                <w:sz w:val="8"/>
                <w:szCs w:val="8"/>
                <w:color w:val="auto"/>
              </w:rPr>
            </w:pPr>
          </w:p>
        </w:tc>
        <w:tc>
          <w:tcPr>
            <w:tcW w:w="2860" w:type="dxa"/>
            <w:vAlign w:val="bottom"/>
            <w:tcBorders>
              <w:bottom w:val="single" w:sz="8" w:color="003551"/>
            </w:tcBorders>
            <w:shd w:val="clear" w:color="auto" w:fill="77C483"/>
          </w:tcPr>
          <w:p>
            <w:pPr>
              <w:spacing w:after="0"/>
              <w:rPr>
                <w:sz w:val="8"/>
                <w:szCs w:val="8"/>
                <w:color w:val="auto"/>
              </w:rPr>
            </w:pPr>
          </w:p>
        </w:tc>
      </w:tr>
      <w:tr>
        <w:trPr>
          <w:trHeight w:val="332"/>
        </w:trPr>
        <w:tc>
          <w:tcPr>
            <w:tcW w:w="2100" w:type="dxa"/>
            <w:vAlign w:val="bottom"/>
          </w:tcPr>
          <w:p>
            <w:pPr>
              <w:ind w:left="140"/>
              <w:spacing w:after="0"/>
              <w:rPr>
                <w:sz w:val="20"/>
                <w:szCs w:val="20"/>
                <w:color w:val="auto"/>
              </w:rPr>
            </w:pPr>
            <w:r>
              <w:rPr>
                <w:rFonts w:ascii="Arial" w:cs="Arial" w:eastAsia="Arial" w:hAnsi="Arial"/>
                <w:sz w:val="17"/>
                <w:szCs w:val="17"/>
                <w:b w:val="1"/>
                <w:bCs w:val="1"/>
                <w:color w:val="003551"/>
              </w:rPr>
              <w:t>William Roberts</w:t>
            </w:r>
          </w:p>
        </w:tc>
        <w:tc>
          <w:tcPr>
            <w:tcW w:w="3280" w:type="dxa"/>
            <w:vAlign w:val="bottom"/>
          </w:tcPr>
          <w:p>
            <w:pPr>
              <w:ind w:left="540"/>
              <w:spacing w:after="0"/>
              <w:rPr>
                <w:sz w:val="20"/>
                <w:szCs w:val="20"/>
                <w:color w:val="auto"/>
              </w:rPr>
            </w:pPr>
            <w:r>
              <w:rPr>
                <w:rFonts w:ascii="Arial" w:cs="Arial" w:eastAsia="Arial" w:hAnsi="Arial"/>
                <w:sz w:val="17"/>
                <w:szCs w:val="17"/>
                <w:color w:val="003551"/>
              </w:rPr>
              <w:t>1,844,862</w:t>
            </w:r>
          </w:p>
        </w:tc>
        <w:tc>
          <w:tcPr>
            <w:tcW w:w="2860" w:type="dxa"/>
            <w:vAlign w:val="bottom"/>
          </w:tcPr>
          <w:p>
            <w:pPr>
              <w:ind w:left="380"/>
              <w:spacing w:after="0"/>
              <w:rPr>
                <w:sz w:val="20"/>
                <w:szCs w:val="20"/>
                <w:color w:val="auto"/>
              </w:rPr>
            </w:pPr>
            <w:r>
              <w:rPr>
                <w:rFonts w:ascii="Arial" w:cs="Arial" w:eastAsia="Arial" w:hAnsi="Arial"/>
                <w:sz w:val="17"/>
                <w:szCs w:val="17"/>
                <w:color w:val="003551"/>
              </w:rPr>
              <w:t>1,844,862</w:t>
            </w:r>
          </w:p>
        </w:tc>
      </w:tr>
      <w:tr>
        <w:trPr>
          <w:trHeight w:val="432"/>
        </w:trPr>
        <w:tc>
          <w:tcPr>
            <w:tcW w:w="2100" w:type="dxa"/>
            <w:vAlign w:val="bottom"/>
          </w:tcPr>
          <w:p>
            <w:pPr>
              <w:ind w:left="140"/>
              <w:spacing w:after="0"/>
              <w:rPr>
                <w:sz w:val="20"/>
                <w:szCs w:val="20"/>
                <w:color w:val="auto"/>
              </w:rPr>
            </w:pPr>
            <w:r>
              <w:rPr>
                <w:rFonts w:ascii="Arial" w:cs="Arial" w:eastAsia="Arial" w:hAnsi="Arial"/>
                <w:sz w:val="17"/>
                <w:szCs w:val="17"/>
                <w:b w:val="1"/>
                <w:bCs w:val="1"/>
                <w:color w:val="003551"/>
              </w:rPr>
              <w:t>Daniel Roberts</w:t>
            </w:r>
          </w:p>
        </w:tc>
        <w:tc>
          <w:tcPr>
            <w:tcW w:w="3280" w:type="dxa"/>
            <w:vAlign w:val="bottom"/>
          </w:tcPr>
          <w:p>
            <w:pPr>
              <w:ind w:left="540"/>
              <w:spacing w:after="0"/>
              <w:rPr>
                <w:sz w:val="20"/>
                <w:szCs w:val="20"/>
                <w:color w:val="auto"/>
              </w:rPr>
            </w:pPr>
            <w:r>
              <w:rPr>
                <w:rFonts w:ascii="Arial" w:cs="Arial" w:eastAsia="Arial" w:hAnsi="Arial"/>
                <w:sz w:val="17"/>
                <w:szCs w:val="17"/>
                <w:color w:val="003551"/>
              </w:rPr>
              <w:t>1,844,862</w:t>
            </w:r>
          </w:p>
        </w:tc>
        <w:tc>
          <w:tcPr>
            <w:tcW w:w="2860" w:type="dxa"/>
            <w:vAlign w:val="bottom"/>
          </w:tcPr>
          <w:p>
            <w:pPr>
              <w:ind w:left="380"/>
              <w:spacing w:after="0"/>
              <w:rPr>
                <w:sz w:val="20"/>
                <w:szCs w:val="20"/>
                <w:color w:val="auto"/>
              </w:rPr>
            </w:pPr>
            <w:r>
              <w:rPr>
                <w:rFonts w:ascii="Arial" w:cs="Arial" w:eastAsia="Arial" w:hAnsi="Arial"/>
                <w:sz w:val="17"/>
                <w:szCs w:val="17"/>
                <w:color w:val="003551"/>
              </w:rPr>
              <w:t>1,844,862</w:t>
            </w:r>
          </w:p>
        </w:tc>
      </w:tr>
      <w:tr>
        <w:trPr>
          <w:trHeight w:val="432"/>
        </w:trPr>
        <w:tc>
          <w:tcPr>
            <w:tcW w:w="2100" w:type="dxa"/>
            <w:vAlign w:val="bottom"/>
          </w:tcPr>
          <w:p>
            <w:pPr>
              <w:ind w:left="140"/>
              <w:spacing w:after="0"/>
              <w:rPr>
                <w:sz w:val="20"/>
                <w:szCs w:val="20"/>
                <w:color w:val="auto"/>
              </w:rPr>
            </w:pPr>
            <w:r>
              <w:rPr>
                <w:rFonts w:ascii="Arial" w:cs="Arial" w:eastAsia="Arial" w:hAnsi="Arial"/>
                <w:sz w:val="17"/>
                <w:szCs w:val="17"/>
                <w:b w:val="1"/>
                <w:bCs w:val="1"/>
                <w:color w:val="003551"/>
              </w:rPr>
              <w:t>Belinda Nucifora</w:t>
            </w:r>
          </w:p>
        </w:tc>
        <w:tc>
          <w:tcPr>
            <w:tcW w:w="3280" w:type="dxa"/>
            <w:vAlign w:val="bottom"/>
          </w:tcPr>
          <w:p>
            <w:pPr>
              <w:ind w:left="540"/>
              <w:spacing w:after="0"/>
              <w:rPr>
                <w:sz w:val="20"/>
                <w:szCs w:val="20"/>
                <w:color w:val="auto"/>
              </w:rPr>
            </w:pPr>
            <w:r>
              <w:rPr>
                <w:rFonts w:ascii="Arial" w:cs="Arial" w:eastAsia="Arial" w:hAnsi="Arial"/>
                <w:sz w:val="17"/>
                <w:szCs w:val="17"/>
                <w:color w:val="003551"/>
              </w:rPr>
              <w:t>75,000</w:t>
            </w:r>
          </w:p>
        </w:tc>
        <w:tc>
          <w:tcPr>
            <w:tcW w:w="2860" w:type="dxa"/>
            <w:vAlign w:val="bottom"/>
          </w:tcPr>
          <w:p>
            <w:pPr>
              <w:ind w:left="380"/>
              <w:spacing w:after="0"/>
              <w:rPr>
                <w:sz w:val="20"/>
                <w:szCs w:val="20"/>
                <w:color w:val="auto"/>
              </w:rPr>
            </w:pPr>
            <w:r>
              <w:rPr>
                <w:rFonts w:ascii="Arial" w:cs="Arial" w:eastAsia="Arial" w:hAnsi="Arial"/>
                <w:sz w:val="17"/>
                <w:szCs w:val="17"/>
                <w:color w:val="003551"/>
              </w:rPr>
              <w:t>75,000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-488950</wp:posOffset>
            </wp:positionV>
            <wp:extent cx="522351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223510"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-214630</wp:posOffset>
            </wp:positionV>
            <wp:extent cx="522351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223510" cy="8255"/>
                    </a:xfrm>
                    <a:prstGeom prst="rect">
                      <a:avLst/>
                    </a:prstGeom>
                    <a:noFill/>
                  </pic:spPr>
                </pic:pic>
              </a:graphicData>
            </a:graphic>
          </wp:anchor>
        </w:drawing>
      </w:r>
    </w:p>
    <w:p>
      <w:pPr>
        <w:spacing w:after="0" w:line="305" w:lineRule="exact"/>
        <w:rPr>
          <w:sz w:val="20"/>
          <w:szCs w:val="20"/>
          <w:color w:val="auto"/>
        </w:rPr>
      </w:pPr>
    </w:p>
    <w:p>
      <w:pPr>
        <w:ind w:left="940" w:right="940"/>
        <w:spacing w:after="0" w:line="255" w:lineRule="auto"/>
        <w:rPr>
          <w:sz w:val="20"/>
          <w:szCs w:val="20"/>
          <w:color w:val="auto"/>
        </w:rPr>
      </w:pPr>
      <w:r>
        <w:rPr>
          <w:rFonts w:ascii="Arial" w:cs="Arial" w:eastAsia="Arial" w:hAnsi="Arial"/>
          <w:sz w:val="17"/>
          <w:szCs w:val="17"/>
          <w:color w:val="003551"/>
        </w:rPr>
        <w:t>The PRSU portion of the Retention Grants are divided into six equal tranches, each of which requires achievement of a share price hurdle (based on a 30-trading day average share price over the applicable performance period). These PRSUs vest upon the achievement of rigorous share price appreciation hurdles, which, if met, would deliver significant value to shareholders.</w:t>
      </w:r>
    </w:p>
    <w:p>
      <w:pPr>
        <w:spacing w:after="0" w:line="60" w:lineRule="exact"/>
        <w:rPr>
          <w:sz w:val="20"/>
          <w:szCs w:val="20"/>
          <w:color w:val="auto"/>
        </w:rPr>
      </w:pPr>
    </w:p>
    <w:p>
      <w:pPr>
        <w:ind w:left="940" w:right="1320"/>
        <w:spacing w:after="0" w:line="283" w:lineRule="auto"/>
        <w:rPr>
          <w:sz w:val="20"/>
          <w:szCs w:val="20"/>
          <w:color w:val="auto"/>
        </w:rPr>
      </w:pPr>
      <w:r>
        <w:rPr>
          <w:rFonts w:ascii="Arial" w:cs="Arial" w:eastAsia="Arial" w:hAnsi="Arial"/>
          <w:sz w:val="17"/>
          <w:szCs w:val="17"/>
          <w:color w:val="003551"/>
        </w:rPr>
        <w:t>The six tranches are detailed below. The share price hurdle was set using a premium to the 60-day average closing share price on June 23, 2025 of $7.72.</w:t>
      </w:r>
    </w:p>
    <w:p>
      <w:pPr>
        <w:spacing w:after="0" w:line="93" w:lineRule="exact"/>
        <w:rPr>
          <w:sz w:val="20"/>
          <w:szCs w:val="20"/>
          <w:color w:val="auto"/>
        </w:rPr>
      </w:pPr>
    </w:p>
    <w:tbl>
      <w:tblPr>
        <w:tblLayout w:type="fixed"/>
        <w:tblInd w:w="940" w:type="dxa"/>
        <w:tblCellMar>
          <w:top w:w="0" w:type="dxa"/>
          <w:left w:w="0" w:type="dxa"/>
          <w:bottom w:w="0" w:type="dxa"/>
          <w:right w:w="0" w:type="dxa"/>
        </w:tblCellMar>
      </w:tblPr>
      <w:tr>
        <w:trPr>
          <w:trHeight w:val="378"/>
        </w:trPr>
        <w:tc>
          <w:tcPr>
            <w:tcW w:w="1600" w:type="dxa"/>
            <w:vAlign w:val="bottom"/>
            <w:shd w:val="clear" w:color="auto" w:fill="77C483"/>
          </w:tcPr>
          <w:p>
            <w:pPr>
              <w:ind w:left="140"/>
              <w:spacing w:after="0"/>
              <w:rPr>
                <w:sz w:val="20"/>
                <w:szCs w:val="20"/>
                <w:color w:val="auto"/>
              </w:rPr>
            </w:pPr>
            <w:r>
              <w:rPr>
                <w:rFonts w:ascii="Arial" w:cs="Arial" w:eastAsia="Arial" w:hAnsi="Arial"/>
                <w:sz w:val="17"/>
                <w:szCs w:val="17"/>
                <w:b w:val="1"/>
                <w:bCs w:val="1"/>
                <w:color w:val="003551"/>
              </w:rPr>
              <w:t>Tranche</w:t>
            </w:r>
          </w:p>
        </w:tc>
        <w:tc>
          <w:tcPr>
            <w:tcW w:w="3060" w:type="dxa"/>
            <w:vAlign w:val="bottom"/>
            <w:shd w:val="clear" w:color="auto" w:fill="77C483"/>
          </w:tcPr>
          <w:p>
            <w:pPr>
              <w:ind w:left="780"/>
              <w:spacing w:after="0"/>
              <w:rPr>
                <w:sz w:val="20"/>
                <w:szCs w:val="20"/>
                <w:color w:val="auto"/>
              </w:rPr>
            </w:pPr>
            <w:r>
              <w:rPr>
                <w:rFonts w:ascii="Arial" w:cs="Arial" w:eastAsia="Arial" w:hAnsi="Arial"/>
                <w:sz w:val="17"/>
                <w:szCs w:val="17"/>
                <w:b w:val="1"/>
                <w:bCs w:val="1"/>
                <w:color w:val="003551"/>
              </w:rPr>
              <w:t>​Share Price Hurdle</w:t>
            </w:r>
          </w:p>
        </w:tc>
        <w:tc>
          <w:tcPr>
            <w:tcW w:w="3580" w:type="dxa"/>
            <w:vAlign w:val="bottom"/>
            <w:shd w:val="clear" w:color="auto" w:fill="77C483"/>
          </w:tcPr>
          <w:p>
            <w:pPr>
              <w:ind w:left="720"/>
              <w:spacing w:after="0"/>
              <w:rPr>
                <w:sz w:val="20"/>
                <w:szCs w:val="20"/>
                <w:color w:val="auto"/>
              </w:rPr>
            </w:pPr>
            <w:r>
              <w:rPr>
                <w:rFonts w:ascii="Arial" w:cs="Arial" w:eastAsia="Arial" w:hAnsi="Arial"/>
                <w:sz w:val="17"/>
                <w:szCs w:val="17"/>
                <w:b w:val="1"/>
                <w:bCs w:val="1"/>
                <w:color w:val="003551"/>
              </w:rPr>
              <w:t>Premium to 60 Day Closing Price</w:t>
            </w:r>
          </w:p>
        </w:tc>
      </w:tr>
      <w:tr>
        <w:trPr>
          <w:trHeight w:val="93"/>
        </w:trPr>
        <w:tc>
          <w:tcPr>
            <w:tcW w:w="1600" w:type="dxa"/>
            <w:vAlign w:val="bottom"/>
            <w:tcBorders>
              <w:bottom w:val="single" w:sz="8" w:color="003551"/>
            </w:tcBorders>
            <w:shd w:val="clear" w:color="auto" w:fill="77C483"/>
          </w:tcPr>
          <w:p>
            <w:pPr>
              <w:spacing w:after="0"/>
              <w:rPr>
                <w:sz w:val="8"/>
                <w:szCs w:val="8"/>
                <w:color w:val="auto"/>
              </w:rPr>
            </w:pPr>
          </w:p>
        </w:tc>
        <w:tc>
          <w:tcPr>
            <w:tcW w:w="3060" w:type="dxa"/>
            <w:vAlign w:val="bottom"/>
            <w:tcBorders>
              <w:bottom w:val="single" w:sz="8" w:color="003551"/>
            </w:tcBorders>
            <w:shd w:val="clear" w:color="auto" w:fill="77C483"/>
          </w:tcPr>
          <w:p>
            <w:pPr>
              <w:spacing w:after="0"/>
              <w:rPr>
                <w:sz w:val="8"/>
                <w:szCs w:val="8"/>
                <w:color w:val="auto"/>
              </w:rPr>
            </w:pPr>
          </w:p>
        </w:tc>
        <w:tc>
          <w:tcPr>
            <w:tcW w:w="3580" w:type="dxa"/>
            <w:vAlign w:val="bottom"/>
            <w:tcBorders>
              <w:bottom w:val="single" w:sz="8" w:color="003551"/>
            </w:tcBorders>
            <w:shd w:val="clear" w:color="auto" w:fill="77C483"/>
          </w:tcPr>
          <w:p>
            <w:pPr>
              <w:spacing w:after="0"/>
              <w:rPr>
                <w:sz w:val="8"/>
                <w:szCs w:val="8"/>
                <w:color w:val="auto"/>
              </w:rPr>
            </w:pPr>
          </w:p>
        </w:tc>
      </w:tr>
      <w:tr>
        <w:trPr>
          <w:trHeight w:val="332"/>
        </w:trPr>
        <w:tc>
          <w:tcPr>
            <w:tcW w:w="1600" w:type="dxa"/>
            <w:vAlign w:val="bottom"/>
          </w:tcPr>
          <w:p>
            <w:pPr>
              <w:ind w:left="140"/>
              <w:spacing w:after="0"/>
              <w:rPr>
                <w:sz w:val="20"/>
                <w:szCs w:val="20"/>
                <w:color w:val="auto"/>
              </w:rPr>
            </w:pPr>
            <w:r>
              <w:rPr>
                <w:rFonts w:ascii="Arial" w:cs="Arial" w:eastAsia="Arial" w:hAnsi="Arial"/>
                <w:sz w:val="17"/>
                <w:szCs w:val="17"/>
                <w:b w:val="1"/>
                <w:bCs w:val="1"/>
                <w:color w:val="003551"/>
              </w:rPr>
              <w:t>1</w:t>
            </w:r>
          </w:p>
        </w:tc>
        <w:tc>
          <w:tcPr>
            <w:tcW w:w="3060" w:type="dxa"/>
            <w:vAlign w:val="bottom"/>
          </w:tcPr>
          <w:p>
            <w:pPr>
              <w:ind w:left="780"/>
              <w:spacing w:after="0"/>
              <w:rPr>
                <w:sz w:val="20"/>
                <w:szCs w:val="20"/>
                <w:color w:val="auto"/>
              </w:rPr>
            </w:pPr>
            <w:r>
              <w:rPr>
                <w:rFonts w:ascii="Arial" w:cs="Arial" w:eastAsia="Arial" w:hAnsi="Arial"/>
                <w:sz w:val="17"/>
                <w:szCs w:val="17"/>
                <w:color w:val="003551"/>
              </w:rPr>
              <w:t>$20.00</w:t>
            </w:r>
          </w:p>
        </w:tc>
        <w:tc>
          <w:tcPr>
            <w:tcW w:w="3580" w:type="dxa"/>
            <w:vAlign w:val="bottom"/>
          </w:tcPr>
          <w:p>
            <w:pPr>
              <w:ind w:left="720"/>
              <w:spacing w:after="0"/>
              <w:rPr>
                <w:sz w:val="20"/>
                <w:szCs w:val="20"/>
                <w:color w:val="auto"/>
              </w:rPr>
            </w:pPr>
            <w:r>
              <w:rPr>
                <w:rFonts w:ascii="Arial" w:cs="Arial" w:eastAsia="Arial" w:hAnsi="Arial"/>
                <w:sz w:val="17"/>
                <w:szCs w:val="17"/>
                <w:color w:val="003551"/>
              </w:rPr>
              <w:t>162%</w:t>
            </w:r>
          </w:p>
        </w:tc>
      </w:tr>
      <w:tr>
        <w:trPr>
          <w:trHeight w:val="432"/>
        </w:trPr>
        <w:tc>
          <w:tcPr>
            <w:tcW w:w="1600" w:type="dxa"/>
            <w:vAlign w:val="bottom"/>
          </w:tcPr>
          <w:p>
            <w:pPr>
              <w:ind w:left="140"/>
              <w:spacing w:after="0"/>
              <w:rPr>
                <w:sz w:val="20"/>
                <w:szCs w:val="20"/>
                <w:color w:val="auto"/>
              </w:rPr>
            </w:pPr>
            <w:r>
              <w:rPr>
                <w:rFonts w:ascii="Arial" w:cs="Arial" w:eastAsia="Arial" w:hAnsi="Arial"/>
                <w:sz w:val="17"/>
                <w:szCs w:val="17"/>
                <w:b w:val="1"/>
                <w:bCs w:val="1"/>
                <w:color w:val="003551"/>
              </w:rPr>
              <w:t>2</w:t>
            </w:r>
          </w:p>
        </w:tc>
        <w:tc>
          <w:tcPr>
            <w:tcW w:w="3060" w:type="dxa"/>
            <w:vAlign w:val="bottom"/>
          </w:tcPr>
          <w:p>
            <w:pPr>
              <w:ind w:left="780"/>
              <w:spacing w:after="0"/>
              <w:rPr>
                <w:sz w:val="20"/>
                <w:szCs w:val="20"/>
                <w:color w:val="auto"/>
              </w:rPr>
            </w:pPr>
            <w:r>
              <w:rPr>
                <w:rFonts w:ascii="Arial" w:cs="Arial" w:eastAsia="Arial" w:hAnsi="Arial"/>
                <w:sz w:val="17"/>
                <w:szCs w:val="17"/>
                <w:color w:val="003551"/>
              </w:rPr>
              <w:t>$25.00</w:t>
            </w:r>
          </w:p>
        </w:tc>
        <w:tc>
          <w:tcPr>
            <w:tcW w:w="3580" w:type="dxa"/>
            <w:vAlign w:val="bottom"/>
          </w:tcPr>
          <w:p>
            <w:pPr>
              <w:ind w:left="720"/>
              <w:spacing w:after="0"/>
              <w:rPr>
                <w:sz w:val="20"/>
                <w:szCs w:val="20"/>
                <w:color w:val="auto"/>
              </w:rPr>
            </w:pPr>
            <w:r>
              <w:rPr>
                <w:rFonts w:ascii="Arial" w:cs="Arial" w:eastAsia="Arial" w:hAnsi="Arial"/>
                <w:sz w:val="17"/>
                <w:szCs w:val="17"/>
                <w:color w:val="003551"/>
              </w:rPr>
              <w:t>228%</w:t>
            </w:r>
          </w:p>
        </w:tc>
      </w:tr>
      <w:tr>
        <w:trPr>
          <w:trHeight w:val="432"/>
        </w:trPr>
        <w:tc>
          <w:tcPr>
            <w:tcW w:w="1600" w:type="dxa"/>
            <w:vAlign w:val="bottom"/>
          </w:tcPr>
          <w:p>
            <w:pPr>
              <w:ind w:left="140"/>
              <w:spacing w:after="0"/>
              <w:rPr>
                <w:sz w:val="20"/>
                <w:szCs w:val="20"/>
                <w:color w:val="auto"/>
              </w:rPr>
            </w:pPr>
            <w:r>
              <w:rPr>
                <w:rFonts w:ascii="Arial" w:cs="Arial" w:eastAsia="Arial" w:hAnsi="Arial"/>
                <w:sz w:val="17"/>
                <w:szCs w:val="17"/>
                <w:b w:val="1"/>
                <w:bCs w:val="1"/>
                <w:color w:val="003551"/>
              </w:rPr>
              <w:t>3</w:t>
            </w:r>
          </w:p>
        </w:tc>
        <w:tc>
          <w:tcPr>
            <w:tcW w:w="3060" w:type="dxa"/>
            <w:vAlign w:val="bottom"/>
          </w:tcPr>
          <w:p>
            <w:pPr>
              <w:ind w:left="780"/>
              <w:spacing w:after="0"/>
              <w:rPr>
                <w:sz w:val="20"/>
                <w:szCs w:val="20"/>
                <w:color w:val="auto"/>
              </w:rPr>
            </w:pPr>
            <w:r>
              <w:rPr>
                <w:rFonts w:ascii="Arial" w:cs="Arial" w:eastAsia="Arial" w:hAnsi="Arial"/>
                <w:sz w:val="17"/>
                <w:szCs w:val="17"/>
                <w:color w:val="003551"/>
              </w:rPr>
              <w:t>$30.00</w:t>
            </w:r>
          </w:p>
        </w:tc>
        <w:tc>
          <w:tcPr>
            <w:tcW w:w="3580" w:type="dxa"/>
            <w:vAlign w:val="bottom"/>
          </w:tcPr>
          <w:p>
            <w:pPr>
              <w:ind w:left="720"/>
              <w:spacing w:after="0"/>
              <w:rPr>
                <w:sz w:val="20"/>
                <w:szCs w:val="20"/>
                <w:color w:val="auto"/>
              </w:rPr>
            </w:pPr>
            <w:r>
              <w:rPr>
                <w:rFonts w:ascii="Arial" w:cs="Arial" w:eastAsia="Arial" w:hAnsi="Arial"/>
                <w:sz w:val="17"/>
                <w:szCs w:val="17"/>
                <w:color w:val="003551"/>
              </w:rPr>
              <w:t>294%</w:t>
            </w:r>
          </w:p>
        </w:tc>
      </w:tr>
      <w:tr>
        <w:trPr>
          <w:trHeight w:val="432"/>
        </w:trPr>
        <w:tc>
          <w:tcPr>
            <w:tcW w:w="1600" w:type="dxa"/>
            <w:vAlign w:val="bottom"/>
          </w:tcPr>
          <w:p>
            <w:pPr>
              <w:ind w:left="140"/>
              <w:spacing w:after="0"/>
              <w:rPr>
                <w:sz w:val="20"/>
                <w:szCs w:val="20"/>
                <w:color w:val="auto"/>
              </w:rPr>
            </w:pPr>
            <w:r>
              <w:rPr>
                <w:rFonts w:ascii="Arial" w:cs="Arial" w:eastAsia="Arial" w:hAnsi="Arial"/>
                <w:sz w:val="17"/>
                <w:szCs w:val="17"/>
                <w:b w:val="1"/>
                <w:bCs w:val="1"/>
                <w:color w:val="003551"/>
              </w:rPr>
              <w:t>4</w:t>
            </w:r>
          </w:p>
        </w:tc>
        <w:tc>
          <w:tcPr>
            <w:tcW w:w="3060" w:type="dxa"/>
            <w:vAlign w:val="bottom"/>
          </w:tcPr>
          <w:p>
            <w:pPr>
              <w:ind w:left="780"/>
              <w:spacing w:after="0"/>
              <w:rPr>
                <w:sz w:val="20"/>
                <w:szCs w:val="20"/>
                <w:color w:val="auto"/>
              </w:rPr>
            </w:pPr>
            <w:r>
              <w:rPr>
                <w:rFonts w:ascii="Arial" w:cs="Arial" w:eastAsia="Arial" w:hAnsi="Arial"/>
                <w:sz w:val="17"/>
                <w:szCs w:val="17"/>
                <w:color w:val="003551"/>
              </w:rPr>
              <w:t>$35.00</w:t>
            </w:r>
          </w:p>
        </w:tc>
        <w:tc>
          <w:tcPr>
            <w:tcW w:w="3580" w:type="dxa"/>
            <w:vAlign w:val="bottom"/>
          </w:tcPr>
          <w:p>
            <w:pPr>
              <w:ind w:left="720"/>
              <w:spacing w:after="0"/>
              <w:rPr>
                <w:sz w:val="20"/>
                <w:szCs w:val="20"/>
                <w:color w:val="auto"/>
              </w:rPr>
            </w:pPr>
            <w:r>
              <w:rPr>
                <w:rFonts w:ascii="Arial" w:cs="Arial" w:eastAsia="Arial" w:hAnsi="Arial"/>
                <w:sz w:val="17"/>
                <w:szCs w:val="17"/>
                <w:color w:val="003551"/>
              </w:rPr>
              <w:t>359%</w:t>
            </w:r>
          </w:p>
        </w:tc>
      </w:tr>
      <w:tr>
        <w:trPr>
          <w:trHeight w:val="432"/>
        </w:trPr>
        <w:tc>
          <w:tcPr>
            <w:tcW w:w="1600" w:type="dxa"/>
            <w:vAlign w:val="bottom"/>
          </w:tcPr>
          <w:p>
            <w:pPr>
              <w:ind w:left="140"/>
              <w:spacing w:after="0"/>
              <w:rPr>
                <w:sz w:val="20"/>
                <w:szCs w:val="20"/>
                <w:color w:val="auto"/>
              </w:rPr>
            </w:pPr>
            <w:r>
              <w:rPr>
                <w:rFonts w:ascii="Arial" w:cs="Arial" w:eastAsia="Arial" w:hAnsi="Arial"/>
                <w:sz w:val="17"/>
                <w:szCs w:val="17"/>
                <w:b w:val="1"/>
                <w:bCs w:val="1"/>
                <w:color w:val="003551"/>
              </w:rPr>
              <w:t>5</w:t>
            </w:r>
          </w:p>
        </w:tc>
        <w:tc>
          <w:tcPr>
            <w:tcW w:w="3060" w:type="dxa"/>
            <w:vAlign w:val="bottom"/>
          </w:tcPr>
          <w:p>
            <w:pPr>
              <w:ind w:left="780"/>
              <w:spacing w:after="0"/>
              <w:rPr>
                <w:sz w:val="20"/>
                <w:szCs w:val="20"/>
                <w:color w:val="auto"/>
              </w:rPr>
            </w:pPr>
            <w:r>
              <w:rPr>
                <w:rFonts w:ascii="Arial" w:cs="Arial" w:eastAsia="Arial" w:hAnsi="Arial"/>
                <w:sz w:val="17"/>
                <w:szCs w:val="17"/>
                <w:color w:val="003551"/>
              </w:rPr>
              <w:t>$40.00</w:t>
            </w:r>
          </w:p>
        </w:tc>
        <w:tc>
          <w:tcPr>
            <w:tcW w:w="3580" w:type="dxa"/>
            <w:vAlign w:val="bottom"/>
          </w:tcPr>
          <w:p>
            <w:pPr>
              <w:ind w:left="720"/>
              <w:spacing w:after="0"/>
              <w:rPr>
                <w:sz w:val="20"/>
                <w:szCs w:val="20"/>
                <w:color w:val="auto"/>
              </w:rPr>
            </w:pPr>
            <w:r>
              <w:rPr>
                <w:rFonts w:ascii="Arial" w:cs="Arial" w:eastAsia="Arial" w:hAnsi="Arial"/>
                <w:sz w:val="17"/>
                <w:szCs w:val="17"/>
                <w:color w:val="003551"/>
              </w:rPr>
              <w:t>425%</w:t>
            </w:r>
          </w:p>
        </w:tc>
      </w:tr>
      <w:tr>
        <w:trPr>
          <w:trHeight w:val="432"/>
        </w:trPr>
        <w:tc>
          <w:tcPr>
            <w:tcW w:w="1600" w:type="dxa"/>
            <w:vAlign w:val="bottom"/>
          </w:tcPr>
          <w:p>
            <w:pPr>
              <w:ind w:left="140"/>
              <w:spacing w:after="0"/>
              <w:rPr>
                <w:sz w:val="20"/>
                <w:szCs w:val="20"/>
                <w:color w:val="auto"/>
              </w:rPr>
            </w:pPr>
            <w:r>
              <w:rPr>
                <w:rFonts w:ascii="Arial" w:cs="Arial" w:eastAsia="Arial" w:hAnsi="Arial"/>
                <w:sz w:val="17"/>
                <w:szCs w:val="17"/>
                <w:b w:val="1"/>
                <w:bCs w:val="1"/>
                <w:color w:val="003551"/>
              </w:rPr>
              <w:t>6</w:t>
            </w:r>
          </w:p>
        </w:tc>
        <w:tc>
          <w:tcPr>
            <w:tcW w:w="3060" w:type="dxa"/>
            <w:vAlign w:val="bottom"/>
          </w:tcPr>
          <w:p>
            <w:pPr>
              <w:ind w:left="780"/>
              <w:spacing w:after="0"/>
              <w:rPr>
                <w:sz w:val="20"/>
                <w:szCs w:val="20"/>
                <w:color w:val="auto"/>
              </w:rPr>
            </w:pPr>
            <w:r>
              <w:rPr>
                <w:rFonts w:ascii="Arial" w:cs="Arial" w:eastAsia="Arial" w:hAnsi="Arial"/>
                <w:sz w:val="17"/>
                <w:szCs w:val="17"/>
                <w:color w:val="003551"/>
              </w:rPr>
              <w:t>$50.00</w:t>
            </w:r>
          </w:p>
        </w:tc>
        <w:tc>
          <w:tcPr>
            <w:tcW w:w="3580" w:type="dxa"/>
            <w:vAlign w:val="bottom"/>
          </w:tcPr>
          <w:p>
            <w:pPr>
              <w:ind w:left="720"/>
              <w:spacing w:after="0"/>
              <w:rPr>
                <w:sz w:val="20"/>
                <w:szCs w:val="20"/>
                <w:color w:val="auto"/>
              </w:rPr>
            </w:pPr>
            <w:r>
              <w:rPr>
                <w:rFonts w:ascii="Arial" w:cs="Arial" w:eastAsia="Arial" w:hAnsi="Arial"/>
                <w:sz w:val="17"/>
                <w:szCs w:val="17"/>
                <w:color w:val="003551"/>
              </w:rPr>
              <w:t>556%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-1312545</wp:posOffset>
            </wp:positionV>
            <wp:extent cx="522351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223510"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-1038225</wp:posOffset>
            </wp:positionV>
            <wp:extent cx="522351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223510"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-763905</wp:posOffset>
            </wp:positionV>
            <wp:extent cx="522351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223510"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-488950</wp:posOffset>
            </wp:positionV>
            <wp:extent cx="522351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223510"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-214630</wp:posOffset>
            </wp:positionV>
            <wp:extent cx="522351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223510" cy="8255"/>
                    </a:xfrm>
                    <a:prstGeom prst="rect">
                      <a:avLst/>
                    </a:prstGeom>
                    <a:noFill/>
                  </pic:spPr>
                </pic:pic>
              </a:graphicData>
            </a:graphic>
          </wp:anchor>
        </w:drawing>
      </w:r>
    </w:p>
    <w:p>
      <w:pPr>
        <w:spacing w:after="0" w:line="292" w:lineRule="exact"/>
        <w:rPr>
          <w:sz w:val="20"/>
          <w:szCs w:val="20"/>
          <w:color w:val="auto"/>
        </w:rPr>
      </w:pPr>
    </w:p>
    <w:p>
      <w:pPr>
        <w:ind w:left="940" w:right="760"/>
        <w:spacing w:after="0" w:line="262" w:lineRule="auto"/>
        <w:rPr>
          <w:sz w:val="20"/>
          <w:szCs w:val="20"/>
          <w:color w:val="auto"/>
        </w:rPr>
      </w:pPr>
      <w:r>
        <w:rPr>
          <w:rFonts w:ascii="Arial" w:cs="Arial" w:eastAsia="Arial" w:hAnsi="Arial"/>
          <w:sz w:val="17"/>
          <w:szCs w:val="17"/>
          <w:color w:val="003551"/>
        </w:rPr>
        <w:t>For the PRSU portion of the Retention Grants to vest, share price hurdles must be achieved within six years (by June 23, 2031) subject to continued employment on the date the applicable share price hurdle is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111760</wp:posOffset>
            </wp:positionV>
            <wp:extent cx="540385" cy="6318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40" w:right="960"/>
        <w:spacing w:after="0" w:line="262" w:lineRule="auto"/>
        <w:rPr>
          <w:sz w:val="20"/>
          <w:szCs w:val="20"/>
          <w:color w:val="auto"/>
        </w:rPr>
      </w:pPr>
      <w:r>
        <w:rPr>
          <w:rFonts w:ascii="Arial" w:cs="Arial" w:eastAsia="Arial" w:hAnsi="Arial"/>
          <w:sz w:val="17"/>
          <w:szCs w:val="17"/>
          <w:color w:val="003551"/>
        </w:rPr>
        <w:t>The TRSU portion of the Retention Grants vest ratably over six years through to 23 June 2031 (i.e., considerably longer vesting period relative to market practice to enhance retentive effect), subject to the NEOs’ continued employment with us through each applicable vesting date.</w:t>
      </w:r>
    </w:p>
    <w:p>
      <w:pPr>
        <w:spacing w:after="0" w:line="201"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Fiscal 2023 PRSUs</w:t>
      </w:r>
    </w:p>
    <w:p>
      <w:pPr>
        <w:spacing w:after="0" w:line="15"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The Fiscal 2023 PRSU payout was based on relative TSR performance against a peer group of</w:t>
      </w:r>
    </w:p>
    <w:p>
      <w:pPr>
        <w:spacing w:after="0" w:line="1" w:lineRule="exact"/>
        <w:rPr>
          <w:sz w:val="20"/>
          <w:szCs w:val="20"/>
          <w:color w:val="auto"/>
        </w:rPr>
      </w:pPr>
    </w:p>
    <w:p>
      <w:pPr>
        <w:ind w:left="940" w:right="740"/>
        <w:spacing w:after="0" w:line="245" w:lineRule="auto"/>
        <w:rPr>
          <w:sz w:val="20"/>
          <w:szCs w:val="20"/>
          <w:color w:val="auto"/>
        </w:rPr>
      </w:pPr>
      <w:r>
        <w:rPr>
          <w:rFonts w:ascii="Arial" w:cs="Arial" w:eastAsia="Arial" w:hAnsi="Arial"/>
          <w:sz w:val="17"/>
          <w:szCs w:val="17"/>
          <w:color w:val="003551"/>
        </w:rPr>
        <w:t>17 companies with 50% measured over a three-year performance period (July 1, 2022 – June 30, 2025) and 50% over a four-year performance period (July 1, 2022 to June 30, 2026). For the three-year performance completed at the end of Fiscal 2025, IREN achieved a TSR of 334.9%, which was at the peer group’s 94th percentile, exceeding the 75th percentile required for 100% vesting of the first tranche. Our Co-Chief Executive Officers each earned 22,922 shares (which vested on July 1, 2025), while Ms. Nucifora earned 8,011 shares (which vested on September 5, 2025).</w:t>
      </w:r>
    </w:p>
    <w:p>
      <w:pPr>
        <w:spacing w:after="0" w:line="126" w:lineRule="exact"/>
        <w:rPr>
          <w:sz w:val="20"/>
          <w:szCs w:val="20"/>
          <w:color w:val="auto"/>
        </w:rPr>
      </w:pPr>
    </w:p>
    <w:tbl>
      <w:tblPr>
        <w:tblLayout w:type="fixed"/>
        <w:tblInd w:w="940" w:type="dxa"/>
        <w:tblCellMar>
          <w:top w:w="0" w:type="dxa"/>
          <w:left w:w="0" w:type="dxa"/>
          <w:bottom w:w="0" w:type="dxa"/>
          <w:right w:w="0" w:type="dxa"/>
        </w:tblCellMar>
      </w:tblPr>
      <w:tr>
        <w:trPr>
          <w:trHeight w:val="378"/>
        </w:trPr>
        <w:tc>
          <w:tcPr>
            <w:tcW w:w="80" w:type="dxa"/>
            <w:vAlign w:val="bottom"/>
            <w:shd w:val="clear" w:color="auto" w:fill="77C483"/>
          </w:tcPr>
          <w:p>
            <w:pPr>
              <w:spacing w:after="0"/>
              <w:rPr>
                <w:sz w:val="24"/>
                <w:szCs w:val="24"/>
                <w:color w:val="auto"/>
              </w:rPr>
            </w:pPr>
          </w:p>
        </w:tc>
        <w:tc>
          <w:tcPr>
            <w:tcW w:w="3940" w:type="dxa"/>
            <w:vAlign w:val="bottom"/>
            <w:shd w:val="clear" w:color="auto" w:fill="77C483"/>
          </w:tcPr>
          <w:p>
            <w:pPr>
              <w:ind w:left="40"/>
              <w:spacing w:after="0"/>
              <w:rPr>
                <w:sz w:val="20"/>
                <w:szCs w:val="20"/>
                <w:color w:val="auto"/>
              </w:rPr>
            </w:pPr>
            <w:r>
              <w:rPr>
                <w:rFonts w:ascii="Arial" w:cs="Arial" w:eastAsia="Arial" w:hAnsi="Arial"/>
                <w:sz w:val="17"/>
                <w:szCs w:val="17"/>
                <w:b w:val="1"/>
                <w:bCs w:val="1"/>
                <w:color w:val="003551"/>
              </w:rPr>
              <w:t>Performance Level Relative to the Peer Group</w:t>
            </w:r>
          </w:p>
        </w:tc>
        <w:tc>
          <w:tcPr>
            <w:tcW w:w="80" w:type="dxa"/>
            <w:vAlign w:val="bottom"/>
            <w:shd w:val="clear" w:color="auto" w:fill="77C483"/>
          </w:tcPr>
          <w:p>
            <w:pPr>
              <w:spacing w:after="0"/>
              <w:rPr>
                <w:sz w:val="24"/>
                <w:szCs w:val="24"/>
                <w:color w:val="auto"/>
              </w:rPr>
            </w:pPr>
          </w:p>
        </w:tc>
        <w:tc>
          <w:tcPr>
            <w:tcW w:w="4140" w:type="dxa"/>
            <w:vAlign w:val="bottom"/>
            <w:shd w:val="clear" w:color="auto" w:fill="77C483"/>
          </w:tcPr>
          <w:p>
            <w:pPr>
              <w:ind w:left="60"/>
              <w:spacing w:after="0"/>
              <w:rPr>
                <w:sz w:val="20"/>
                <w:szCs w:val="20"/>
                <w:color w:val="auto"/>
              </w:rPr>
            </w:pPr>
            <w:r>
              <w:rPr>
                <w:rFonts w:ascii="Arial" w:cs="Arial" w:eastAsia="Arial" w:hAnsi="Arial"/>
                <w:sz w:val="17"/>
                <w:szCs w:val="17"/>
                <w:b w:val="1"/>
                <w:bCs w:val="1"/>
                <w:color w:val="003551"/>
              </w:rPr>
              <w:t>Percentage of PRSUs Vesting</w:t>
            </w:r>
          </w:p>
        </w:tc>
        <w:tc>
          <w:tcPr>
            <w:tcW w:w="0" w:type="dxa"/>
            <w:vAlign w:val="bottom"/>
          </w:tcPr>
          <w:p>
            <w:pPr>
              <w:spacing w:after="0"/>
              <w:rPr>
                <w:sz w:val="1"/>
                <w:szCs w:val="1"/>
                <w:color w:val="auto"/>
              </w:rPr>
            </w:pPr>
          </w:p>
        </w:tc>
      </w:tr>
      <w:tr>
        <w:trPr>
          <w:trHeight w:val="93"/>
        </w:trPr>
        <w:tc>
          <w:tcPr>
            <w:tcW w:w="80" w:type="dxa"/>
            <w:vAlign w:val="bottom"/>
            <w:tcBorders>
              <w:bottom w:val="single" w:sz="8" w:color="003551"/>
            </w:tcBorders>
            <w:shd w:val="clear" w:color="auto" w:fill="77C483"/>
          </w:tcPr>
          <w:p>
            <w:pPr>
              <w:spacing w:after="0"/>
              <w:rPr>
                <w:sz w:val="8"/>
                <w:szCs w:val="8"/>
                <w:color w:val="auto"/>
              </w:rPr>
            </w:pPr>
          </w:p>
        </w:tc>
        <w:tc>
          <w:tcPr>
            <w:tcW w:w="3940" w:type="dxa"/>
            <w:vAlign w:val="bottom"/>
            <w:tcBorders>
              <w:bottom w:val="single" w:sz="8" w:color="003551"/>
            </w:tcBorders>
            <w:shd w:val="clear" w:color="auto" w:fill="77C483"/>
          </w:tcPr>
          <w:p>
            <w:pPr>
              <w:spacing w:after="0"/>
              <w:rPr>
                <w:sz w:val="8"/>
                <w:szCs w:val="8"/>
                <w:color w:val="auto"/>
              </w:rPr>
            </w:pPr>
          </w:p>
        </w:tc>
        <w:tc>
          <w:tcPr>
            <w:tcW w:w="80" w:type="dxa"/>
            <w:vAlign w:val="bottom"/>
            <w:tcBorders>
              <w:bottom w:val="single" w:sz="8" w:color="003551"/>
            </w:tcBorders>
            <w:shd w:val="clear" w:color="auto" w:fill="77C483"/>
          </w:tcPr>
          <w:p>
            <w:pPr>
              <w:spacing w:after="0"/>
              <w:rPr>
                <w:sz w:val="8"/>
                <w:szCs w:val="8"/>
                <w:color w:val="auto"/>
              </w:rPr>
            </w:pPr>
          </w:p>
        </w:tc>
        <w:tc>
          <w:tcPr>
            <w:tcW w:w="4140" w:type="dxa"/>
            <w:vAlign w:val="bottom"/>
            <w:tcBorders>
              <w:bottom w:val="single" w:sz="8" w:color="003551"/>
            </w:tcBorders>
            <w:shd w:val="clear" w:color="auto" w:fill="77C483"/>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80" w:type="dxa"/>
            <w:vAlign w:val="bottom"/>
          </w:tcPr>
          <w:p>
            <w:pPr>
              <w:spacing w:after="0"/>
              <w:rPr>
                <w:sz w:val="24"/>
                <w:szCs w:val="24"/>
                <w:color w:val="auto"/>
              </w:rPr>
            </w:pPr>
          </w:p>
        </w:tc>
        <w:tc>
          <w:tcPr>
            <w:tcW w:w="3940" w:type="dxa"/>
            <w:vAlign w:val="bottom"/>
          </w:tcPr>
          <w:p>
            <w:pPr>
              <w:ind w:left="40"/>
              <w:spacing w:after="0"/>
              <w:rPr>
                <w:sz w:val="20"/>
                <w:szCs w:val="20"/>
                <w:color w:val="auto"/>
              </w:rPr>
            </w:pPr>
            <w:r>
              <w:rPr>
                <w:rFonts w:ascii="Arial" w:cs="Arial" w:eastAsia="Arial" w:hAnsi="Arial"/>
                <w:sz w:val="17"/>
                <w:szCs w:val="17"/>
                <w:color w:val="003551"/>
              </w:rPr>
              <w:t>75th Percentile and above</w:t>
            </w:r>
          </w:p>
        </w:tc>
        <w:tc>
          <w:tcPr>
            <w:tcW w:w="4220" w:type="dxa"/>
            <w:vAlign w:val="bottom"/>
            <w:gridSpan w:val="2"/>
          </w:tcPr>
          <w:p>
            <w:pPr>
              <w:ind w:left="140"/>
              <w:spacing w:after="0"/>
              <w:rPr>
                <w:sz w:val="20"/>
                <w:szCs w:val="20"/>
                <w:color w:val="auto"/>
              </w:rPr>
            </w:pPr>
            <w:r>
              <w:rPr>
                <w:rFonts w:ascii="Arial" w:cs="Arial" w:eastAsia="Arial" w:hAnsi="Arial"/>
                <w:sz w:val="17"/>
                <w:szCs w:val="17"/>
                <w:color w:val="003551"/>
              </w:rPr>
              <w:t>100%</w:t>
            </w:r>
          </w:p>
        </w:tc>
        <w:tc>
          <w:tcPr>
            <w:tcW w:w="0" w:type="dxa"/>
            <w:vAlign w:val="bottom"/>
          </w:tcPr>
          <w:p>
            <w:pPr>
              <w:spacing w:after="0"/>
              <w:rPr>
                <w:sz w:val="1"/>
                <w:szCs w:val="1"/>
                <w:color w:val="auto"/>
              </w:rPr>
            </w:pPr>
          </w:p>
        </w:tc>
      </w:tr>
      <w:tr>
        <w:trPr>
          <w:trHeight w:val="98"/>
        </w:trPr>
        <w:tc>
          <w:tcPr>
            <w:tcW w:w="80" w:type="dxa"/>
            <w:vAlign w:val="bottom"/>
            <w:tcBorders>
              <w:bottom w:val="single" w:sz="8" w:color="77C483"/>
            </w:tcBorders>
          </w:tcPr>
          <w:p>
            <w:pPr>
              <w:spacing w:after="0"/>
              <w:rPr>
                <w:sz w:val="8"/>
                <w:szCs w:val="8"/>
                <w:color w:val="auto"/>
              </w:rPr>
            </w:pPr>
          </w:p>
        </w:tc>
        <w:tc>
          <w:tcPr>
            <w:tcW w:w="3940" w:type="dxa"/>
            <w:vAlign w:val="bottom"/>
            <w:vMerge w:val="restart"/>
          </w:tcPr>
          <w:p>
            <w:pPr>
              <w:ind w:left="40"/>
              <w:spacing w:after="0"/>
              <w:rPr>
                <w:sz w:val="20"/>
                <w:szCs w:val="20"/>
                <w:color w:val="auto"/>
              </w:rPr>
            </w:pPr>
            <w:r>
              <w:rPr>
                <w:rFonts w:ascii="Arial" w:cs="Arial" w:eastAsia="Arial" w:hAnsi="Arial"/>
                <w:sz w:val="17"/>
                <w:szCs w:val="17"/>
                <w:color w:val="003551"/>
              </w:rPr>
              <w:t>Between the 50th and 75th Percentiles</w:t>
            </w:r>
          </w:p>
        </w:tc>
        <w:tc>
          <w:tcPr>
            <w:tcW w:w="80" w:type="dxa"/>
            <w:vAlign w:val="bottom"/>
            <w:tcBorders>
              <w:bottom w:val="single" w:sz="8" w:color="77C483"/>
            </w:tcBorders>
          </w:tcPr>
          <w:p>
            <w:pPr>
              <w:spacing w:after="0"/>
              <w:rPr>
                <w:sz w:val="8"/>
                <w:szCs w:val="8"/>
                <w:color w:val="auto"/>
              </w:rPr>
            </w:pPr>
          </w:p>
        </w:tc>
        <w:tc>
          <w:tcPr>
            <w:tcW w:w="4140" w:type="dxa"/>
            <w:vAlign w:val="bottom"/>
            <w:vMerge w:val="restart"/>
          </w:tcPr>
          <w:p>
            <w:pPr>
              <w:ind w:left="60"/>
              <w:spacing w:after="0"/>
              <w:rPr>
                <w:sz w:val="20"/>
                <w:szCs w:val="20"/>
                <w:color w:val="auto"/>
              </w:rPr>
            </w:pPr>
            <w:r>
              <w:rPr>
                <w:rFonts w:ascii="Arial" w:cs="Arial" w:eastAsia="Arial" w:hAnsi="Arial"/>
                <w:sz w:val="17"/>
                <w:szCs w:val="17"/>
                <w:color w:val="003551"/>
              </w:rPr>
              <w:t>Pro rata straight line basis between 50% and 100%</w:t>
            </w:r>
          </w:p>
        </w:tc>
        <w:tc>
          <w:tcPr>
            <w:tcW w:w="0" w:type="dxa"/>
            <w:vAlign w:val="bottom"/>
          </w:tcPr>
          <w:p>
            <w:pPr>
              <w:spacing w:after="0"/>
              <w:rPr>
                <w:sz w:val="1"/>
                <w:szCs w:val="1"/>
                <w:color w:val="auto"/>
              </w:rPr>
            </w:pPr>
          </w:p>
        </w:tc>
      </w:tr>
      <w:tr>
        <w:trPr>
          <w:trHeight w:val="315"/>
        </w:trPr>
        <w:tc>
          <w:tcPr>
            <w:tcW w:w="8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80" w:type="dxa"/>
            <w:vAlign w:val="bottom"/>
            <w:tcBorders>
              <w:bottom w:val="single" w:sz="8" w:color="77C483"/>
            </w:tcBorders>
          </w:tcPr>
          <w:p>
            <w:pPr>
              <w:spacing w:after="0"/>
              <w:rPr>
                <w:sz w:val="10"/>
                <w:szCs w:val="10"/>
                <w:color w:val="auto"/>
              </w:rPr>
            </w:pPr>
          </w:p>
        </w:tc>
        <w:tc>
          <w:tcPr>
            <w:tcW w:w="3940" w:type="dxa"/>
            <w:vAlign w:val="bottom"/>
          </w:tcPr>
          <w:p>
            <w:pPr>
              <w:spacing w:after="0"/>
              <w:rPr>
                <w:sz w:val="10"/>
                <w:szCs w:val="10"/>
                <w:color w:val="auto"/>
              </w:rPr>
            </w:pPr>
          </w:p>
        </w:tc>
        <w:tc>
          <w:tcPr>
            <w:tcW w:w="80" w:type="dxa"/>
            <w:vAlign w:val="bottom"/>
            <w:tcBorders>
              <w:bottom w:val="single" w:sz="8" w:color="77C483"/>
            </w:tcBorders>
          </w:tcPr>
          <w:p>
            <w:pPr>
              <w:spacing w:after="0"/>
              <w:rPr>
                <w:sz w:val="10"/>
                <w:szCs w:val="10"/>
                <w:color w:val="auto"/>
              </w:rPr>
            </w:pPr>
          </w:p>
        </w:tc>
        <w:tc>
          <w:tcPr>
            <w:tcW w:w="4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5"/>
        </w:trPr>
        <w:tc>
          <w:tcPr>
            <w:tcW w:w="80" w:type="dxa"/>
            <w:vAlign w:val="bottom"/>
          </w:tcPr>
          <w:p>
            <w:pPr>
              <w:spacing w:after="0"/>
              <w:rPr>
                <w:sz w:val="24"/>
                <w:szCs w:val="24"/>
                <w:color w:val="auto"/>
              </w:rPr>
            </w:pPr>
          </w:p>
        </w:tc>
        <w:tc>
          <w:tcPr>
            <w:tcW w:w="3940" w:type="dxa"/>
            <w:vAlign w:val="bottom"/>
          </w:tcPr>
          <w:p>
            <w:pPr>
              <w:ind w:left="40"/>
              <w:spacing w:after="0"/>
              <w:rPr>
                <w:sz w:val="20"/>
                <w:szCs w:val="20"/>
                <w:color w:val="auto"/>
              </w:rPr>
            </w:pPr>
            <w:r>
              <w:rPr>
                <w:rFonts w:ascii="Arial" w:cs="Arial" w:eastAsia="Arial" w:hAnsi="Arial"/>
                <w:sz w:val="17"/>
                <w:szCs w:val="17"/>
                <w:color w:val="003551"/>
              </w:rPr>
              <w:t>50th Percentile</w:t>
            </w:r>
          </w:p>
        </w:tc>
        <w:tc>
          <w:tcPr>
            <w:tcW w:w="4220" w:type="dxa"/>
            <w:vAlign w:val="bottom"/>
            <w:gridSpan w:val="2"/>
          </w:tcPr>
          <w:p>
            <w:pPr>
              <w:ind w:left="140"/>
              <w:spacing w:after="0"/>
              <w:rPr>
                <w:sz w:val="20"/>
                <w:szCs w:val="20"/>
                <w:color w:val="auto"/>
              </w:rPr>
            </w:pPr>
            <w:r>
              <w:rPr>
                <w:rFonts w:ascii="Arial" w:cs="Arial" w:eastAsia="Arial" w:hAnsi="Arial"/>
                <w:sz w:val="17"/>
                <w:szCs w:val="17"/>
                <w:color w:val="003551"/>
              </w:rPr>
              <w:t>50%</w:t>
            </w:r>
          </w:p>
        </w:tc>
        <w:tc>
          <w:tcPr>
            <w:tcW w:w="0" w:type="dxa"/>
            <w:vAlign w:val="bottom"/>
          </w:tcPr>
          <w:p>
            <w:pPr>
              <w:spacing w:after="0"/>
              <w:rPr>
                <w:sz w:val="1"/>
                <w:szCs w:val="1"/>
                <w:color w:val="auto"/>
              </w:rPr>
            </w:pPr>
          </w:p>
        </w:tc>
      </w:tr>
      <w:tr>
        <w:trPr>
          <w:trHeight w:val="118"/>
        </w:trPr>
        <w:tc>
          <w:tcPr>
            <w:tcW w:w="80" w:type="dxa"/>
            <w:vAlign w:val="bottom"/>
            <w:tcBorders>
              <w:bottom w:val="single" w:sz="8" w:color="77C483"/>
            </w:tcBorders>
          </w:tcPr>
          <w:p>
            <w:pPr>
              <w:spacing w:after="0"/>
              <w:rPr>
                <w:sz w:val="10"/>
                <w:szCs w:val="10"/>
                <w:color w:val="auto"/>
              </w:rPr>
            </w:pPr>
          </w:p>
        </w:tc>
        <w:tc>
          <w:tcPr>
            <w:tcW w:w="3940" w:type="dxa"/>
            <w:vAlign w:val="bottom"/>
          </w:tcPr>
          <w:p>
            <w:pPr>
              <w:spacing w:after="0"/>
              <w:rPr>
                <w:sz w:val="10"/>
                <w:szCs w:val="10"/>
                <w:color w:val="auto"/>
              </w:rPr>
            </w:pPr>
          </w:p>
        </w:tc>
        <w:tc>
          <w:tcPr>
            <w:tcW w:w="80" w:type="dxa"/>
            <w:vAlign w:val="bottom"/>
            <w:tcBorders>
              <w:bottom w:val="single" w:sz="8" w:color="77C483"/>
            </w:tcBorders>
          </w:tcPr>
          <w:p>
            <w:pPr>
              <w:spacing w:after="0"/>
              <w:rPr>
                <w:sz w:val="10"/>
                <w:szCs w:val="10"/>
                <w:color w:val="auto"/>
              </w:rPr>
            </w:pPr>
          </w:p>
        </w:tc>
        <w:tc>
          <w:tcPr>
            <w:tcW w:w="4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5"/>
        </w:trPr>
        <w:tc>
          <w:tcPr>
            <w:tcW w:w="80" w:type="dxa"/>
            <w:vAlign w:val="bottom"/>
          </w:tcPr>
          <w:p>
            <w:pPr>
              <w:spacing w:after="0"/>
              <w:rPr>
                <w:sz w:val="24"/>
                <w:szCs w:val="24"/>
                <w:color w:val="auto"/>
              </w:rPr>
            </w:pPr>
          </w:p>
        </w:tc>
        <w:tc>
          <w:tcPr>
            <w:tcW w:w="3940" w:type="dxa"/>
            <w:vAlign w:val="bottom"/>
          </w:tcPr>
          <w:p>
            <w:pPr>
              <w:ind w:left="40"/>
              <w:spacing w:after="0"/>
              <w:rPr>
                <w:sz w:val="20"/>
                <w:szCs w:val="20"/>
                <w:color w:val="auto"/>
              </w:rPr>
            </w:pPr>
            <w:r>
              <w:rPr>
                <w:rFonts w:ascii="Arial" w:cs="Arial" w:eastAsia="Arial" w:hAnsi="Arial"/>
                <w:sz w:val="17"/>
                <w:szCs w:val="17"/>
                <w:color w:val="003551"/>
              </w:rPr>
              <w:t>Below the 50th Percentile</w:t>
            </w:r>
          </w:p>
        </w:tc>
        <w:tc>
          <w:tcPr>
            <w:tcW w:w="4220" w:type="dxa"/>
            <w:vAlign w:val="bottom"/>
            <w:gridSpan w:val="2"/>
          </w:tcPr>
          <w:p>
            <w:pPr>
              <w:ind w:left="140"/>
              <w:spacing w:after="0"/>
              <w:rPr>
                <w:sz w:val="20"/>
                <w:szCs w:val="20"/>
                <w:color w:val="auto"/>
              </w:rPr>
            </w:pPr>
            <w:r>
              <w:rPr>
                <w:rFonts w:ascii="Arial" w:cs="Arial" w:eastAsia="Arial" w:hAnsi="Arial"/>
                <w:sz w:val="17"/>
                <w:szCs w:val="17"/>
                <w:color w:val="003551"/>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wp:posOffset>
            </wp:positionH>
            <wp:positionV relativeFrom="paragraph">
              <wp:posOffset>-758825</wp:posOffset>
            </wp:positionV>
            <wp:extent cx="51816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81600" cy="8255"/>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-483870</wp:posOffset>
            </wp:positionV>
            <wp:extent cx="51816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81600" cy="8255"/>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-209550</wp:posOffset>
            </wp:positionV>
            <wp:extent cx="51816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81600" cy="8255"/>
                    </a:xfrm>
                    <a:prstGeom prst="rect">
                      <a:avLst/>
                    </a:prstGeom>
                    <a:noFill/>
                  </pic:spPr>
                </pic:pic>
              </a:graphicData>
            </a:graphic>
          </wp:anchor>
        </w:drawing>
      </w:r>
    </w:p>
    <w:p>
      <w:pPr>
        <w:spacing w:after="0" w:line="225"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Award Modifications in Fiscal 2025</w:t>
      </w:r>
    </w:p>
    <w:p>
      <w:pPr>
        <w:spacing w:after="0" w:line="15" w:lineRule="exact"/>
        <w:rPr>
          <w:sz w:val="20"/>
          <w:szCs w:val="20"/>
          <w:color w:val="auto"/>
        </w:rPr>
      </w:pPr>
    </w:p>
    <w:p>
      <w:pPr>
        <w:ind w:left="940" w:right="780"/>
        <w:spacing w:after="0" w:line="243" w:lineRule="auto"/>
        <w:rPr>
          <w:sz w:val="20"/>
          <w:szCs w:val="20"/>
          <w:color w:val="auto"/>
        </w:rPr>
      </w:pPr>
      <w:r>
        <w:rPr>
          <w:rFonts w:ascii="Arial" w:cs="Arial" w:eastAsia="Arial" w:hAnsi="Arial"/>
          <w:sz w:val="17"/>
          <w:szCs w:val="17"/>
          <w:color w:val="003551"/>
        </w:rPr>
        <w:t>In May 2025, in recognition of IREN’s and the Co-Chief Executive Officers’ extraordinary performance and in order to better align incentives with actual results delivered and to support the retention of the Co-Chief Executive Officers, the Board approved modifications to a portion of the outstanding 2025 Annual PRSUs as well as certain PRSUs awarded in July 2022 (together, the “</w:t>
      </w:r>
      <w:r>
        <w:rPr>
          <w:rFonts w:ascii="Arial" w:cs="Arial" w:eastAsia="Arial" w:hAnsi="Arial"/>
          <w:sz w:val="17"/>
          <w:szCs w:val="17"/>
          <w:b w:val="1"/>
          <w:bCs w:val="1"/>
          <w:color w:val="003551"/>
        </w:rPr>
        <w:t>Modified PRSUs</w:t>
      </w:r>
      <w:r>
        <w:rPr>
          <w:rFonts w:ascii="Arial" w:cs="Arial" w:eastAsia="Arial" w:hAnsi="Arial"/>
          <w:sz w:val="17"/>
          <w:szCs w:val="17"/>
          <w:color w:val="003551"/>
        </w:rPr>
        <w:t>”). Specifically, the Board amended the vesting conditions so that the Modified PRSUs will vest solely on a time-based schedule, subject to the Co-Chief Executive Officers’ continued service through each applicable vesting date. The Modified PRSUs will vest fifty percent (50%) on each of November 18, 2025, and May 18, 2026. In determining to make such adjustments, the Board determined that, notwithstanding IREN’s extraordinary performance, the retentive value of these PRSUs had been significantly diminished due to market-wide structural factors and macroeconomic volatility</w:t>
      </w:r>
    </w:p>
    <w:p>
      <w:pPr>
        <w:spacing w:after="0" w:line="21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Benefits and Perquisites</w:t>
      </w:r>
    </w:p>
    <w:p>
      <w:pPr>
        <w:spacing w:after="0" w:line="64"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Our NEOs do not receive material benefits or perquisites.</w:t>
      </w:r>
    </w:p>
    <w:p>
      <w:pPr>
        <w:spacing w:after="0" w:line="253"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Retirement Benefits</w:t>
      </w:r>
    </w:p>
    <w:p>
      <w:pPr>
        <w:spacing w:after="0" w:line="15" w:lineRule="exact"/>
        <w:rPr>
          <w:sz w:val="20"/>
          <w:szCs w:val="20"/>
          <w:color w:val="auto"/>
        </w:rPr>
      </w:pPr>
    </w:p>
    <w:p>
      <w:pPr>
        <w:ind w:left="940" w:right="960"/>
        <w:spacing w:after="0" w:line="246" w:lineRule="auto"/>
        <w:rPr>
          <w:sz w:val="20"/>
          <w:szCs w:val="20"/>
          <w:color w:val="auto"/>
        </w:rPr>
      </w:pPr>
      <w:r>
        <w:rPr>
          <w:rFonts w:ascii="Arial" w:cs="Arial" w:eastAsia="Arial" w:hAnsi="Arial"/>
          <w:sz w:val="17"/>
          <w:szCs w:val="17"/>
          <w:color w:val="003551"/>
        </w:rPr>
        <w:t xml:space="preserve">All IREN employees based in Australia, including our NEOs in Australia, receive compulsory Superannuation contributions from IREN as required under the Australian </w:t>
      </w:r>
      <w:r>
        <w:rPr>
          <w:rFonts w:ascii="Arial" w:cs="Arial" w:eastAsia="Arial" w:hAnsi="Arial"/>
          <w:sz w:val="17"/>
          <w:szCs w:val="17"/>
          <w:i w:val="1"/>
          <w:iCs w:val="1"/>
          <w:color w:val="003551"/>
        </w:rPr>
        <w:t>Superannuation Guarantee</w:t>
      </w:r>
      <w:r>
        <w:rPr>
          <w:rFonts w:ascii="Arial" w:cs="Arial" w:eastAsia="Arial" w:hAnsi="Arial"/>
          <w:sz w:val="17"/>
          <w:szCs w:val="17"/>
          <w:color w:val="003551"/>
        </w:rPr>
        <w:t xml:space="preserve"> </w:t>
      </w:r>
      <w:r>
        <w:rPr>
          <w:rFonts w:ascii="Arial" w:cs="Arial" w:eastAsia="Arial" w:hAnsi="Arial"/>
          <w:sz w:val="17"/>
          <w:szCs w:val="17"/>
          <w:i w:val="1"/>
          <w:iCs w:val="1"/>
          <w:color w:val="003551"/>
        </w:rPr>
        <w:t xml:space="preserve">(Administration) Act 1992 </w:t>
      </w:r>
      <w:r>
        <w:rPr>
          <w:rFonts w:ascii="Arial" w:cs="Arial" w:eastAsia="Arial" w:hAnsi="Arial"/>
          <w:sz w:val="17"/>
          <w:szCs w:val="17"/>
          <w:color w:val="003551"/>
        </w:rPr>
        <w:t>(Cth), which is currently set at 12.0% of an employee’s ordinary time earnings</w:t>
      </w:r>
      <w:r>
        <w:rPr>
          <w:rFonts w:ascii="Arial" w:cs="Arial" w:eastAsia="Arial" w:hAnsi="Arial"/>
          <w:sz w:val="17"/>
          <w:szCs w:val="17"/>
          <w:i w:val="1"/>
          <w:iCs w:val="1"/>
          <w:color w:val="003551"/>
        </w:rPr>
        <w:t xml:space="preserve"> </w:t>
      </w:r>
      <w:r>
        <w:rPr>
          <w:rFonts w:ascii="Arial" w:cs="Arial" w:eastAsia="Arial" w:hAnsi="Arial"/>
          <w:sz w:val="17"/>
          <w:szCs w:val="17"/>
          <w:color w:val="003551"/>
        </w:rPr>
        <w:t>and subject to a statutory maximum amount (“</w:t>
      </w:r>
      <w:r>
        <w:rPr>
          <w:rFonts w:ascii="Arial" w:cs="Arial" w:eastAsia="Arial" w:hAnsi="Arial"/>
          <w:sz w:val="17"/>
          <w:szCs w:val="17"/>
          <w:b w:val="1"/>
          <w:bCs w:val="1"/>
          <w:color w:val="003551"/>
        </w:rPr>
        <w:t>Superannuation</w:t>
      </w:r>
      <w:r>
        <w:rPr>
          <w:rFonts w:ascii="Arial" w:cs="Arial" w:eastAsia="Arial" w:hAnsi="Arial"/>
          <w:sz w:val="17"/>
          <w:szCs w:val="17"/>
          <w:color w:val="003551"/>
        </w:rPr>
        <w:t>”). No additional retirement benefits or supplementary pension arrangements are provided to our NEOs.</w:t>
      </w:r>
    </w:p>
    <w:p>
      <w:pPr>
        <w:spacing w:after="0" w:line="20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NEO Employment Agreements</w:t>
      </w:r>
    </w:p>
    <w:p>
      <w:pPr>
        <w:spacing w:after="0" w:line="41" w:lineRule="exact"/>
        <w:rPr>
          <w:sz w:val="20"/>
          <w:szCs w:val="20"/>
          <w:color w:val="auto"/>
        </w:rPr>
      </w:pPr>
    </w:p>
    <w:p>
      <w:pPr>
        <w:ind w:left="940" w:right="820"/>
        <w:spacing w:after="0" w:line="248" w:lineRule="auto"/>
        <w:rPr>
          <w:sz w:val="20"/>
          <w:szCs w:val="20"/>
          <w:color w:val="auto"/>
        </w:rPr>
      </w:pPr>
      <w:r>
        <w:rPr>
          <w:rFonts w:ascii="Arial" w:cs="Arial" w:eastAsia="Arial" w:hAnsi="Arial"/>
          <w:sz w:val="17"/>
          <w:szCs w:val="17"/>
          <w:color w:val="003551"/>
        </w:rPr>
        <w:t>We have not entered into any employment agreements with either of our Co-Chief Executive Officers. Ms. Nucifora has entered into an executive services agreement setting forth her base salary, title and the date on which she commenced employment with us. Ms. Nucifora’s executive services agreement has no specified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119380</wp:posOffset>
            </wp:positionV>
            <wp:extent cx="540385" cy="6318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Termination and Change in Control Arrangements</w:t>
      </w:r>
    </w:p>
    <w:p>
      <w:pPr>
        <w:spacing w:after="0" w:line="41" w:lineRule="exact"/>
        <w:rPr>
          <w:sz w:val="20"/>
          <w:szCs w:val="20"/>
          <w:color w:val="auto"/>
        </w:rPr>
      </w:pPr>
    </w:p>
    <w:p>
      <w:pPr>
        <w:ind w:left="940" w:right="960"/>
        <w:spacing w:after="0" w:line="252" w:lineRule="auto"/>
        <w:rPr>
          <w:sz w:val="20"/>
          <w:szCs w:val="20"/>
          <w:color w:val="auto"/>
        </w:rPr>
      </w:pPr>
      <w:r>
        <w:rPr>
          <w:rFonts w:ascii="Arial" w:cs="Arial" w:eastAsia="Arial" w:hAnsi="Arial"/>
          <w:sz w:val="17"/>
          <w:szCs w:val="17"/>
          <w:color w:val="003551"/>
        </w:rPr>
        <w:t>For a description of entitlements in connection with a change in control or employment termination, including payments made to Ms. Nucifora in connection with the termination of her employment, see the section “Potential Payments Upon Termination Or Change In Control” below.</w:t>
      </w:r>
    </w:p>
    <w:p>
      <w:pPr>
        <w:spacing w:after="0" w:line="18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Tax and Accounting Implications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Tax Considerations of Our Executive Compensation</w:t>
      </w:r>
    </w:p>
    <w:p>
      <w:pPr>
        <w:spacing w:after="0" w:line="15" w:lineRule="exact"/>
        <w:rPr>
          <w:sz w:val="20"/>
          <w:szCs w:val="20"/>
          <w:color w:val="auto"/>
        </w:rPr>
      </w:pPr>
    </w:p>
    <w:p>
      <w:pPr>
        <w:ind w:left="940" w:right="1320"/>
        <w:spacing w:after="0" w:line="263" w:lineRule="auto"/>
        <w:rPr>
          <w:sz w:val="20"/>
          <w:szCs w:val="20"/>
          <w:color w:val="auto"/>
        </w:rPr>
      </w:pPr>
      <w:r>
        <w:rPr>
          <w:rFonts w:ascii="Arial" w:cs="Arial" w:eastAsia="Arial" w:hAnsi="Arial"/>
          <w:sz w:val="17"/>
          <w:szCs w:val="17"/>
          <w:color w:val="003551"/>
        </w:rPr>
        <w:t>Section 162(m) of the Internal Revenue Code of 1986 generally limits the tax deductibility of annual compensation paid by public companies for certain executive officers to $1 million.</w:t>
      </w:r>
    </w:p>
    <w:p>
      <w:pPr>
        <w:spacing w:after="0" w:line="201"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Accounting for Our Stock-Based Compensation</w:t>
      </w:r>
    </w:p>
    <w:p>
      <w:pPr>
        <w:spacing w:after="0" w:line="15" w:lineRule="exact"/>
        <w:rPr>
          <w:sz w:val="20"/>
          <w:szCs w:val="20"/>
          <w:color w:val="auto"/>
        </w:rPr>
      </w:pPr>
    </w:p>
    <w:p>
      <w:pPr>
        <w:ind w:left="940" w:right="960"/>
        <w:spacing w:after="0" w:line="263" w:lineRule="auto"/>
        <w:rPr>
          <w:sz w:val="20"/>
          <w:szCs w:val="20"/>
          <w:color w:val="auto"/>
        </w:rPr>
      </w:pPr>
      <w:r>
        <w:rPr>
          <w:rFonts w:ascii="Arial" w:cs="Arial" w:eastAsia="Arial" w:hAnsi="Arial"/>
          <w:sz w:val="17"/>
          <w:szCs w:val="17"/>
          <w:color w:val="003551"/>
        </w:rPr>
        <w:t>We account for stock-based payments, including grants under each of our equity compensation plans in accordance with the requirements of FASB ASC Topic 718.</w:t>
      </w:r>
    </w:p>
    <w:p>
      <w:pPr>
        <w:spacing w:after="0" w:line="1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Compensation Governance</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Clawback Policies</w:t>
      </w:r>
    </w:p>
    <w:p>
      <w:pPr>
        <w:spacing w:after="0" w:line="15" w:lineRule="exact"/>
        <w:rPr>
          <w:sz w:val="20"/>
          <w:szCs w:val="20"/>
          <w:color w:val="auto"/>
        </w:rPr>
      </w:pPr>
    </w:p>
    <w:p>
      <w:pPr>
        <w:ind w:left="940" w:right="780"/>
        <w:spacing w:after="0" w:line="243" w:lineRule="auto"/>
        <w:rPr>
          <w:sz w:val="20"/>
          <w:szCs w:val="20"/>
          <w:color w:val="auto"/>
        </w:rPr>
      </w:pPr>
      <w:r>
        <w:rPr>
          <w:rFonts w:ascii="Arial" w:cs="Arial" w:eastAsia="Arial" w:hAnsi="Arial"/>
          <w:sz w:val="17"/>
          <w:szCs w:val="17"/>
          <w:color w:val="003551"/>
        </w:rPr>
        <w:t>We have an incentive compensation clawback policy that was adopted in accordance with applicable SEC and Nasdaq rules (the “</w:t>
      </w:r>
      <w:r>
        <w:rPr>
          <w:rFonts w:ascii="Arial" w:cs="Arial" w:eastAsia="Arial" w:hAnsi="Arial"/>
          <w:sz w:val="17"/>
          <w:szCs w:val="17"/>
          <w:b w:val="1"/>
          <w:bCs w:val="1"/>
          <w:color w:val="003551"/>
        </w:rPr>
        <w:t>Restatement Clawback Policy</w:t>
      </w:r>
      <w:r>
        <w:rPr>
          <w:rFonts w:ascii="Arial" w:cs="Arial" w:eastAsia="Arial" w:hAnsi="Arial"/>
          <w:sz w:val="17"/>
          <w:szCs w:val="17"/>
          <w:color w:val="003551"/>
        </w:rPr>
        <w:t>”). Under the Restatement Clawback Policy, the Compensation Committee will seek to recover incentive compensation paid to our executive officers in the event of an accounting restatement as defined, and to the extent required, under such rules. A copy of the Restatement Clawback Policy is filed as Exhibit 97.1 to our Annual Report on Form 10-K for Fiscal 2025. Our STIP and 2023 LTIP also include clawback provisions which allow the Board the ability to recover awards (including time-based awards) vested or paid out in within the previous three years to a participant in the event of the following: (1) serious misconduct, (2) behavior that is fraudulent and potentially impacts the organization’s reputation, and (3) material and deliberate manipulation of financial or operational data with the intent to deceive or alter outcomes.</w:t>
      </w:r>
    </w:p>
    <w:p>
      <w:pPr>
        <w:spacing w:after="0" w:line="222"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Equity Award Grant Practices and Timing</w:t>
      </w:r>
    </w:p>
    <w:p>
      <w:pPr>
        <w:spacing w:after="0" w:line="15" w:lineRule="exact"/>
        <w:rPr>
          <w:sz w:val="20"/>
          <w:szCs w:val="20"/>
          <w:color w:val="auto"/>
        </w:rPr>
      </w:pPr>
    </w:p>
    <w:p>
      <w:pPr>
        <w:ind w:left="940" w:right="780"/>
        <w:spacing w:after="0" w:line="244" w:lineRule="auto"/>
        <w:rPr>
          <w:sz w:val="20"/>
          <w:szCs w:val="20"/>
          <w:color w:val="auto"/>
        </w:rPr>
      </w:pPr>
      <w:r>
        <w:rPr>
          <w:rFonts w:ascii="Arial" w:cs="Arial" w:eastAsia="Arial" w:hAnsi="Arial"/>
          <w:sz w:val="17"/>
          <w:szCs w:val="17"/>
          <w:color w:val="003551"/>
        </w:rPr>
        <w:t>We do not grant option awards in anticipation of the release of material nonpublic information, and we do not time the release of material nonpublic information based on option award grant dates or for the purpose of affecting the value of executive compensation. In addition, we do not take material nonpublic information into account when determining the timing and terms of such awards. Although we do not have a formal policy with respect to the timing of our option award grants, we have historically granted annual equity awards on a predetermined annual schedule. During Fiscal 2025, we did not grant any options to any NEOs during any period beginning four business days before and ending one business day after the filing of any periodic report or the filing or furnishing of any Form 6-K that disclosed any material nonpublic information.</w:t>
      </w:r>
    </w:p>
    <w:p>
      <w:pPr>
        <w:spacing w:after="0" w:line="200" w:lineRule="exact"/>
        <w:rPr>
          <w:sz w:val="20"/>
          <w:szCs w:val="20"/>
          <w:color w:val="auto"/>
        </w:rPr>
      </w:pPr>
    </w:p>
    <w:p>
      <w:pPr>
        <w:spacing w:after="0" w:line="214"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Clawback Activity in Fiscal 2025</w:t>
      </w:r>
    </w:p>
    <w:p>
      <w:pPr>
        <w:spacing w:after="0" w:line="15" w:lineRule="exact"/>
        <w:rPr>
          <w:sz w:val="20"/>
          <w:szCs w:val="20"/>
          <w:color w:val="auto"/>
        </w:rPr>
      </w:pPr>
    </w:p>
    <w:p>
      <w:pPr>
        <w:ind w:left="940" w:right="780"/>
        <w:spacing w:after="0" w:line="245" w:lineRule="auto"/>
        <w:rPr>
          <w:sz w:val="20"/>
          <w:szCs w:val="20"/>
          <w:color w:val="auto"/>
        </w:rPr>
      </w:pPr>
      <w:r>
        <w:rPr>
          <w:rFonts w:ascii="Arial" w:cs="Arial" w:eastAsia="Arial" w:hAnsi="Arial"/>
          <w:sz w:val="17"/>
          <w:szCs w:val="17"/>
          <w:color w:val="003551"/>
        </w:rPr>
        <w:t>As previously disclosed in IREN’s amended 2025 Annual Report on Form 10-K, in response to a comment letter received from the SEC in connection with its review of IREN’s 2024 Annual Report on Form 20-F, and following review and consultation with management and upon the recommendation of the Audit and Risk Committee, the board of directors concluded that IREN’s audited consolidated financial statements for the years ended June 30, 2024, 2023 and 2022 should be amended and restated to classify proceeds from sales of Bitcoin mined as cash flows from investing activities in accordance with International Accounting Standards 7.16(b).</w:t>
      </w:r>
    </w:p>
    <w:p>
      <w:pPr>
        <w:spacing w:after="0" w:line="67" w:lineRule="exact"/>
        <w:rPr>
          <w:sz w:val="20"/>
          <w:szCs w:val="20"/>
          <w:color w:val="auto"/>
        </w:rPr>
      </w:pPr>
    </w:p>
    <w:p>
      <w:pPr>
        <w:ind w:left="940" w:right="840"/>
        <w:spacing w:after="0" w:line="255" w:lineRule="auto"/>
        <w:rPr>
          <w:sz w:val="20"/>
          <w:szCs w:val="20"/>
          <w:color w:val="auto"/>
        </w:rPr>
      </w:pPr>
      <w:r>
        <w:rPr>
          <w:rFonts w:ascii="Arial" w:cs="Arial" w:eastAsia="Arial" w:hAnsi="Arial"/>
          <w:sz w:val="17"/>
          <w:szCs w:val="17"/>
          <w:color w:val="003551"/>
        </w:rPr>
        <w:t>During Fiscal 2025, IREN conducted a recovery analysis to determine whether the restatement required recovery of erroneously awarded incentive-based compensation pursuant to the Restatement Clawback Policy. Based on such analysis, IREN concluded that the restatement did not require recovery of any incentive-based compensation pursuant to the Restatement Clawback Policy because current and former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115570</wp:posOffset>
            </wp:positionV>
            <wp:extent cx="540385" cy="6318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940" w:right="1080"/>
        <w:spacing w:after="0" w:line="262" w:lineRule="auto"/>
        <w:rPr>
          <w:sz w:val="20"/>
          <w:szCs w:val="20"/>
          <w:color w:val="auto"/>
        </w:rPr>
      </w:pPr>
      <w:r>
        <w:rPr>
          <w:rFonts w:ascii="Arial" w:cs="Arial" w:eastAsia="Arial" w:hAnsi="Arial"/>
          <w:sz w:val="17"/>
          <w:szCs w:val="17"/>
          <w:color w:val="003551"/>
        </w:rPr>
        <w:t>executive officers who are subject to the Restatement Clawback Policy have never received incentive-based compensation based on any financial reporting measure that was impacted by the restatement, thus there was no erroneously awarded compensation to recoup.</w:t>
      </w:r>
    </w:p>
    <w:p>
      <w:pPr>
        <w:spacing w:after="0" w:line="16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Insider Trading, Anti-Hedging and Pledging Policies</w:t>
      </w:r>
    </w:p>
    <w:p>
      <w:pPr>
        <w:spacing w:after="0" w:line="41" w:lineRule="exact"/>
        <w:rPr>
          <w:sz w:val="20"/>
          <w:szCs w:val="20"/>
          <w:color w:val="auto"/>
        </w:rPr>
      </w:pPr>
    </w:p>
    <w:p>
      <w:pPr>
        <w:ind w:left="940" w:right="760"/>
        <w:spacing w:after="0" w:line="245" w:lineRule="auto"/>
        <w:rPr>
          <w:sz w:val="20"/>
          <w:szCs w:val="20"/>
          <w:color w:val="auto"/>
        </w:rPr>
      </w:pPr>
      <w:r>
        <w:rPr>
          <w:rFonts w:ascii="Arial" w:cs="Arial" w:eastAsia="Arial" w:hAnsi="Arial"/>
          <w:sz w:val="17"/>
          <w:szCs w:val="17"/>
          <w:color w:val="003551"/>
        </w:rPr>
        <w:t>We have adopted an Insider Trading Policy governing the purchase, sale, and other dispositions of our securities, including by directors and other executive officers, that are designed to promote compliance with applicable insider trading laws, rules and regulations, and listing standards applicable to us. A copy of the Insider Trading Policy is filed as Exhibit 19.1 to our 2025 Annual Report on Form 10-K. In addition, it is our policy to comply with applicable securities and state laws, including insider trading laws, when engaging in transactions in IREN’s securities.</w:t>
      </w:r>
    </w:p>
    <w:p>
      <w:pPr>
        <w:spacing w:after="0" w:line="70" w:lineRule="exact"/>
        <w:rPr>
          <w:sz w:val="20"/>
          <w:szCs w:val="20"/>
          <w:color w:val="auto"/>
        </w:rPr>
      </w:pPr>
    </w:p>
    <w:p>
      <w:pPr>
        <w:ind w:left="940" w:right="740"/>
        <w:spacing w:after="0" w:line="248" w:lineRule="auto"/>
        <w:rPr>
          <w:sz w:val="20"/>
          <w:szCs w:val="20"/>
          <w:color w:val="auto"/>
        </w:rPr>
      </w:pPr>
      <w:r>
        <w:rPr>
          <w:rFonts w:ascii="Arial" w:cs="Arial" w:eastAsia="Arial" w:hAnsi="Arial"/>
          <w:sz w:val="17"/>
          <w:szCs w:val="17"/>
          <w:color w:val="003551"/>
        </w:rPr>
        <w:t>In addition, the Insider Trading Policy prohibits our directors, officers, employees and certain other persons from purchasing financial instruments or otherwise engaging in transactions that hedge or offset, or are designed to hedge or offset, any decrease in the market value of IREN’s securities, whether such securities were granted as compensation or otherwise held, directly or indirectly, by such person. Such persons are also prohibited from purchasing IREN’s securities on margin or otherwise pledging IREN’s securities to secure loans without pre-approval by the Board, which will consider a range of factors in making such determination.</w:t>
      </w:r>
    </w:p>
    <w:p>
      <w:pPr>
        <w:spacing w:after="0" w:line="213"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Risk Management</w:t>
      </w:r>
    </w:p>
    <w:p>
      <w:pPr>
        <w:spacing w:after="0" w:line="15" w:lineRule="exact"/>
        <w:rPr>
          <w:sz w:val="20"/>
          <w:szCs w:val="20"/>
          <w:color w:val="auto"/>
        </w:rPr>
      </w:pPr>
    </w:p>
    <w:p>
      <w:pPr>
        <w:ind w:left="940" w:right="800"/>
        <w:spacing w:after="0" w:line="252" w:lineRule="auto"/>
        <w:rPr>
          <w:sz w:val="20"/>
          <w:szCs w:val="20"/>
          <w:color w:val="auto"/>
        </w:rPr>
      </w:pPr>
      <w:r>
        <w:rPr>
          <w:rFonts w:ascii="Arial" w:cs="Arial" w:eastAsia="Arial" w:hAnsi="Arial"/>
          <w:sz w:val="17"/>
          <w:szCs w:val="17"/>
          <w:color w:val="003551"/>
        </w:rPr>
        <w:t>The Compensation Committee, with the assistance of FW Cook, periodically reviews whether risks arising from IREN’s compensation policies and practices are reasonably likely to have a material adverse effect on IREN.</w:t>
      </w:r>
    </w:p>
    <w:p>
      <w:pPr>
        <w:spacing w:after="0" w:line="18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Compensation Committee Report</w:t>
      </w:r>
    </w:p>
    <w:p>
      <w:pPr>
        <w:spacing w:after="0" w:line="41" w:lineRule="exact"/>
        <w:rPr>
          <w:sz w:val="20"/>
          <w:szCs w:val="20"/>
          <w:color w:val="auto"/>
        </w:rPr>
      </w:pPr>
    </w:p>
    <w:p>
      <w:pPr>
        <w:ind w:left="940" w:right="820"/>
        <w:spacing w:after="0" w:line="252" w:lineRule="auto"/>
        <w:rPr>
          <w:sz w:val="20"/>
          <w:szCs w:val="20"/>
          <w:color w:val="auto"/>
        </w:rPr>
      </w:pPr>
      <w:r>
        <w:rPr>
          <w:rFonts w:ascii="Arial" w:cs="Arial" w:eastAsia="Arial" w:hAnsi="Arial"/>
          <w:sz w:val="17"/>
          <w:szCs w:val="17"/>
          <w:color w:val="003551"/>
        </w:rPr>
        <w:t>Our Compensation Committee has reviewed and discussed with management the CD&amp;A provided above. Based on its review and discussions, the Compensation Committee recommended to the board of directors that the CD&amp;A be included in this proxy statement.</w:t>
      </w:r>
    </w:p>
    <w:p>
      <w:pPr>
        <w:spacing w:after="0" w:line="89" w:lineRule="exact"/>
        <w:rPr>
          <w:sz w:val="20"/>
          <w:szCs w:val="20"/>
          <w:color w:val="auto"/>
        </w:rPr>
      </w:pPr>
    </w:p>
    <w:p>
      <w:pPr>
        <w:ind w:left="1280" w:hanging="337"/>
        <w:spacing w:after="0"/>
        <w:tabs>
          <w:tab w:leader="none" w:pos="1280" w:val="left"/>
        </w:tabs>
        <w:numPr>
          <w:ilvl w:val="0"/>
          <w:numId w:val="32"/>
        </w:numPr>
        <w:rPr>
          <w:rFonts w:ascii="Arial" w:cs="Arial" w:eastAsia="Arial" w:hAnsi="Arial"/>
          <w:sz w:val="17"/>
          <w:szCs w:val="17"/>
          <w:color w:val="003551"/>
        </w:rPr>
      </w:pPr>
      <w:r>
        <w:rPr>
          <w:rFonts w:ascii="Arial" w:cs="Arial" w:eastAsia="Arial" w:hAnsi="Arial"/>
          <w:sz w:val="17"/>
          <w:szCs w:val="17"/>
          <w:color w:val="003551"/>
        </w:rPr>
        <w:t>David Bartholomew (Chair)</w:t>
      </w:r>
    </w:p>
    <w:p>
      <w:pPr>
        <w:spacing w:after="0" w:line="145" w:lineRule="exact"/>
        <w:rPr>
          <w:rFonts w:ascii="Arial" w:cs="Arial" w:eastAsia="Arial" w:hAnsi="Arial"/>
          <w:sz w:val="17"/>
          <w:szCs w:val="17"/>
          <w:color w:val="003551"/>
        </w:rPr>
      </w:pPr>
    </w:p>
    <w:p>
      <w:pPr>
        <w:ind w:left="1280" w:hanging="337"/>
        <w:spacing w:after="0"/>
        <w:tabs>
          <w:tab w:leader="none" w:pos="1280" w:val="left"/>
        </w:tabs>
        <w:numPr>
          <w:ilvl w:val="0"/>
          <w:numId w:val="32"/>
        </w:numPr>
        <w:rPr>
          <w:rFonts w:ascii="Arial" w:cs="Arial" w:eastAsia="Arial" w:hAnsi="Arial"/>
          <w:sz w:val="17"/>
          <w:szCs w:val="17"/>
          <w:color w:val="003551"/>
        </w:rPr>
      </w:pPr>
      <w:r>
        <w:rPr>
          <w:rFonts w:ascii="Arial" w:cs="Arial" w:eastAsia="Arial" w:hAnsi="Arial"/>
          <w:sz w:val="17"/>
          <w:szCs w:val="17"/>
          <w:color w:val="003551"/>
        </w:rPr>
        <w:t>Michael Alfred</w:t>
      </w:r>
    </w:p>
    <w:p>
      <w:pPr>
        <w:spacing w:after="0" w:line="145" w:lineRule="exact"/>
        <w:rPr>
          <w:rFonts w:ascii="Arial" w:cs="Arial" w:eastAsia="Arial" w:hAnsi="Arial"/>
          <w:sz w:val="17"/>
          <w:szCs w:val="17"/>
          <w:color w:val="003551"/>
        </w:rPr>
      </w:pPr>
    </w:p>
    <w:p>
      <w:pPr>
        <w:ind w:left="1280" w:hanging="337"/>
        <w:spacing w:after="0"/>
        <w:tabs>
          <w:tab w:leader="none" w:pos="1280" w:val="left"/>
        </w:tabs>
        <w:numPr>
          <w:ilvl w:val="0"/>
          <w:numId w:val="32"/>
        </w:numPr>
        <w:rPr>
          <w:rFonts w:ascii="Arial" w:cs="Arial" w:eastAsia="Arial" w:hAnsi="Arial"/>
          <w:sz w:val="17"/>
          <w:szCs w:val="17"/>
          <w:color w:val="003551"/>
        </w:rPr>
      </w:pPr>
      <w:r>
        <w:rPr>
          <w:rFonts w:ascii="Arial" w:cs="Arial" w:eastAsia="Arial" w:hAnsi="Arial"/>
          <w:sz w:val="17"/>
          <w:szCs w:val="17"/>
          <w:color w:val="003551"/>
        </w:rPr>
        <w:t>Christopher Guzowski</w:t>
      </w:r>
    </w:p>
    <w:p>
      <w:pPr>
        <w:spacing w:after="0" w:line="131" w:lineRule="exact"/>
        <w:rPr>
          <w:rFonts w:ascii="Arial" w:cs="Arial" w:eastAsia="Arial" w:hAnsi="Arial"/>
          <w:sz w:val="17"/>
          <w:szCs w:val="17"/>
          <w:color w:val="003551"/>
        </w:rPr>
      </w:pPr>
    </w:p>
    <w:p>
      <w:pPr>
        <w:ind w:left="1280" w:hanging="337"/>
        <w:spacing w:after="0"/>
        <w:tabs>
          <w:tab w:leader="none" w:pos="1280" w:val="left"/>
        </w:tabs>
        <w:numPr>
          <w:ilvl w:val="0"/>
          <w:numId w:val="32"/>
        </w:numPr>
        <w:rPr>
          <w:rFonts w:ascii="Arial" w:cs="Arial" w:eastAsia="Arial" w:hAnsi="Arial"/>
          <w:sz w:val="17"/>
          <w:szCs w:val="17"/>
          <w:color w:val="003551"/>
        </w:rPr>
      </w:pPr>
      <w:r>
        <w:rPr>
          <w:rFonts w:ascii="Arial" w:cs="Arial" w:eastAsia="Arial" w:hAnsi="Arial"/>
          <w:sz w:val="17"/>
          <w:szCs w:val="17"/>
          <w:color w:val="003551"/>
        </w:rPr>
        <w:t>Sunita Parasuraman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144145</wp:posOffset>
            </wp:positionV>
            <wp:extent cx="540385" cy="6318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940"/>
        <w:spacing w:after="0"/>
        <w:rPr>
          <w:sz w:val="20"/>
          <w:szCs w:val="20"/>
          <w:color w:val="auto"/>
        </w:rPr>
      </w:pPr>
      <w:r>
        <w:rPr>
          <w:rFonts w:ascii="Arial" w:cs="Arial" w:eastAsia="Arial" w:hAnsi="Arial"/>
          <w:sz w:val="28"/>
          <w:szCs w:val="28"/>
          <w:color w:val="003551"/>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15240</wp:posOffset>
            </wp:positionV>
            <wp:extent cx="522351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223510" cy="8255"/>
                    </a:xfrm>
                    <a:prstGeom prst="rect">
                      <a:avLst/>
                    </a:prstGeom>
                    <a:noFill/>
                  </pic:spPr>
                </pic:pic>
              </a:graphicData>
            </a:graphic>
          </wp:anchor>
        </w:drawing>
      </w:r>
    </w:p>
    <w:p>
      <w:pPr>
        <w:spacing w:after="0" w:line="92" w:lineRule="exact"/>
        <w:rPr>
          <w:sz w:val="20"/>
          <w:szCs w:val="20"/>
          <w:color w:val="auto"/>
        </w:rPr>
      </w:pPr>
    </w:p>
    <w:p>
      <w:pPr>
        <w:ind w:left="940" w:right="960"/>
        <w:spacing w:after="0" w:line="283" w:lineRule="auto"/>
        <w:rPr>
          <w:sz w:val="20"/>
          <w:szCs w:val="20"/>
          <w:color w:val="auto"/>
        </w:rPr>
      </w:pPr>
      <w:r>
        <w:rPr>
          <w:rFonts w:ascii="Arial" w:cs="Arial" w:eastAsia="Arial" w:hAnsi="Arial"/>
          <w:sz w:val="17"/>
          <w:szCs w:val="17"/>
          <w:color w:val="003551"/>
        </w:rPr>
        <w:t>The following table sets forth information concerning the compensation paid to our NEOs during each of our fiscal years ended June 30, 2025, 2024 and 2023.</w:t>
      </w:r>
    </w:p>
    <w:p>
      <w:pPr>
        <w:spacing w:after="0" w:line="80" w:lineRule="exact"/>
        <w:rPr>
          <w:sz w:val="20"/>
          <w:szCs w:val="20"/>
          <w:color w:val="auto"/>
        </w:rPr>
      </w:pPr>
    </w:p>
    <w:tbl>
      <w:tblPr>
        <w:tblLayout w:type="fixed"/>
        <w:tblInd w:w="940" w:type="dxa"/>
        <w:tblCellMar>
          <w:top w:w="0" w:type="dxa"/>
          <w:left w:w="0" w:type="dxa"/>
          <w:bottom w:w="0" w:type="dxa"/>
          <w:right w:w="0" w:type="dxa"/>
        </w:tblCellMar>
      </w:tblPr>
      <w:tr>
        <w:trPr>
          <w:trHeight w:val="278"/>
        </w:trPr>
        <w:tc>
          <w:tcPr>
            <w:tcW w:w="2040" w:type="dxa"/>
            <w:vAlign w:val="bottom"/>
            <w:shd w:val="clear" w:color="auto" w:fill="77C483"/>
          </w:tcPr>
          <w:p>
            <w:pPr>
              <w:spacing w:after="0"/>
              <w:rPr>
                <w:sz w:val="24"/>
                <w:szCs w:val="24"/>
                <w:color w:val="auto"/>
              </w:rPr>
            </w:pPr>
          </w:p>
        </w:tc>
        <w:tc>
          <w:tcPr>
            <w:tcW w:w="620" w:type="dxa"/>
            <w:vAlign w:val="bottom"/>
            <w:shd w:val="clear" w:color="auto" w:fill="77C483"/>
          </w:tcPr>
          <w:p>
            <w:pPr>
              <w:spacing w:after="0"/>
              <w:rPr>
                <w:sz w:val="24"/>
                <w:szCs w:val="24"/>
                <w:color w:val="auto"/>
              </w:rPr>
            </w:pPr>
          </w:p>
        </w:tc>
        <w:tc>
          <w:tcPr>
            <w:tcW w:w="820" w:type="dxa"/>
            <w:vAlign w:val="bottom"/>
            <w:shd w:val="clear" w:color="auto" w:fill="77C483"/>
          </w:tcPr>
          <w:p>
            <w:pPr>
              <w:spacing w:after="0"/>
              <w:rPr>
                <w:sz w:val="24"/>
                <w:szCs w:val="24"/>
                <w:color w:val="auto"/>
              </w:rPr>
            </w:pPr>
          </w:p>
        </w:tc>
        <w:tc>
          <w:tcPr>
            <w:tcW w:w="900" w:type="dxa"/>
            <w:vAlign w:val="bottom"/>
            <w:shd w:val="clear" w:color="auto" w:fill="77C483"/>
          </w:tcPr>
          <w:p>
            <w:pPr>
              <w:ind w:left="120"/>
              <w:spacing w:after="0"/>
              <w:rPr>
                <w:sz w:val="20"/>
                <w:szCs w:val="20"/>
                <w:color w:val="auto"/>
              </w:rPr>
            </w:pPr>
            <w:r>
              <w:rPr>
                <w:rFonts w:ascii="Arial" w:cs="Arial" w:eastAsia="Arial" w:hAnsi="Arial"/>
                <w:sz w:val="12"/>
                <w:szCs w:val="12"/>
                <w:b w:val="1"/>
                <w:bCs w:val="1"/>
                <w:color w:val="003551"/>
              </w:rPr>
              <w:t>Stock</w:t>
            </w:r>
          </w:p>
        </w:tc>
        <w:tc>
          <w:tcPr>
            <w:tcW w:w="1740" w:type="dxa"/>
            <w:vAlign w:val="bottom"/>
            <w:shd w:val="clear" w:color="auto" w:fill="77C483"/>
          </w:tcPr>
          <w:p>
            <w:pPr>
              <w:ind w:left="120"/>
              <w:spacing w:after="0"/>
              <w:rPr>
                <w:sz w:val="20"/>
                <w:szCs w:val="20"/>
                <w:color w:val="auto"/>
              </w:rPr>
            </w:pPr>
            <w:r>
              <w:rPr>
                <w:rFonts w:ascii="Arial" w:cs="Arial" w:eastAsia="Arial" w:hAnsi="Arial"/>
                <w:sz w:val="12"/>
                <w:szCs w:val="12"/>
                <w:b w:val="1"/>
                <w:bCs w:val="1"/>
                <w:color w:val="003551"/>
              </w:rPr>
              <w:t>Non-Equity Incentive Plan</w:t>
            </w:r>
          </w:p>
        </w:tc>
        <w:tc>
          <w:tcPr>
            <w:tcW w:w="1220" w:type="dxa"/>
            <w:vAlign w:val="bottom"/>
            <w:shd w:val="clear" w:color="auto" w:fill="77C483"/>
          </w:tcPr>
          <w:p>
            <w:pPr>
              <w:ind w:left="140"/>
              <w:spacing w:after="0"/>
              <w:rPr>
                <w:sz w:val="20"/>
                <w:szCs w:val="20"/>
                <w:color w:val="auto"/>
              </w:rPr>
            </w:pPr>
            <w:r>
              <w:rPr>
                <w:rFonts w:ascii="Arial" w:cs="Arial" w:eastAsia="Arial" w:hAnsi="Arial"/>
                <w:sz w:val="12"/>
                <w:szCs w:val="12"/>
                <w:b w:val="1"/>
                <w:bCs w:val="1"/>
                <w:color w:val="003551"/>
              </w:rPr>
              <w:t>All Other</w:t>
            </w:r>
          </w:p>
        </w:tc>
        <w:tc>
          <w:tcPr>
            <w:tcW w:w="900" w:type="dxa"/>
            <w:vAlign w:val="bottom"/>
            <w:shd w:val="clear" w:color="auto" w:fill="77C483"/>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40" w:type="dxa"/>
            <w:vAlign w:val="bottom"/>
            <w:tcBorders>
              <w:bottom w:val="single" w:sz="8" w:color="003551"/>
            </w:tcBorders>
            <w:shd w:val="clear" w:color="auto" w:fill="77C483"/>
          </w:tcPr>
          <w:p>
            <w:pPr>
              <w:ind w:left="140"/>
              <w:spacing w:after="0"/>
              <w:rPr>
                <w:sz w:val="20"/>
                <w:szCs w:val="20"/>
                <w:color w:val="auto"/>
              </w:rPr>
            </w:pPr>
            <w:r>
              <w:rPr>
                <w:rFonts w:ascii="Arial" w:cs="Arial" w:eastAsia="Arial" w:hAnsi="Arial"/>
                <w:sz w:val="12"/>
                <w:szCs w:val="12"/>
                <w:b w:val="1"/>
                <w:bCs w:val="1"/>
                <w:color w:val="003551"/>
              </w:rPr>
              <w:t>Name and Principal Position</w:t>
            </w:r>
          </w:p>
        </w:tc>
        <w:tc>
          <w:tcPr>
            <w:tcW w:w="620" w:type="dxa"/>
            <w:vAlign w:val="bottom"/>
            <w:tcBorders>
              <w:bottom w:val="single" w:sz="8" w:color="003551"/>
            </w:tcBorders>
            <w:shd w:val="clear" w:color="auto" w:fill="77C483"/>
          </w:tcPr>
          <w:p>
            <w:pPr>
              <w:ind w:left="220"/>
              <w:spacing w:after="0"/>
              <w:rPr>
                <w:sz w:val="20"/>
                <w:szCs w:val="20"/>
                <w:color w:val="auto"/>
              </w:rPr>
            </w:pPr>
            <w:r>
              <w:rPr>
                <w:rFonts w:ascii="Arial" w:cs="Arial" w:eastAsia="Arial" w:hAnsi="Arial"/>
                <w:sz w:val="12"/>
                <w:szCs w:val="12"/>
                <w:b w:val="1"/>
                <w:bCs w:val="1"/>
                <w:color w:val="003551"/>
              </w:rPr>
              <w:t>Year</w:t>
            </w:r>
          </w:p>
        </w:tc>
        <w:tc>
          <w:tcPr>
            <w:tcW w:w="820" w:type="dxa"/>
            <w:vAlign w:val="bottom"/>
            <w:tcBorders>
              <w:bottom w:val="single" w:sz="8" w:color="003551"/>
            </w:tcBorders>
            <w:shd w:val="clear" w:color="auto" w:fill="77C483"/>
          </w:tcPr>
          <w:p>
            <w:pPr>
              <w:ind w:left="100"/>
              <w:spacing w:after="0"/>
              <w:rPr>
                <w:sz w:val="20"/>
                <w:szCs w:val="20"/>
                <w:color w:val="auto"/>
              </w:rPr>
            </w:pPr>
            <w:r>
              <w:rPr>
                <w:rFonts w:ascii="Arial" w:cs="Arial" w:eastAsia="Arial" w:hAnsi="Arial"/>
                <w:sz w:val="12"/>
                <w:szCs w:val="12"/>
                <w:b w:val="1"/>
                <w:bCs w:val="1"/>
                <w:color w:val="003551"/>
              </w:rPr>
              <w:t>Salary</w:t>
            </w:r>
          </w:p>
        </w:tc>
        <w:tc>
          <w:tcPr>
            <w:tcW w:w="900" w:type="dxa"/>
            <w:vAlign w:val="bottom"/>
            <w:tcBorders>
              <w:bottom w:val="single" w:sz="8" w:color="003551"/>
            </w:tcBorders>
            <w:shd w:val="clear" w:color="auto" w:fill="77C483"/>
          </w:tcPr>
          <w:p>
            <w:pPr>
              <w:ind w:left="120"/>
              <w:spacing w:after="0"/>
              <w:rPr>
                <w:sz w:val="20"/>
                <w:szCs w:val="20"/>
                <w:color w:val="auto"/>
              </w:rPr>
            </w:pPr>
            <w:r>
              <w:rPr>
                <w:rFonts w:ascii="Arial" w:cs="Arial" w:eastAsia="Arial" w:hAnsi="Arial"/>
                <w:sz w:val="24"/>
                <w:szCs w:val="24"/>
                <w:b w:val="1"/>
                <w:bCs w:val="1"/>
                <w:color w:val="003551"/>
                <w:w w:val="92"/>
                <w:vertAlign w:val="subscript"/>
              </w:rPr>
              <w:t>Awards</w:t>
            </w:r>
            <w:r>
              <w:rPr>
                <w:rFonts w:ascii="Arial" w:cs="Arial" w:eastAsia="Arial" w:hAnsi="Arial"/>
                <w:sz w:val="10"/>
                <w:szCs w:val="10"/>
                <w:b w:val="1"/>
                <w:bCs w:val="1"/>
                <w:color w:val="003551"/>
                <w:w w:val="92"/>
              </w:rPr>
              <w:t>(1)(2)</w:t>
            </w:r>
          </w:p>
        </w:tc>
        <w:tc>
          <w:tcPr>
            <w:tcW w:w="1740" w:type="dxa"/>
            <w:vAlign w:val="bottom"/>
            <w:tcBorders>
              <w:bottom w:val="single" w:sz="8" w:color="003551"/>
            </w:tcBorders>
            <w:shd w:val="clear" w:color="auto" w:fill="77C483"/>
          </w:tcPr>
          <w:p>
            <w:pPr>
              <w:ind w:left="120"/>
              <w:spacing w:after="0"/>
              <w:rPr>
                <w:sz w:val="20"/>
                <w:szCs w:val="20"/>
                <w:color w:val="auto"/>
              </w:rPr>
            </w:pPr>
            <w:r>
              <w:rPr>
                <w:rFonts w:ascii="Arial" w:cs="Arial" w:eastAsia="Arial" w:hAnsi="Arial"/>
                <w:sz w:val="12"/>
                <w:szCs w:val="12"/>
                <w:b w:val="1"/>
                <w:bCs w:val="1"/>
                <w:color w:val="003551"/>
              </w:rPr>
              <w:t>Compensation</w:t>
            </w:r>
            <w:r>
              <w:rPr>
                <w:rFonts w:ascii="Arial" w:cs="Arial" w:eastAsia="Arial" w:hAnsi="Arial"/>
                <w:sz w:val="20"/>
                <w:szCs w:val="20"/>
                <w:b w:val="1"/>
                <w:bCs w:val="1"/>
                <w:color w:val="003551"/>
                <w:vertAlign w:val="superscript"/>
              </w:rPr>
              <w:t>(3)</w:t>
            </w:r>
          </w:p>
        </w:tc>
        <w:tc>
          <w:tcPr>
            <w:tcW w:w="1220" w:type="dxa"/>
            <w:vAlign w:val="bottom"/>
            <w:tcBorders>
              <w:bottom w:val="single" w:sz="8" w:color="003551"/>
            </w:tcBorders>
            <w:shd w:val="clear" w:color="auto" w:fill="77C483"/>
          </w:tcPr>
          <w:p>
            <w:pPr>
              <w:ind w:left="140"/>
              <w:spacing w:after="0"/>
              <w:rPr>
                <w:sz w:val="20"/>
                <w:szCs w:val="20"/>
                <w:color w:val="auto"/>
              </w:rPr>
            </w:pPr>
            <w:r>
              <w:rPr>
                <w:rFonts w:ascii="Arial" w:cs="Arial" w:eastAsia="Arial" w:hAnsi="Arial"/>
                <w:sz w:val="12"/>
                <w:szCs w:val="12"/>
                <w:b w:val="1"/>
                <w:bCs w:val="1"/>
                <w:color w:val="003551"/>
              </w:rPr>
              <w:t>Compensation</w:t>
            </w:r>
            <w:r>
              <w:rPr>
                <w:rFonts w:ascii="Arial" w:cs="Arial" w:eastAsia="Arial" w:hAnsi="Arial"/>
                <w:sz w:val="20"/>
                <w:szCs w:val="20"/>
                <w:b w:val="1"/>
                <w:bCs w:val="1"/>
                <w:color w:val="003551"/>
                <w:vertAlign w:val="superscript"/>
              </w:rPr>
              <w:t>(4)</w:t>
            </w:r>
          </w:p>
        </w:tc>
        <w:tc>
          <w:tcPr>
            <w:tcW w:w="900" w:type="dxa"/>
            <w:vAlign w:val="bottom"/>
            <w:tcBorders>
              <w:bottom w:val="single" w:sz="8" w:color="003551"/>
            </w:tcBorders>
            <w:shd w:val="clear" w:color="auto" w:fill="77C483"/>
          </w:tcPr>
          <w:p>
            <w:pPr>
              <w:ind w:left="100"/>
              <w:spacing w:after="0"/>
              <w:rPr>
                <w:sz w:val="20"/>
                <w:szCs w:val="20"/>
                <w:color w:val="auto"/>
              </w:rPr>
            </w:pPr>
            <w:r>
              <w:rPr>
                <w:rFonts w:ascii="Arial" w:cs="Arial" w:eastAsia="Arial" w:hAnsi="Arial"/>
                <w:sz w:val="12"/>
                <w:szCs w:val="12"/>
                <w:b w:val="1"/>
                <w:bCs w:val="1"/>
                <w:color w:val="003551"/>
              </w:rPr>
              <w:t>Total</w:t>
            </w:r>
          </w:p>
        </w:tc>
        <w:tc>
          <w:tcPr>
            <w:tcW w:w="0" w:type="dxa"/>
            <w:vAlign w:val="bottom"/>
          </w:tcPr>
          <w:p>
            <w:pPr>
              <w:spacing w:after="0"/>
              <w:rPr>
                <w:sz w:val="1"/>
                <w:szCs w:val="1"/>
                <w:color w:val="auto"/>
              </w:rPr>
            </w:pPr>
          </w:p>
        </w:tc>
      </w:tr>
      <w:tr>
        <w:trPr>
          <w:trHeight w:val="319"/>
        </w:trPr>
        <w:tc>
          <w:tcPr>
            <w:tcW w:w="2040" w:type="dxa"/>
            <w:vAlign w:val="bottom"/>
          </w:tcPr>
          <w:p>
            <w:pPr>
              <w:spacing w:after="0"/>
              <w:rPr>
                <w:sz w:val="24"/>
                <w:szCs w:val="24"/>
                <w:color w:val="auto"/>
              </w:rPr>
            </w:pPr>
          </w:p>
        </w:tc>
        <w:tc>
          <w:tcPr>
            <w:tcW w:w="620" w:type="dxa"/>
            <w:vAlign w:val="bottom"/>
          </w:tcPr>
          <w:p>
            <w:pPr>
              <w:ind w:left="220"/>
              <w:spacing w:after="0"/>
              <w:rPr>
                <w:sz w:val="20"/>
                <w:szCs w:val="20"/>
                <w:color w:val="auto"/>
              </w:rPr>
            </w:pPr>
            <w:r>
              <w:rPr>
                <w:rFonts w:ascii="Arial" w:cs="Arial" w:eastAsia="Arial" w:hAnsi="Arial"/>
                <w:sz w:val="12"/>
                <w:szCs w:val="12"/>
                <w:color w:val="003551"/>
              </w:rPr>
              <w:t>2025</w:t>
            </w:r>
          </w:p>
        </w:tc>
        <w:tc>
          <w:tcPr>
            <w:tcW w:w="820" w:type="dxa"/>
            <w:vAlign w:val="bottom"/>
          </w:tcPr>
          <w:p>
            <w:pPr>
              <w:ind w:left="100"/>
              <w:spacing w:after="0"/>
              <w:rPr>
                <w:sz w:val="20"/>
                <w:szCs w:val="20"/>
                <w:color w:val="auto"/>
              </w:rPr>
            </w:pPr>
            <w:r>
              <w:rPr>
                <w:rFonts w:ascii="Arial" w:cs="Arial" w:eastAsia="Arial" w:hAnsi="Arial"/>
                <w:sz w:val="12"/>
                <w:szCs w:val="12"/>
                <w:color w:val="003551"/>
              </w:rPr>
              <w:t>$964,350</w:t>
            </w:r>
          </w:p>
        </w:tc>
        <w:tc>
          <w:tcPr>
            <w:tcW w:w="900" w:type="dxa"/>
            <w:vAlign w:val="bottom"/>
          </w:tcPr>
          <w:p>
            <w:pPr>
              <w:ind w:left="120"/>
              <w:spacing w:after="0"/>
              <w:rPr>
                <w:sz w:val="20"/>
                <w:szCs w:val="20"/>
                <w:color w:val="auto"/>
              </w:rPr>
            </w:pPr>
            <w:r>
              <w:rPr>
                <w:rFonts w:ascii="Arial" w:cs="Arial" w:eastAsia="Arial" w:hAnsi="Arial"/>
                <w:sz w:val="12"/>
                <w:szCs w:val="12"/>
                <w:color w:val="003551"/>
              </w:rPr>
              <w:t>$69,695,744</w:t>
            </w:r>
          </w:p>
        </w:tc>
        <w:tc>
          <w:tcPr>
            <w:tcW w:w="1740" w:type="dxa"/>
            <w:vAlign w:val="bottom"/>
          </w:tcPr>
          <w:p>
            <w:pPr>
              <w:ind w:left="120"/>
              <w:spacing w:after="0"/>
              <w:rPr>
                <w:sz w:val="20"/>
                <w:szCs w:val="20"/>
                <w:color w:val="auto"/>
              </w:rPr>
            </w:pPr>
            <w:r>
              <w:rPr>
                <w:rFonts w:ascii="Arial" w:cs="Arial" w:eastAsia="Arial" w:hAnsi="Arial"/>
                <w:sz w:val="12"/>
                <w:szCs w:val="12"/>
                <w:color w:val="003551"/>
              </w:rPr>
              <w:t>$1,968,000</w:t>
            </w:r>
          </w:p>
        </w:tc>
        <w:tc>
          <w:tcPr>
            <w:tcW w:w="1220" w:type="dxa"/>
            <w:vAlign w:val="bottom"/>
          </w:tcPr>
          <w:p>
            <w:pPr>
              <w:ind w:left="140"/>
              <w:spacing w:after="0"/>
              <w:rPr>
                <w:sz w:val="20"/>
                <w:szCs w:val="20"/>
                <w:color w:val="auto"/>
              </w:rPr>
            </w:pPr>
            <w:r>
              <w:rPr>
                <w:rFonts w:ascii="Arial" w:cs="Arial" w:eastAsia="Arial" w:hAnsi="Arial"/>
                <w:sz w:val="12"/>
                <w:szCs w:val="12"/>
                <w:color w:val="003551"/>
              </w:rPr>
              <w:t>$19,650</w:t>
            </w:r>
          </w:p>
        </w:tc>
        <w:tc>
          <w:tcPr>
            <w:tcW w:w="900" w:type="dxa"/>
            <w:vAlign w:val="bottom"/>
          </w:tcPr>
          <w:p>
            <w:pPr>
              <w:ind w:left="100"/>
              <w:spacing w:after="0"/>
              <w:rPr>
                <w:sz w:val="20"/>
                <w:szCs w:val="20"/>
                <w:color w:val="auto"/>
              </w:rPr>
            </w:pPr>
            <w:r>
              <w:rPr>
                <w:rFonts w:ascii="Arial" w:cs="Arial" w:eastAsia="Arial" w:hAnsi="Arial"/>
                <w:sz w:val="12"/>
                <w:szCs w:val="12"/>
                <w:color w:val="003551"/>
              </w:rPr>
              <w:t>$72,647,744</w:t>
            </w:r>
          </w:p>
        </w:tc>
        <w:tc>
          <w:tcPr>
            <w:tcW w:w="0" w:type="dxa"/>
            <w:vAlign w:val="bottom"/>
          </w:tcPr>
          <w:p>
            <w:pPr>
              <w:spacing w:after="0"/>
              <w:rPr>
                <w:sz w:val="1"/>
                <w:szCs w:val="1"/>
                <w:color w:val="auto"/>
              </w:rPr>
            </w:pPr>
          </w:p>
        </w:tc>
      </w:tr>
      <w:tr>
        <w:trPr>
          <w:trHeight w:val="287"/>
        </w:trPr>
        <w:tc>
          <w:tcPr>
            <w:tcW w:w="2040" w:type="dxa"/>
            <w:vAlign w:val="bottom"/>
          </w:tcPr>
          <w:p>
            <w:pPr>
              <w:ind w:left="140"/>
              <w:spacing w:after="0"/>
              <w:rPr>
                <w:sz w:val="20"/>
                <w:szCs w:val="20"/>
                <w:color w:val="auto"/>
              </w:rPr>
            </w:pPr>
            <w:r>
              <w:rPr>
                <w:rFonts w:ascii="Arial" w:cs="Arial" w:eastAsia="Arial" w:hAnsi="Arial"/>
                <w:sz w:val="12"/>
                <w:szCs w:val="12"/>
                <w:b w:val="1"/>
                <w:bCs w:val="1"/>
                <w:color w:val="003551"/>
              </w:rPr>
              <w:t>William Roberts</w:t>
            </w: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40" w:type="dxa"/>
            <w:vAlign w:val="bottom"/>
          </w:tcPr>
          <w:p>
            <w:pPr>
              <w:ind w:left="140"/>
              <w:spacing w:after="0"/>
              <w:rPr>
                <w:sz w:val="20"/>
                <w:szCs w:val="20"/>
                <w:color w:val="auto"/>
              </w:rPr>
            </w:pPr>
            <w:r>
              <w:rPr>
                <w:rFonts w:ascii="Arial" w:cs="Arial" w:eastAsia="Arial" w:hAnsi="Arial"/>
                <w:sz w:val="12"/>
                <w:szCs w:val="12"/>
                <w:i w:val="1"/>
                <w:iCs w:val="1"/>
                <w:color w:val="003551"/>
              </w:rPr>
              <w:t>Co-Chief Executive Officer</w:t>
            </w:r>
          </w:p>
        </w:tc>
        <w:tc>
          <w:tcPr>
            <w:tcW w:w="620" w:type="dxa"/>
            <w:vAlign w:val="bottom"/>
          </w:tcPr>
          <w:p>
            <w:pPr>
              <w:ind w:left="220"/>
              <w:spacing w:after="0"/>
              <w:rPr>
                <w:sz w:val="20"/>
                <w:szCs w:val="20"/>
                <w:color w:val="auto"/>
              </w:rPr>
            </w:pPr>
            <w:r>
              <w:rPr>
                <w:rFonts w:ascii="Arial" w:cs="Arial" w:eastAsia="Arial" w:hAnsi="Arial"/>
                <w:sz w:val="12"/>
                <w:szCs w:val="12"/>
                <w:color w:val="003551"/>
              </w:rPr>
              <w:t>2024</w:t>
            </w:r>
          </w:p>
        </w:tc>
        <w:tc>
          <w:tcPr>
            <w:tcW w:w="820" w:type="dxa"/>
            <w:vAlign w:val="bottom"/>
          </w:tcPr>
          <w:p>
            <w:pPr>
              <w:ind w:left="100"/>
              <w:spacing w:after="0"/>
              <w:rPr>
                <w:sz w:val="20"/>
                <w:szCs w:val="20"/>
                <w:color w:val="auto"/>
              </w:rPr>
            </w:pPr>
            <w:r>
              <w:rPr>
                <w:rFonts w:ascii="Arial" w:cs="Arial" w:eastAsia="Arial" w:hAnsi="Arial"/>
                <w:sz w:val="12"/>
                <w:szCs w:val="12"/>
                <w:color w:val="003551"/>
              </w:rPr>
              <w:t>$1,595,849</w:t>
            </w:r>
          </w:p>
        </w:tc>
        <w:tc>
          <w:tcPr>
            <w:tcW w:w="900" w:type="dxa"/>
            <w:vAlign w:val="bottom"/>
          </w:tcPr>
          <w:p>
            <w:pPr>
              <w:ind w:left="120"/>
              <w:spacing w:after="0"/>
              <w:rPr>
                <w:sz w:val="20"/>
                <w:szCs w:val="20"/>
                <w:color w:val="auto"/>
              </w:rPr>
            </w:pPr>
            <w:r>
              <w:rPr>
                <w:rFonts w:ascii="Arial" w:cs="Arial" w:eastAsia="Arial" w:hAnsi="Arial"/>
                <w:sz w:val="12"/>
                <w:szCs w:val="12"/>
                <w:color w:val="003551"/>
              </w:rPr>
              <w:t>$3,800,010</w:t>
            </w:r>
          </w:p>
        </w:tc>
        <w:tc>
          <w:tcPr>
            <w:tcW w:w="1740" w:type="dxa"/>
            <w:vAlign w:val="bottom"/>
          </w:tcPr>
          <w:p>
            <w:pPr>
              <w:ind w:left="120"/>
              <w:spacing w:after="0"/>
              <w:rPr>
                <w:sz w:val="20"/>
                <w:szCs w:val="20"/>
                <w:color w:val="auto"/>
              </w:rPr>
            </w:pPr>
            <w:r>
              <w:rPr>
                <w:rFonts w:ascii="Arial" w:cs="Arial" w:eastAsia="Arial" w:hAnsi="Arial"/>
                <w:sz w:val="12"/>
                <w:szCs w:val="12"/>
                <w:color w:val="003551"/>
              </w:rPr>
              <w:t>$1,258,500</w:t>
            </w:r>
          </w:p>
        </w:tc>
        <w:tc>
          <w:tcPr>
            <w:tcW w:w="1220" w:type="dxa"/>
            <w:vAlign w:val="bottom"/>
          </w:tcPr>
          <w:p>
            <w:pPr>
              <w:ind w:left="140"/>
              <w:spacing w:after="0"/>
              <w:rPr>
                <w:sz w:val="20"/>
                <w:szCs w:val="20"/>
                <w:color w:val="auto"/>
              </w:rPr>
            </w:pPr>
            <w:r>
              <w:rPr>
                <w:rFonts w:ascii="Arial" w:cs="Arial" w:eastAsia="Arial" w:hAnsi="Arial"/>
                <w:sz w:val="12"/>
                <w:szCs w:val="12"/>
                <w:color w:val="003551"/>
              </w:rPr>
              <w:t>$17,994</w:t>
            </w:r>
          </w:p>
        </w:tc>
        <w:tc>
          <w:tcPr>
            <w:tcW w:w="900" w:type="dxa"/>
            <w:vAlign w:val="bottom"/>
          </w:tcPr>
          <w:p>
            <w:pPr>
              <w:ind w:left="100"/>
              <w:spacing w:after="0"/>
              <w:rPr>
                <w:sz w:val="20"/>
                <w:szCs w:val="20"/>
                <w:color w:val="auto"/>
              </w:rPr>
            </w:pPr>
            <w:r>
              <w:rPr>
                <w:rFonts w:ascii="Arial" w:cs="Arial" w:eastAsia="Arial" w:hAnsi="Arial"/>
                <w:sz w:val="12"/>
                <w:szCs w:val="12"/>
                <w:color w:val="003551"/>
              </w:rPr>
              <w:t>$6,672,353</w:t>
            </w:r>
          </w:p>
        </w:tc>
        <w:tc>
          <w:tcPr>
            <w:tcW w:w="0" w:type="dxa"/>
            <w:vAlign w:val="bottom"/>
          </w:tcPr>
          <w:p>
            <w:pPr>
              <w:spacing w:after="0"/>
              <w:rPr>
                <w:sz w:val="1"/>
                <w:szCs w:val="1"/>
                <w:color w:val="auto"/>
              </w:rPr>
            </w:pPr>
          </w:p>
        </w:tc>
      </w:tr>
      <w:tr>
        <w:trPr>
          <w:trHeight w:val="367"/>
        </w:trPr>
        <w:tc>
          <w:tcPr>
            <w:tcW w:w="2040" w:type="dxa"/>
            <w:vAlign w:val="bottom"/>
          </w:tcPr>
          <w:p>
            <w:pPr>
              <w:spacing w:after="0"/>
              <w:rPr>
                <w:sz w:val="24"/>
                <w:szCs w:val="24"/>
                <w:color w:val="auto"/>
              </w:rPr>
            </w:pPr>
          </w:p>
        </w:tc>
        <w:tc>
          <w:tcPr>
            <w:tcW w:w="620" w:type="dxa"/>
            <w:vAlign w:val="bottom"/>
          </w:tcPr>
          <w:p>
            <w:pPr>
              <w:ind w:left="220"/>
              <w:spacing w:after="0"/>
              <w:rPr>
                <w:sz w:val="20"/>
                <w:szCs w:val="20"/>
                <w:color w:val="auto"/>
              </w:rPr>
            </w:pPr>
            <w:r>
              <w:rPr>
                <w:rFonts w:ascii="Arial" w:cs="Arial" w:eastAsia="Arial" w:hAnsi="Arial"/>
                <w:sz w:val="12"/>
                <w:szCs w:val="12"/>
                <w:color w:val="003551"/>
              </w:rPr>
              <w:t>2023</w:t>
            </w:r>
          </w:p>
        </w:tc>
        <w:tc>
          <w:tcPr>
            <w:tcW w:w="820" w:type="dxa"/>
            <w:vAlign w:val="bottom"/>
          </w:tcPr>
          <w:p>
            <w:pPr>
              <w:ind w:left="100"/>
              <w:spacing w:after="0"/>
              <w:rPr>
                <w:sz w:val="20"/>
                <w:szCs w:val="20"/>
                <w:color w:val="auto"/>
              </w:rPr>
            </w:pPr>
            <w:r>
              <w:rPr>
                <w:rFonts w:ascii="Arial" w:cs="Arial" w:eastAsia="Arial" w:hAnsi="Arial"/>
                <w:sz w:val="12"/>
                <w:szCs w:val="12"/>
                <w:color w:val="003551"/>
              </w:rPr>
              <w:t>$2,426,711</w:t>
            </w:r>
          </w:p>
        </w:tc>
        <w:tc>
          <w:tcPr>
            <w:tcW w:w="900" w:type="dxa"/>
            <w:vAlign w:val="bottom"/>
          </w:tcPr>
          <w:p>
            <w:pPr>
              <w:ind w:left="120"/>
              <w:spacing w:after="0"/>
              <w:rPr>
                <w:sz w:val="20"/>
                <w:szCs w:val="20"/>
                <w:color w:val="auto"/>
              </w:rPr>
            </w:pPr>
            <w:r>
              <w:rPr>
                <w:rFonts w:ascii="Arial" w:cs="Arial" w:eastAsia="Arial" w:hAnsi="Arial"/>
                <w:sz w:val="12"/>
                <w:szCs w:val="12"/>
                <w:color w:val="003551"/>
              </w:rPr>
              <w:t>$3,800,000</w:t>
            </w:r>
          </w:p>
        </w:tc>
        <w:tc>
          <w:tcPr>
            <w:tcW w:w="1740" w:type="dxa"/>
            <w:vAlign w:val="bottom"/>
          </w:tcPr>
          <w:p>
            <w:pPr>
              <w:ind w:left="120"/>
              <w:spacing w:after="0"/>
              <w:rPr>
                <w:sz w:val="20"/>
                <w:szCs w:val="20"/>
                <w:color w:val="auto"/>
              </w:rPr>
            </w:pPr>
            <w:r>
              <w:rPr>
                <w:rFonts w:ascii="Arial" w:cs="Arial" w:eastAsia="Arial" w:hAnsi="Arial"/>
                <w:sz w:val="12"/>
                <w:szCs w:val="12"/>
                <w:color w:val="003551"/>
              </w:rPr>
              <w:t>529,229</w:t>
            </w:r>
          </w:p>
        </w:tc>
        <w:tc>
          <w:tcPr>
            <w:tcW w:w="1220" w:type="dxa"/>
            <w:vAlign w:val="bottom"/>
          </w:tcPr>
          <w:p>
            <w:pPr>
              <w:ind w:left="140"/>
              <w:spacing w:after="0"/>
              <w:rPr>
                <w:sz w:val="20"/>
                <w:szCs w:val="20"/>
                <w:color w:val="auto"/>
              </w:rPr>
            </w:pPr>
            <w:r>
              <w:rPr>
                <w:rFonts w:ascii="Arial" w:cs="Arial" w:eastAsia="Arial" w:hAnsi="Arial"/>
                <w:sz w:val="12"/>
                <w:szCs w:val="12"/>
                <w:color w:val="003551"/>
              </w:rPr>
              <w:t>$16,936</w:t>
            </w:r>
          </w:p>
        </w:tc>
        <w:tc>
          <w:tcPr>
            <w:tcW w:w="900" w:type="dxa"/>
            <w:vAlign w:val="bottom"/>
          </w:tcPr>
          <w:p>
            <w:pPr>
              <w:ind w:left="100"/>
              <w:spacing w:after="0"/>
              <w:rPr>
                <w:sz w:val="20"/>
                <w:szCs w:val="20"/>
                <w:color w:val="auto"/>
              </w:rPr>
            </w:pPr>
            <w:r>
              <w:rPr>
                <w:rFonts w:ascii="Arial" w:cs="Arial" w:eastAsia="Arial" w:hAnsi="Arial"/>
                <w:sz w:val="12"/>
                <w:szCs w:val="12"/>
                <w:color w:val="003551"/>
              </w:rPr>
              <w:t>$6,772,876</w:t>
            </w:r>
          </w:p>
        </w:tc>
        <w:tc>
          <w:tcPr>
            <w:tcW w:w="0" w:type="dxa"/>
            <w:vAlign w:val="bottom"/>
          </w:tcPr>
          <w:p>
            <w:pPr>
              <w:spacing w:after="0"/>
              <w:rPr>
                <w:sz w:val="1"/>
                <w:szCs w:val="1"/>
                <w:color w:val="auto"/>
              </w:rPr>
            </w:pPr>
          </w:p>
        </w:tc>
      </w:tr>
      <w:tr>
        <w:trPr>
          <w:trHeight w:val="445"/>
        </w:trPr>
        <w:tc>
          <w:tcPr>
            <w:tcW w:w="2040" w:type="dxa"/>
            <w:vAlign w:val="bottom"/>
          </w:tcPr>
          <w:p>
            <w:pPr>
              <w:spacing w:after="0"/>
              <w:rPr>
                <w:sz w:val="24"/>
                <w:szCs w:val="24"/>
                <w:color w:val="auto"/>
              </w:rPr>
            </w:pPr>
          </w:p>
        </w:tc>
        <w:tc>
          <w:tcPr>
            <w:tcW w:w="620" w:type="dxa"/>
            <w:vAlign w:val="bottom"/>
          </w:tcPr>
          <w:p>
            <w:pPr>
              <w:ind w:left="220"/>
              <w:spacing w:after="0"/>
              <w:rPr>
                <w:sz w:val="20"/>
                <w:szCs w:val="20"/>
                <w:color w:val="auto"/>
              </w:rPr>
            </w:pPr>
            <w:r>
              <w:rPr>
                <w:rFonts w:ascii="Arial" w:cs="Arial" w:eastAsia="Arial" w:hAnsi="Arial"/>
                <w:sz w:val="12"/>
                <w:szCs w:val="12"/>
                <w:color w:val="003551"/>
              </w:rPr>
              <w:t>2025</w:t>
            </w:r>
          </w:p>
        </w:tc>
        <w:tc>
          <w:tcPr>
            <w:tcW w:w="820" w:type="dxa"/>
            <w:vAlign w:val="bottom"/>
          </w:tcPr>
          <w:p>
            <w:pPr>
              <w:ind w:left="100"/>
              <w:spacing w:after="0"/>
              <w:rPr>
                <w:sz w:val="20"/>
                <w:szCs w:val="20"/>
                <w:color w:val="auto"/>
              </w:rPr>
            </w:pPr>
            <w:r>
              <w:rPr>
                <w:rFonts w:ascii="Arial" w:cs="Arial" w:eastAsia="Arial" w:hAnsi="Arial"/>
                <w:sz w:val="12"/>
                <w:szCs w:val="12"/>
                <w:color w:val="003551"/>
              </w:rPr>
              <w:t>$964,350</w:t>
            </w:r>
          </w:p>
        </w:tc>
        <w:tc>
          <w:tcPr>
            <w:tcW w:w="900" w:type="dxa"/>
            <w:vAlign w:val="bottom"/>
          </w:tcPr>
          <w:p>
            <w:pPr>
              <w:ind w:left="120"/>
              <w:spacing w:after="0"/>
              <w:rPr>
                <w:sz w:val="20"/>
                <w:szCs w:val="20"/>
                <w:color w:val="auto"/>
              </w:rPr>
            </w:pPr>
            <w:r>
              <w:rPr>
                <w:rFonts w:ascii="Arial" w:cs="Arial" w:eastAsia="Arial" w:hAnsi="Arial"/>
                <w:sz w:val="12"/>
                <w:szCs w:val="12"/>
                <w:color w:val="003551"/>
              </w:rPr>
              <w:t>$69,695,744</w:t>
            </w:r>
          </w:p>
        </w:tc>
        <w:tc>
          <w:tcPr>
            <w:tcW w:w="1740" w:type="dxa"/>
            <w:vAlign w:val="bottom"/>
          </w:tcPr>
          <w:p>
            <w:pPr>
              <w:ind w:left="120"/>
              <w:spacing w:after="0"/>
              <w:rPr>
                <w:sz w:val="20"/>
                <w:szCs w:val="20"/>
                <w:color w:val="auto"/>
              </w:rPr>
            </w:pPr>
            <w:r>
              <w:rPr>
                <w:rFonts w:ascii="Arial" w:cs="Arial" w:eastAsia="Arial" w:hAnsi="Arial"/>
                <w:sz w:val="12"/>
                <w:szCs w:val="12"/>
                <w:color w:val="003551"/>
              </w:rPr>
              <w:t>$1,968,000</w:t>
            </w:r>
          </w:p>
        </w:tc>
        <w:tc>
          <w:tcPr>
            <w:tcW w:w="1220" w:type="dxa"/>
            <w:vAlign w:val="bottom"/>
          </w:tcPr>
          <w:p>
            <w:pPr>
              <w:ind w:left="140"/>
              <w:spacing w:after="0"/>
              <w:rPr>
                <w:sz w:val="20"/>
                <w:szCs w:val="20"/>
                <w:color w:val="auto"/>
              </w:rPr>
            </w:pPr>
            <w:r>
              <w:rPr>
                <w:rFonts w:ascii="Arial" w:cs="Arial" w:eastAsia="Arial" w:hAnsi="Arial"/>
                <w:sz w:val="12"/>
                <w:szCs w:val="12"/>
                <w:color w:val="003551"/>
              </w:rPr>
              <w:t>$19,650</w:t>
            </w:r>
          </w:p>
        </w:tc>
        <w:tc>
          <w:tcPr>
            <w:tcW w:w="900" w:type="dxa"/>
            <w:vAlign w:val="bottom"/>
          </w:tcPr>
          <w:p>
            <w:pPr>
              <w:ind w:left="100"/>
              <w:spacing w:after="0"/>
              <w:rPr>
                <w:sz w:val="20"/>
                <w:szCs w:val="20"/>
                <w:color w:val="auto"/>
              </w:rPr>
            </w:pPr>
            <w:r>
              <w:rPr>
                <w:rFonts w:ascii="Arial" w:cs="Arial" w:eastAsia="Arial" w:hAnsi="Arial"/>
                <w:sz w:val="12"/>
                <w:szCs w:val="12"/>
                <w:color w:val="003551"/>
              </w:rPr>
              <w:t>$72,647,744</w:t>
            </w:r>
          </w:p>
        </w:tc>
        <w:tc>
          <w:tcPr>
            <w:tcW w:w="0" w:type="dxa"/>
            <w:vAlign w:val="bottom"/>
          </w:tcPr>
          <w:p>
            <w:pPr>
              <w:spacing w:after="0"/>
              <w:rPr>
                <w:sz w:val="1"/>
                <w:szCs w:val="1"/>
                <w:color w:val="auto"/>
              </w:rPr>
            </w:pPr>
          </w:p>
        </w:tc>
      </w:tr>
      <w:tr>
        <w:trPr>
          <w:trHeight w:val="287"/>
        </w:trPr>
        <w:tc>
          <w:tcPr>
            <w:tcW w:w="2040" w:type="dxa"/>
            <w:vAlign w:val="bottom"/>
          </w:tcPr>
          <w:p>
            <w:pPr>
              <w:ind w:left="140"/>
              <w:spacing w:after="0"/>
              <w:rPr>
                <w:sz w:val="20"/>
                <w:szCs w:val="20"/>
                <w:color w:val="auto"/>
              </w:rPr>
            </w:pPr>
            <w:r>
              <w:rPr>
                <w:rFonts w:ascii="Arial" w:cs="Arial" w:eastAsia="Arial" w:hAnsi="Arial"/>
                <w:sz w:val="12"/>
                <w:szCs w:val="12"/>
                <w:b w:val="1"/>
                <w:bCs w:val="1"/>
                <w:color w:val="003551"/>
              </w:rPr>
              <w:t>Daniel Roberts</w:t>
            </w: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40" w:type="dxa"/>
            <w:vAlign w:val="bottom"/>
          </w:tcPr>
          <w:p>
            <w:pPr>
              <w:ind w:left="140"/>
              <w:spacing w:after="0"/>
              <w:rPr>
                <w:sz w:val="20"/>
                <w:szCs w:val="20"/>
                <w:color w:val="auto"/>
              </w:rPr>
            </w:pPr>
            <w:r>
              <w:rPr>
                <w:rFonts w:ascii="Arial" w:cs="Arial" w:eastAsia="Arial" w:hAnsi="Arial"/>
                <w:sz w:val="12"/>
                <w:szCs w:val="12"/>
                <w:i w:val="1"/>
                <w:iCs w:val="1"/>
                <w:color w:val="003551"/>
              </w:rPr>
              <w:t>Co-Chief Executive Officer</w:t>
            </w:r>
          </w:p>
        </w:tc>
        <w:tc>
          <w:tcPr>
            <w:tcW w:w="620" w:type="dxa"/>
            <w:vAlign w:val="bottom"/>
          </w:tcPr>
          <w:p>
            <w:pPr>
              <w:ind w:left="220"/>
              <w:spacing w:after="0"/>
              <w:rPr>
                <w:sz w:val="20"/>
                <w:szCs w:val="20"/>
                <w:color w:val="auto"/>
              </w:rPr>
            </w:pPr>
            <w:r>
              <w:rPr>
                <w:rFonts w:ascii="Arial" w:cs="Arial" w:eastAsia="Arial" w:hAnsi="Arial"/>
                <w:sz w:val="12"/>
                <w:szCs w:val="12"/>
                <w:color w:val="003551"/>
              </w:rPr>
              <w:t>2024</w:t>
            </w:r>
          </w:p>
        </w:tc>
        <w:tc>
          <w:tcPr>
            <w:tcW w:w="820" w:type="dxa"/>
            <w:vAlign w:val="bottom"/>
          </w:tcPr>
          <w:p>
            <w:pPr>
              <w:ind w:left="100"/>
              <w:spacing w:after="0"/>
              <w:rPr>
                <w:sz w:val="20"/>
                <w:szCs w:val="20"/>
                <w:color w:val="auto"/>
              </w:rPr>
            </w:pPr>
            <w:r>
              <w:rPr>
                <w:rFonts w:ascii="Arial" w:cs="Arial" w:eastAsia="Arial" w:hAnsi="Arial"/>
                <w:sz w:val="12"/>
                <w:szCs w:val="12"/>
                <w:color w:val="003551"/>
              </w:rPr>
              <w:t>$1,595,849</w:t>
            </w:r>
          </w:p>
        </w:tc>
        <w:tc>
          <w:tcPr>
            <w:tcW w:w="900" w:type="dxa"/>
            <w:vAlign w:val="bottom"/>
          </w:tcPr>
          <w:p>
            <w:pPr>
              <w:ind w:left="120"/>
              <w:spacing w:after="0"/>
              <w:rPr>
                <w:sz w:val="20"/>
                <w:szCs w:val="20"/>
                <w:color w:val="auto"/>
              </w:rPr>
            </w:pPr>
            <w:r>
              <w:rPr>
                <w:rFonts w:ascii="Arial" w:cs="Arial" w:eastAsia="Arial" w:hAnsi="Arial"/>
                <w:sz w:val="12"/>
                <w:szCs w:val="12"/>
                <w:color w:val="003551"/>
              </w:rPr>
              <w:t>$3,800,010</w:t>
            </w:r>
          </w:p>
        </w:tc>
        <w:tc>
          <w:tcPr>
            <w:tcW w:w="1740" w:type="dxa"/>
            <w:vAlign w:val="bottom"/>
          </w:tcPr>
          <w:p>
            <w:pPr>
              <w:ind w:left="120"/>
              <w:spacing w:after="0"/>
              <w:rPr>
                <w:sz w:val="20"/>
                <w:szCs w:val="20"/>
                <w:color w:val="auto"/>
              </w:rPr>
            </w:pPr>
            <w:r>
              <w:rPr>
                <w:rFonts w:ascii="Arial" w:cs="Arial" w:eastAsia="Arial" w:hAnsi="Arial"/>
                <w:sz w:val="12"/>
                <w:szCs w:val="12"/>
                <w:color w:val="003551"/>
              </w:rPr>
              <w:t>$1,258,500</w:t>
            </w:r>
          </w:p>
        </w:tc>
        <w:tc>
          <w:tcPr>
            <w:tcW w:w="1220" w:type="dxa"/>
            <w:vAlign w:val="bottom"/>
          </w:tcPr>
          <w:p>
            <w:pPr>
              <w:ind w:left="140"/>
              <w:spacing w:after="0"/>
              <w:rPr>
                <w:sz w:val="20"/>
                <w:szCs w:val="20"/>
                <w:color w:val="auto"/>
              </w:rPr>
            </w:pPr>
            <w:r>
              <w:rPr>
                <w:rFonts w:ascii="Arial" w:cs="Arial" w:eastAsia="Arial" w:hAnsi="Arial"/>
                <w:sz w:val="12"/>
                <w:szCs w:val="12"/>
                <w:color w:val="003551"/>
              </w:rPr>
              <w:t>$17,994</w:t>
            </w:r>
          </w:p>
        </w:tc>
        <w:tc>
          <w:tcPr>
            <w:tcW w:w="900" w:type="dxa"/>
            <w:vAlign w:val="bottom"/>
          </w:tcPr>
          <w:p>
            <w:pPr>
              <w:ind w:left="100"/>
              <w:spacing w:after="0"/>
              <w:rPr>
                <w:sz w:val="20"/>
                <w:szCs w:val="20"/>
                <w:color w:val="auto"/>
              </w:rPr>
            </w:pPr>
            <w:r>
              <w:rPr>
                <w:rFonts w:ascii="Arial" w:cs="Arial" w:eastAsia="Arial" w:hAnsi="Arial"/>
                <w:sz w:val="12"/>
                <w:szCs w:val="12"/>
                <w:color w:val="003551"/>
              </w:rPr>
              <w:t>$6,672,353</w:t>
            </w:r>
          </w:p>
        </w:tc>
        <w:tc>
          <w:tcPr>
            <w:tcW w:w="0" w:type="dxa"/>
            <w:vAlign w:val="bottom"/>
          </w:tcPr>
          <w:p>
            <w:pPr>
              <w:spacing w:after="0"/>
              <w:rPr>
                <w:sz w:val="1"/>
                <w:szCs w:val="1"/>
                <w:color w:val="auto"/>
              </w:rPr>
            </w:pPr>
          </w:p>
        </w:tc>
      </w:tr>
      <w:tr>
        <w:trPr>
          <w:trHeight w:val="367"/>
        </w:trPr>
        <w:tc>
          <w:tcPr>
            <w:tcW w:w="2040" w:type="dxa"/>
            <w:vAlign w:val="bottom"/>
          </w:tcPr>
          <w:p>
            <w:pPr>
              <w:spacing w:after="0"/>
              <w:rPr>
                <w:sz w:val="24"/>
                <w:szCs w:val="24"/>
                <w:color w:val="auto"/>
              </w:rPr>
            </w:pPr>
          </w:p>
        </w:tc>
        <w:tc>
          <w:tcPr>
            <w:tcW w:w="620" w:type="dxa"/>
            <w:vAlign w:val="bottom"/>
          </w:tcPr>
          <w:p>
            <w:pPr>
              <w:ind w:left="220"/>
              <w:spacing w:after="0"/>
              <w:rPr>
                <w:sz w:val="20"/>
                <w:szCs w:val="20"/>
                <w:color w:val="auto"/>
              </w:rPr>
            </w:pPr>
            <w:r>
              <w:rPr>
                <w:rFonts w:ascii="Arial" w:cs="Arial" w:eastAsia="Arial" w:hAnsi="Arial"/>
                <w:sz w:val="12"/>
                <w:szCs w:val="12"/>
                <w:color w:val="003551"/>
              </w:rPr>
              <w:t>2023</w:t>
            </w:r>
          </w:p>
        </w:tc>
        <w:tc>
          <w:tcPr>
            <w:tcW w:w="820" w:type="dxa"/>
            <w:vAlign w:val="bottom"/>
          </w:tcPr>
          <w:p>
            <w:pPr>
              <w:ind w:left="100"/>
              <w:spacing w:after="0"/>
              <w:rPr>
                <w:sz w:val="20"/>
                <w:szCs w:val="20"/>
                <w:color w:val="auto"/>
              </w:rPr>
            </w:pPr>
            <w:r>
              <w:rPr>
                <w:rFonts w:ascii="Arial" w:cs="Arial" w:eastAsia="Arial" w:hAnsi="Arial"/>
                <w:sz w:val="12"/>
                <w:szCs w:val="12"/>
                <w:color w:val="003551"/>
              </w:rPr>
              <w:t>$2,426,711</w:t>
            </w:r>
          </w:p>
        </w:tc>
        <w:tc>
          <w:tcPr>
            <w:tcW w:w="900" w:type="dxa"/>
            <w:vAlign w:val="bottom"/>
          </w:tcPr>
          <w:p>
            <w:pPr>
              <w:ind w:left="120"/>
              <w:spacing w:after="0"/>
              <w:rPr>
                <w:sz w:val="20"/>
                <w:szCs w:val="20"/>
                <w:color w:val="auto"/>
              </w:rPr>
            </w:pPr>
            <w:r>
              <w:rPr>
                <w:rFonts w:ascii="Arial" w:cs="Arial" w:eastAsia="Arial" w:hAnsi="Arial"/>
                <w:sz w:val="12"/>
                <w:szCs w:val="12"/>
                <w:color w:val="003551"/>
              </w:rPr>
              <w:t>$3,800,000</w:t>
            </w:r>
          </w:p>
        </w:tc>
        <w:tc>
          <w:tcPr>
            <w:tcW w:w="1740" w:type="dxa"/>
            <w:vAlign w:val="bottom"/>
          </w:tcPr>
          <w:p>
            <w:pPr>
              <w:ind w:left="120"/>
              <w:spacing w:after="0"/>
              <w:rPr>
                <w:sz w:val="20"/>
                <w:szCs w:val="20"/>
                <w:color w:val="auto"/>
              </w:rPr>
            </w:pPr>
            <w:r>
              <w:rPr>
                <w:rFonts w:ascii="Arial" w:cs="Arial" w:eastAsia="Arial" w:hAnsi="Arial"/>
                <w:sz w:val="12"/>
                <w:szCs w:val="12"/>
                <w:color w:val="003551"/>
              </w:rPr>
              <w:t>529,229</w:t>
            </w:r>
          </w:p>
        </w:tc>
        <w:tc>
          <w:tcPr>
            <w:tcW w:w="1220" w:type="dxa"/>
            <w:vAlign w:val="bottom"/>
          </w:tcPr>
          <w:p>
            <w:pPr>
              <w:ind w:left="140"/>
              <w:spacing w:after="0"/>
              <w:rPr>
                <w:sz w:val="20"/>
                <w:szCs w:val="20"/>
                <w:color w:val="auto"/>
              </w:rPr>
            </w:pPr>
            <w:r>
              <w:rPr>
                <w:rFonts w:ascii="Arial" w:cs="Arial" w:eastAsia="Arial" w:hAnsi="Arial"/>
                <w:sz w:val="12"/>
                <w:szCs w:val="12"/>
                <w:color w:val="003551"/>
              </w:rPr>
              <w:t>$16,936</w:t>
            </w:r>
          </w:p>
        </w:tc>
        <w:tc>
          <w:tcPr>
            <w:tcW w:w="900" w:type="dxa"/>
            <w:vAlign w:val="bottom"/>
          </w:tcPr>
          <w:p>
            <w:pPr>
              <w:ind w:left="100"/>
              <w:spacing w:after="0"/>
              <w:rPr>
                <w:sz w:val="20"/>
                <w:szCs w:val="20"/>
                <w:color w:val="auto"/>
              </w:rPr>
            </w:pPr>
            <w:r>
              <w:rPr>
                <w:rFonts w:ascii="Arial" w:cs="Arial" w:eastAsia="Arial" w:hAnsi="Arial"/>
                <w:sz w:val="12"/>
                <w:szCs w:val="12"/>
                <w:color w:val="003551"/>
              </w:rPr>
              <w:t>$6,772,876</w:t>
            </w:r>
          </w:p>
        </w:tc>
        <w:tc>
          <w:tcPr>
            <w:tcW w:w="0" w:type="dxa"/>
            <w:vAlign w:val="bottom"/>
          </w:tcPr>
          <w:p>
            <w:pPr>
              <w:spacing w:after="0"/>
              <w:rPr>
                <w:sz w:val="1"/>
                <w:szCs w:val="1"/>
                <w:color w:val="auto"/>
              </w:rPr>
            </w:pPr>
          </w:p>
        </w:tc>
      </w:tr>
      <w:tr>
        <w:trPr>
          <w:trHeight w:val="458"/>
        </w:trPr>
        <w:tc>
          <w:tcPr>
            <w:tcW w:w="2040" w:type="dxa"/>
            <w:vAlign w:val="bottom"/>
          </w:tcPr>
          <w:p>
            <w:pPr>
              <w:spacing w:after="0"/>
              <w:rPr>
                <w:sz w:val="24"/>
                <w:szCs w:val="24"/>
                <w:color w:val="auto"/>
              </w:rPr>
            </w:pPr>
          </w:p>
        </w:tc>
        <w:tc>
          <w:tcPr>
            <w:tcW w:w="620" w:type="dxa"/>
            <w:vAlign w:val="bottom"/>
          </w:tcPr>
          <w:p>
            <w:pPr>
              <w:ind w:left="220"/>
              <w:spacing w:after="0"/>
              <w:rPr>
                <w:sz w:val="20"/>
                <w:szCs w:val="20"/>
                <w:color w:val="auto"/>
              </w:rPr>
            </w:pPr>
            <w:r>
              <w:rPr>
                <w:rFonts w:ascii="Arial" w:cs="Arial" w:eastAsia="Arial" w:hAnsi="Arial"/>
                <w:sz w:val="12"/>
                <w:szCs w:val="12"/>
                <w:color w:val="003551"/>
              </w:rPr>
              <w:t>2025</w:t>
            </w:r>
          </w:p>
        </w:tc>
        <w:tc>
          <w:tcPr>
            <w:tcW w:w="820" w:type="dxa"/>
            <w:vAlign w:val="bottom"/>
          </w:tcPr>
          <w:p>
            <w:pPr>
              <w:ind w:left="100"/>
              <w:spacing w:after="0"/>
              <w:rPr>
                <w:sz w:val="20"/>
                <w:szCs w:val="20"/>
                <w:color w:val="auto"/>
              </w:rPr>
            </w:pPr>
            <w:r>
              <w:rPr>
                <w:rFonts w:ascii="Arial" w:cs="Arial" w:eastAsia="Arial" w:hAnsi="Arial"/>
                <w:sz w:val="12"/>
                <w:szCs w:val="12"/>
                <w:color w:val="003551"/>
              </w:rPr>
              <w:t>$303,363</w:t>
            </w:r>
          </w:p>
        </w:tc>
        <w:tc>
          <w:tcPr>
            <w:tcW w:w="900" w:type="dxa"/>
            <w:vAlign w:val="bottom"/>
          </w:tcPr>
          <w:p>
            <w:pPr>
              <w:ind w:left="120"/>
              <w:spacing w:after="0"/>
              <w:rPr>
                <w:sz w:val="20"/>
                <w:szCs w:val="20"/>
                <w:color w:val="auto"/>
              </w:rPr>
            </w:pPr>
            <w:r>
              <w:rPr>
                <w:rFonts w:ascii="Arial" w:cs="Arial" w:eastAsia="Arial" w:hAnsi="Arial"/>
                <w:sz w:val="12"/>
                <w:szCs w:val="12"/>
                <w:color w:val="003551"/>
              </w:rPr>
              <w:t>$1,611,511</w:t>
            </w:r>
          </w:p>
        </w:tc>
        <w:tc>
          <w:tcPr>
            <w:tcW w:w="1740" w:type="dxa"/>
            <w:vAlign w:val="bottom"/>
          </w:tcPr>
          <w:p>
            <w:pPr>
              <w:ind w:left="120"/>
              <w:spacing w:after="0"/>
              <w:rPr>
                <w:sz w:val="20"/>
                <w:szCs w:val="20"/>
                <w:color w:val="auto"/>
              </w:rPr>
            </w:pPr>
            <w:r>
              <w:rPr>
                <w:rFonts w:ascii="Arial" w:cs="Arial" w:eastAsia="Arial" w:hAnsi="Arial"/>
                <w:sz w:val="12"/>
                <w:szCs w:val="12"/>
                <w:color w:val="003551"/>
              </w:rPr>
              <w:t>$387,216</w:t>
            </w:r>
          </w:p>
        </w:tc>
        <w:tc>
          <w:tcPr>
            <w:tcW w:w="1220" w:type="dxa"/>
            <w:vAlign w:val="bottom"/>
          </w:tcPr>
          <w:p>
            <w:pPr>
              <w:ind w:left="140"/>
              <w:spacing w:after="0"/>
              <w:rPr>
                <w:sz w:val="20"/>
                <w:szCs w:val="20"/>
                <w:color w:val="auto"/>
              </w:rPr>
            </w:pPr>
            <w:r>
              <w:rPr>
                <w:rFonts w:ascii="Arial" w:cs="Arial" w:eastAsia="Arial" w:hAnsi="Arial"/>
                <w:sz w:val="12"/>
                <w:szCs w:val="12"/>
                <w:color w:val="003551"/>
              </w:rPr>
              <w:t>$19,317</w:t>
            </w:r>
          </w:p>
        </w:tc>
        <w:tc>
          <w:tcPr>
            <w:tcW w:w="900" w:type="dxa"/>
            <w:vAlign w:val="bottom"/>
          </w:tcPr>
          <w:p>
            <w:pPr>
              <w:ind w:left="100"/>
              <w:spacing w:after="0"/>
              <w:rPr>
                <w:sz w:val="20"/>
                <w:szCs w:val="20"/>
                <w:color w:val="auto"/>
              </w:rPr>
            </w:pPr>
            <w:r>
              <w:rPr>
                <w:rFonts w:ascii="Arial" w:cs="Arial" w:eastAsia="Arial" w:hAnsi="Arial"/>
                <w:sz w:val="12"/>
                <w:szCs w:val="12"/>
                <w:color w:val="003551"/>
              </w:rPr>
              <w:t>$2,321,407</w:t>
            </w:r>
          </w:p>
        </w:tc>
        <w:tc>
          <w:tcPr>
            <w:tcW w:w="0" w:type="dxa"/>
            <w:vAlign w:val="bottom"/>
          </w:tcPr>
          <w:p>
            <w:pPr>
              <w:spacing w:after="0"/>
              <w:rPr>
                <w:sz w:val="1"/>
                <w:szCs w:val="1"/>
                <w:color w:val="auto"/>
              </w:rPr>
            </w:pPr>
          </w:p>
        </w:tc>
      </w:tr>
      <w:tr>
        <w:trPr>
          <w:trHeight w:val="287"/>
        </w:trPr>
        <w:tc>
          <w:tcPr>
            <w:tcW w:w="2040" w:type="dxa"/>
            <w:vAlign w:val="bottom"/>
          </w:tcPr>
          <w:p>
            <w:pPr>
              <w:ind w:left="140"/>
              <w:spacing w:after="0"/>
              <w:rPr>
                <w:sz w:val="20"/>
                <w:szCs w:val="20"/>
                <w:color w:val="auto"/>
              </w:rPr>
            </w:pPr>
            <w:r>
              <w:rPr>
                <w:rFonts w:ascii="Arial" w:cs="Arial" w:eastAsia="Arial" w:hAnsi="Arial"/>
                <w:sz w:val="12"/>
                <w:szCs w:val="12"/>
                <w:b w:val="1"/>
                <w:bCs w:val="1"/>
                <w:color w:val="003551"/>
              </w:rPr>
              <w:t>Belinda Nucifora</w:t>
            </w:r>
            <w:r>
              <w:rPr>
                <w:rFonts w:ascii="Arial" w:cs="Arial" w:eastAsia="Arial" w:hAnsi="Arial"/>
                <w:sz w:val="20"/>
                <w:szCs w:val="20"/>
                <w:color w:val="003551"/>
                <w:vertAlign w:val="superscript"/>
              </w:rPr>
              <w:t>(5)</w:t>
            </w:r>
          </w:p>
        </w:tc>
        <w:tc>
          <w:tcPr>
            <w:tcW w:w="620" w:type="dxa"/>
            <w:vAlign w:val="bottom"/>
            <w:vMerge w:val="restart"/>
          </w:tcPr>
          <w:p>
            <w:pPr>
              <w:ind w:left="220"/>
              <w:spacing w:after="0"/>
              <w:rPr>
                <w:sz w:val="20"/>
                <w:szCs w:val="20"/>
                <w:color w:val="auto"/>
              </w:rPr>
            </w:pPr>
            <w:r>
              <w:rPr>
                <w:rFonts w:ascii="Arial" w:cs="Arial" w:eastAsia="Arial" w:hAnsi="Arial"/>
                <w:sz w:val="12"/>
                <w:szCs w:val="12"/>
                <w:color w:val="003551"/>
              </w:rPr>
              <w:t>2024</w:t>
            </w:r>
          </w:p>
        </w:tc>
        <w:tc>
          <w:tcPr>
            <w:tcW w:w="820" w:type="dxa"/>
            <w:vAlign w:val="bottom"/>
            <w:vMerge w:val="restart"/>
          </w:tcPr>
          <w:p>
            <w:pPr>
              <w:ind w:left="100"/>
              <w:spacing w:after="0"/>
              <w:rPr>
                <w:sz w:val="20"/>
                <w:szCs w:val="20"/>
                <w:color w:val="auto"/>
              </w:rPr>
            </w:pPr>
            <w:r>
              <w:rPr>
                <w:rFonts w:ascii="Arial" w:cs="Arial" w:eastAsia="Arial" w:hAnsi="Arial"/>
                <w:sz w:val="12"/>
                <w:szCs w:val="12"/>
                <w:color w:val="003551"/>
              </w:rPr>
              <w:t>$287,397</w:t>
            </w:r>
          </w:p>
        </w:tc>
        <w:tc>
          <w:tcPr>
            <w:tcW w:w="900" w:type="dxa"/>
            <w:vAlign w:val="bottom"/>
            <w:vMerge w:val="restart"/>
          </w:tcPr>
          <w:p>
            <w:pPr>
              <w:ind w:left="120"/>
              <w:spacing w:after="0"/>
              <w:rPr>
                <w:sz w:val="20"/>
                <w:szCs w:val="20"/>
                <w:color w:val="auto"/>
              </w:rPr>
            </w:pPr>
            <w:r>
              <w:rPr>
                <w:rFonts w:ascii="Arial" w:cs="Arial" w:eastAsia="Arial" w:hAnsi="Arial"/>
                <w:sz w:val="12"/>
                <w:szCs w:val="12"/>
                <w:color w:val="003551"/>
              </w:rPr>
              <w:t>$310,861</w:t>
            </w:r>
          </w:p>
        </w:tc>
        <w:tc>
          <w:tcPr>
            <w:tcW w:w="1740" w:type="dxa"/>
            <w:vAlign w:val="bottom"/>
            <w:vMerge w:val="restart"/>
          </w:tcPr>
          <w:p>
            <w:pPr>
              <w:ind w:left="120"/>
              <w:spacing w:after="0"/>
              <w:rPr>
                <w:sz w:val="20"/>
                <w:szCs w:val="20"/>
                <w:color w:val="auto"/>
              </w:rPr>
            </w:pPr>
            <w:r>
              <w:rPr>
                <w:rFonts w:ascii="Arial" w:cs="Arial" w:eastAsia="Arial" w:hAnsi="Arial"/>
                <w:sz w:val="12"/>
                <w:szCs w:val="12"/>
                <w:color w:val="003551"/>
              </w:rPr>
              <w:t>$305,391</w:t>
            </w:r>
          </w:p>
        </w:tc>
        <w:tc>
          <w:tcPr>
            <w:tcW w:w="1220" w:type="dxa"/>
            <w:vAlign w:val="bottom"/>
            <w:vMerge w:val="restart"/>
          </w:tcPr>
          <w:p>
            <w:pPr>
              <w:ind w:left="140"/>
              <w:spacing w:after="0"/>
              <w:rPr>
                <w:sz w:val="20"/>
                <w:szCs w:val="20"/>
                <w:color w:val="auto"/>
              </w:rPr>
            </w:pPr>
            <w:r>
              <w:rPr>
                <w:rFonts w:ascii="Arial" w:cs="Arial" w:eastAsia="Arial" w:hAnsi="Arial"/>
                <w:sz w:val="12"/>
                <w:szCs w:val="12"/>
                <w:color w:val="003551"/>
              </w:rPr>
              <w:t>$17,994</w:t>
            </w:r>
          </w:p>
        </w:tc>
        <w:tc>
          <w:tcPr>
            <w:tcW w:w="900" w:type="dxa"/>
            <w:vAlign w:val="bottom"/>
            <w:vMerge w:val="restart"/>
          </w:tcPr>
          <w:p>
            <w:pPr>
              <w:ind w:left="100"/>
              <w:spacing w:after="0"/>
              <w:rPr>
                <w:sz w:val="20"/>
                <w:szCs w:val="20"/>
                <w:color w:val="auto"/>
              </w:rPr>
            </w:pPr>
            <w:r>
              <w:rPr>
                <w:rFonts w:ascii="Arial" w:cs="Arial" w:eastAsia="Arial" w:hAnsi="Arial"/>
                <w:sz w:val="12"/>
                <w:szCs w:val="12"/>
                <w:color w:val="003551"/>
              </w:rPr>
              <w:t>$921,643</w:t>
            </w:r>
          </w:p>
        </w:tc>
        <w:tc>
          <w:tcPr>
            <w:tcW w:w="0" w:type="dxa"/>
            <w:vAlign w:val="bottom"/>
          </w:tcPr>
          <w:p>
            <w:pPr>
              <w:spacing w:after="0"/>
              <w:rPr>
                <w:sz w:val="1"/>
                <w:szCs w:val="1"/>
                <w:color w:val="auto"/>
              </w:rPr>
            </w:pPr>
          </w:p>
        </w:tc>
      </w:tr>
      <w:tr>
        <w:trPr>
          <w:trHeight w:val="159"/>
        </w:trPr>
        <w:tc>
          <w:tcPr>
            <w:tcW w:w="2040" w:type="dxa"/>
            <w:vAlign w:val="bottom"/>
          </w:tcPr>
          <w:p>
            <w:pPr>
              <w:ind w:left="140"/>
              <w:spacing w:after="0"/>
              <w:rPr>
                <w:sz w:val="20"/>
                <w:szCs w:val="20"/>
                <w:color w:val="auto"/>
              </w:rPr>
            </w:pPr>
            <w:r>
              <w:rPr>
                <w:rFonts w:ascii="Arial" w:cs="Arial" w:eastAsia="Arial" w:hAnsi="Arial"/>
                <w:sz w:val="12"/>
                <w:szCs w:val="12"/>
                <w:i w:val="1"/>
                <w:iCs w:val="1"/>
                <w:color w:val="003551"/>
              </w:rPr>
              <w:t>Former Chief Financial Officer</w:t>
            </w:r>
          </w:p>
        </w:tc>
        <w:tc>
          <w:tcPr>
            <w:tcW w:w="62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74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2040" w:type="dxa"/>
            <w:vAlign w:val="bottom"/>
          </w:tcPr>
          <w:p>
            <w:pPr>
              <w:spacing w:after="0"/>
              <w:rPr>
                <w:sz w:val="24"/>
                <w:szCs w:val="24"/>
                <w:color w:val="auto"/>
              </w:rPr>
            </w:pPr>
          </w:p>
        </w:tc>
        <w:tc>
          <w:tcPr>
            <w:tcW w:w="620" w:type="dxa"/>
            <w:vAlign w:val="bottom"/>
          </w:tcPr>
          <w:p>
            <w:pPr>
              <w:ind w:left="220"/>
              <w:spacing w:after="0"/>
              <w:rPr>
                <w:sz w:val="20"/>
                <w:szCs w:val="20"/>
                <w:color w:val="auto"/>
              </w:rPr>
            </w:pPr>
            <w:r>
              <w:rPr>
                <w:rFonts w:ascii="Arial" w:cs="Arial" w:eastAsia="Arial" w:hAnsi="Arial"/>
                <w:sz w:val="12"/>
                <w:szCs w:val="12"/>
                <w:color w:val="003551"/>
              </w:rPr>
              <w:t>2023</w:t>
            </w:r>
          </w:p>
        </w:tc>
        <w:tc>
          <w:tcPr>
            <w:tcW w:w="820" w:type="dxa"/>
            <w:vAlign w:val="bottom"/>
          </w:tcPr>
          <w:p>
            <w:pPr>
              <w:ind w:left="100"/>
              <w:spacing w:after="0"/>
              <w:rPr>
                <w:sz w:val="20"/>
                <w:szCs w:val="20"/>
                <w:color w:val="auto"/>
              </w:rPr>
            </w:pPr>
            <w:r>
              <w:rPr>
                <w:rFonts w:ascii="Arial" w:cs="Arial" w:eastAsia="Arial" w:hAnsi="Arial"/>
                <w:sz w:val="12"/>
                <w:szCs w:val="12"/>
                <w:color w:val="003551"/>
              </w:rPr>
              <w:t>$260,945</w:t>
            </w:r>
          </w:p>
        </w:tc>
        <w:tc>
          <w:tcPr>
            <w:tcW w:w="900" w:type="dxa"/>
            <w:vAlign w:val="bottom"/>
          </w:tcPr>
          <w:p>
            <w:pPr>
              <w:ind w:left="120"/>
              <w:spacing w:after="0"/>
              <w:rPr>
                <w:sz w:val="20"/>
                <w:szCs w:val="20"/>
                <w:color w:val="auto"/>
              </w:rPr>
            </w:pPr>
            <w:r>
              <w:rPr>
                <w:rFonts w:ascii="Arial" w:cs="Arial" w:eastAsia="Arial" w:hAnsi="Arial"/>
                <w:sz w:val="12"/>
                <w:szCs w:val="12"/>
                <w:color w:val="003551"/>
              </w:rPr>
              <w:t>$291,910</w:t>
            </w:r>
          </w:p>
        </w:tc>
        <w:tc>
          <w:tcPr>
            <w:tcW w:w="1740" w:type="dxa"/>
            <w:vAlign w:val="bottom"/>
          </w:tcPr>
          <w:p>
            <w:pPr>
              <w:ind w:left="120"/>
              <w:spacing w:after="0"/>
              <w:rPr>
                <w:sz w:val="20"/>
                <w:szCs w:val="20"/>
                <w:color w:val="auto"/>
              </w:rPr>
            </w:pPr>
            <w:r>
              <w:rPr>
                <w:rFonts w:ascii="Arial" w:cs="Arial" w:eastAsia="Arial" w:hAnsi="Arial"/>
                <w:sz w:val="12"/>
                <w:szCs w:val="12"/>
                <w:color w:val="003551"/>
              </w:rPr>
              <w:t>$255,912</w:t>
            </w:r>
          </w:p>
        </w:tc>
        <w:tc>
          <w:tcPr>
            <w:tcW w:w="1220" w:type="dxa"/>
            <w:vAlign w:val="bottom"/>
          </w:tcPr>
          <w:p>
            <w:pPr>
              <w:ind w:left="140"/>
              <w:spacing w:after="0"/>
              <w:rPr>
                <w:sz w:val="20"/>
                <w:szCs w:val="20"/>
                <w:color w:val="auto"/>
              </w:rPr>
            </w:pPr>
            <w:r>
              <w:rPr>
                <w:rFonts w:ascii="Arial" w:cs="Arial" w:eastAsia="Arial" w:hAnsi="Arial"/>
                <w:sz w:val="12"/>
                <w:szCs w:val="12"/>
                <w:color w:val="003551"/>
              </w:rPr>
              <w:t>$16,936</w:t>
            </w:r>
          </w:p>
        </w:tc>
        <w:tc>
          <w:tcPr>
            <w:tcW w:w="900" w:type="dxa"/>
            <w:vAlign w:val="bottom"/>
          </w:tcPr>
          <w:p>
            <w:pPr>
              <w:ind w:left="100"/>
              <w:spacing w:after="0"/>
              <w:rPr>
                <w:sz w:val="20"/>
                <w:szCs w:val="20"/>
                <w:color w:val="auto"/>
              </w:rPr>
            </w:pPr>
            <w:r>
              <w:rPr>
                <w:rFonts w:ascii="Arial" w:cs="Arial" w:eastAsia="Arial" w:hAnsi="Arial"/>
                <w:sz w:val="12"/>
                <w:szCs w:val="12"/>
                <w:color w:val="003551"/>
              </w:rPr>
              <w:t>$825,703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-1537335</wp:posOffset>
            </wp:positionV>
            <wp:extent cx="522351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223510"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-730250</wp:posOffset>
            </wp:positionV>
            <wp:extent cx="522351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223510" cy="8255"/>
                    </a:xfrm>
                    <a:prstGeom prst="rect">
                      <a:avLst/>
                    </a:prstGeom>
                    <a:noFill/>
                  </pic:spPr>
                </pic:pic>
              </a:graphicData>
            </a:graphic>
          </wp:anchor>
        </w:drawing>
      </w:r>
    </w:p>
    <w:p>
      <w:pPr>
        <w:spacing w:after="0" w:line="214" w:lineRule="exact"/>
        <w:rPr>
          <w:sz w:val="20"/>
          <w:szCs w:val="20"/>
          <w:color w:val="auto"/>
        </w:rPr>
      </w:pPr>
    </w:p>
    <w:p>
      <w:pPr>
        <w:jc w:val="both"/>
        <w:ind w:left="1280" w:right="740" w:hanging="337"/>
        <w:spacing w:after="0" w:line="235" w:lineRule="auto"/>
        <w:tabs>
          <w:tab w:leader="none" w:pos="1280" w:val="left"/>
        </w:tabs>
        <w:numPr>
          <w:ilvl w:val="0"/>
          <w:numId w:val="33"/>
        </w:numPr>
        <w:rPr>
          <w:rFonts w:ascii="Arial" w:cs="Arial" w:eastAsia="Arial" w:hAnsi="Arial"/>
          <w:sz w:val="12"/>
          <w:szCs w:val="12"/>
          <w:i w:val="1"/>
          <w:iCs w:val="1"/>
          <w:color w:val="003551"/>
        </w:rPr>
      </w:pPr>
      <w:r>
        <w:rPr>
          <w:rFonts w:ascii="Arial" w:cs="Arial" w:eastAsia="Arial" w:hAnsi="Arial"/>
          <w:sz w:val="12"/>
          <w:szCs w:val="12"/>
          <w:i w:val="1"/>
          <w:iCs w:val="1"/>
          <w:color w:val="003551"/>
        </w:rPr>
        <w:t>The amounts shown in this column represent the grant date fair value of TRSUs and PRSUs granted to the NEOs, calculated in accordance with FASB ASC Topic 718, excluding the effect of estimated forfeitures. The grant date fair value of the TRSUs and PRSUs in this column is estimated using the closing share price on the grant date and Monte-Carlo simulations and, in the case of the PRSUs, based on the probable outcome of the performance conditions as of the grant date. The assumptions that we used to calculate these amounts are discussed in Notes 2 and 20 to our audited financial statements in IREN’s Annual Report on Form 10-K for Fiscal 2025. The grant date value of the PRSUs granted to our NEOs in Fiscal 2025 and reported in the table above, assuming the highest level of achievement of the applicable performance conditions, is as follows:</w:t>
      </w:r>
    </w:p>
    <w:p>
      <w:pPr>
        <w:spacing w:after="0" w:line="109" w:lineRule="exact"/>
        <w:rPr>
          <w:sz w:val="20"/>
          <w:szCs w:val="20"/>
          <w:color w:val="auto"/>
        </w:rPr>
      </w:pPr>
    </w:p>
    <w:tbl>
      <w:tblPr>
        <w:tblLayout w:type="fixed"/>
        <w:tblInd w:w="1280" w:type="dxa"/>
        <w:tblCellMar>
          <w:top w:w="0" w:type="dxa"/>
          <w:left w:w="0" w:type="dxa"/>
          <w:bottom w:w="0" w:type="dxa"/>
          <w:right w:w="0" w:type="dxa"/>
        </w:tblCellMar>
      </w:tblPr>
      <w:tr>
        <w:trPr>
          <w:trHeight w:val="340"/>
        </w:trPr>
        <w:tc>
          <w:tcPr>
            <w:tcW w:w="2000" w:type="dxa"/>
            <w:vAlign w:val="bottom"/>
            <w:shd w:val="clear" w:color="auto" w:fill="77C483"/>
          </w:tcPr>
          <w:p>
            <w:pPr>
              <w:ind w:left="160"/>
              <w:spacing w:after="0"/>
              <w:rPr>
                <w:sz w:val="20"/>
                <w:szCs w:val="20"/>
                <w:color w:val="auto"/>
              </w:rPr>
            </w:pPr>
            <w:r>
              <w:rPr>
                <w:rFonts w:ascii="Arial" w:cs="Arial" w:eastAsia="Arial" w:hAnsi="Arial"/>
                <w:sz w:val="14"/>
                <w:szCs w:val="14"/>
                <w:b w:val="1"/>
                <w:bCs w:val="1"/>
                <w:color w:val="003551"/>
              </w:rPr>
              <w:t>Name</w:t>
            </w:r>
          </w:p>
        </w:tc>
        <w:tc>
          <w:tcPr>
            <w:tcW w:w="2700" w:type="dxa"/>
            <w:vAlign w:val="bottom"/>
            <w:shd w:val="clear" w:color="auto" w:fill="77C483"/>
          </w:tcPr>
          <w:p>
            <w:pPr>
              <w:ind w:left="740"/>
              <w:spacing w:after="0"/>
              <w:rPr>
                <w:sz w:val="20"/>
                <w:szCs w:val="20"/>
                <w:color w:val="auto"/>
              </w:rPr>
            </w:pPr>
            <w:r>
              <w:rPr>
                <w:rFonts w:ascii="Arial" w:cs="Arial" w:eastAsia="Arial" w:hAnsi="Arial"/>
                <w:sz w:val="14"/>
                <w:szCs w:val="14"/>
                <w:b w:val="1"/>
                <w:bCs w:val="1"/>
                <w:color w:val="003551"/>
              </w:rPr>
              <w:t>2025 Annual PRSUs</w:t>
            </w:r>
          </w:p>
        </w:tc>
        <w:tc>
          <w:tcPr>
            <w:tcW w:w="3180" w:type="dxa"/>
            <w:vAlign w:val="bottom"/>
            <w:shd w:val="clear" w:color="auto" w:fill="77C483"/>
          </w:tcPr>
          <w:p>
            <w:pPr>
              <w:ind w:left="660"/>
              <w:spacing w:after="0"/>
              <w:rPr>
                <w:sz w:val="20"/>
                <w:szCs w:val="20"/>
                <w:color w:val="auto"/>
              </w:rPr>
            </w:pPr>
            <w:r>
              <w:rPr>
                <w:rFonts w:ascii="Arial" w:cs="Arial" w:eastAsia="Arial" w:hAnsi="Arial"/>
                <w:sz w:val="14"/>
                <w:szCs w:val="14"/>
                <w:b w:val="1"/>
                <w:bCs w:val="1"/>
                <w:color w:val="003551"/>
              </w:rPr>
              <w:t>2025 Retention PRSUs</w:t>
            </w:r>
          </w:p>
        </w:tc>
      </w:tr>
      <w:tr>
        <w:trPr>
          <w:trHeight w:val="92"/>
        </w:trPr>
        <w:tc>
          <w:tcPr>
            <w:tcW w:w="2000" w:type="dxa"/>
            <w:vAlign w:val="bottom"/>
            <w:tcBorders>
              <w:bottom w:val="single" w:sz="8" w:color="003551"/>
            </w:tcBorders>
            <w:shd w:val="clear" w:color="auto" w:fill="77C483"/>
          </w:tcPr>
          <w:p>
            <w:pPr>
              <w:spacing w:after="0"/>
              <w:rPr>
                <w:sz w:val="8"/>
                <w:szCs w:val="8"/>
                <w:color w:val="auto"/>
              </w:rPr>
            </w:pPr>
          </w:p>
        </w:tc>
        <w:tc>
          <w:tcPr>
            <w:tcW w:w="2700" w:type="dxa"/>
            <w:vAlign w:val="bottom"/>
            <w:tcBorders>
              <w:bottom w:val="single" w:sz="8" w:color="003551"/>
            </w:tcBorders>
            <w:shd w:val="clear" w:color="auto" w:fill="77C483"/>
          </w:tcPr>
          <w:p>
            <w:pPr>
              <w:spacing w:after="0"/>
              <w:rPr>
                <w:sz w:val="8"/>
                <w:szCs w:val="8"/>
                <w:color w:val="auto"/>
              </w:rPr>
            </w:pPr>
          </w:p>
        </w:tc>
        <w:tc>
          <w:tcPr>
            <w:tcW w:w="3180" w:type="dxa"/>
            <w:vAlign w:val="bottom"/>
            <w:tcBorders>
              <w:bottom w:val="single" w:sz="8" w:color="003551"/>
            </w:tcBorders>
            <w:shd w:val="clear" w:color="auto" w:fill="77C483"/>
          </w:tcPr>
          <w:p>
            <w:pPr>
              <w:spacing w:after="0"/>
              <w:rPr>
                <w:sz w:val="8"/>
                <w:szCs w:val="8"/>
                <w:color w:val="auto"/>
              </w:rPr>
            </w:pPr>
          </w:p>
        </w:tc>
      </w:tr>
      <w:tr>
        <w:trPr>
          <w:trHeight w:val="294"/>
        </w:trPr>
        <w:tc>
          <w:tcPr>
            <w:tcW w:w="2000" w:type="dxa"/>
            <w:vAlign w:val="bottom"/>
          </w:tcPr>
          <w:p>
            <w:pPr>
              <w:ind w:left="160"/>
              <w:spacing w:after="0"/>
              <w:rPr>
                <w:sz w:val="20"/>
                <w:szCs w:val="20"/>
                <w:color w:val="auto"/>
              </w:rPr>
            </w:pPr>
            <w:r>
              <w:rPr>
                <w:rFonts w:ascii="Arial" w:cs="Arial" w:eastAsia="Arial" w:hAnsi="Arial"/>
                <w:sz w:val="14"/>
                <w:szCs w:val="14"/>
                <w:b w:val="1"/>
                <w:bCs w:val="1"/>
                <w:color w:val="003551"/>
              </w:rPr>
              <w:t>William Roberts</w:t>
            </w:r>
          </w:p>
        </w:tc>
        <w:tc>
          <w:tcPr>
            <w:tcW w:w="2700" w:type="dxa"/>
            <w:vAlign w:val="bottom"/>
          </w:tcPr>
          <w:p>
            <w:pPr>
              <w:ind w:left="740"/>
              <w:spacing w:after="0"/>
              <w:rPr>
                <w:sz w:val="20"/>
                <w:szCs w:val="20"/>
                <w:color w:val="auto"/>
              </w:rPr>
            </w:pPr>
            <w:r>
              <w:rPr>
                <w:rFonts w:ascii="Arial" w:cs="Arial" w:eastAsia="Arial" w:hAnsi="Arial"/>
                <w:sz w:val="14"/>
                <w:szCs w:val="14"/>
                <w:color w:val="003551"/>
              </w:rPr>
              <w:t>$8,000,026</w:t>
            </w:r>
          </w:p>
        </w:tc>
        <w:tc>
          <w:tcPr>
            <w:tcW w:w="3180" w:type="dxa"/>
            <w:vAlign w:val="bottom"/>
          </w:tcPr>
          <w:p>
            <w:pPr>
              <w:ind w:left="660"/>
              <w:spacing w:after="0"/>
              <w:rPr>
                <w:sz w:val="20"/>
                <w:szCs w:val="20"/>
                <w:color w:val="auto"/>
              </w:rPr>
            </w:pPr>
            <w:r>
              <w:rPr>
                <w:rFonts w:ascii="Arial" w:cs="Arial" w:eastAsia="Arial" w:hAnsi="Arial"/>
                <w:sz w:val="14"/>
                <w:szCs w:val="14"/>
                <w:color w:val="003551"/>
              </w:rPr>
              <w:t>$11,899,360</w:t>
            </w:r>
          </w:p>
        </w:tc>
      </w:tr>
      <w:tr>
        <w:trPr>
          <w:trHeight w:val="393"/>
        </w:trPr>
        <w:tc>
          <w:tcPr>
            <w:tcW w:w="2000" w:type="dxa"/>
            <w:vAlign w:val="bottom"/>
          </w:tcPr>
          <w:p>
            <w:pPr>
              <w:ind w:left="160"/>
              <w:spacing w:after="0"/>
              <w:rPr>
                <w:sz w:val="20"/>
                <w:szCs w:val="20"/>
                <w:color w:val="auto"/>
              </w:rPr>
            </w:pPr>
            <w:r>
              <w:rPr>
                <w:rFonts w:ascii="Arial" w:cs="Arial" w:eastAsia="Arial" w:hAnsi="Arial"/>
                <w:sz w:val="14"/>
                <w:szCs w:val="14"/>
                <w:b w:val="1"/>
                <w:bCs w:val="1"/>
                <w:color w:val="003551"/>
              </w:rPr>
              <w:t>Daniel Roberts</w:t>
            </w:r>
          </w:p>
        </w:tc>
        <w:tc>
          <w:tcPr>
            <w:tcW w:w="2700" w:type="dxa"/>
            <w:vAlign w:val="bottom"/>
          </w:tcPr>
          <w:p>
            <w:pPr>
              <w:ind w:left="740"/>
              <w:spacing w:after="0"/>
              <w:rPr>
                <w:sz w:val="20"/>
                <w:szCs w:val="20"/>
                <w:color w:val="auto"/>
              </w:rPr>
            </w:pPr>
            <w:r>
              <w:rPr>
                <w:rFonts w:ascii="Arial" w:cs="Arial" w:eastAsia="Arial" w:hAnsi="Arial"/>
                <w:sz w:val="14"/>
                <w:szCs w:val="14"/>
                <w:color w:val="003551"/>
              </w:rPr>
              <w:t>$8,000,026</w:t>
            </w:r>
          </w:p>
        </w:tc>
        <w:tc>
          <w:tcPr>
            <w:tcW w:w="3180" w:type="dxa"/>
            <w:vAlign w:val="bottom"/>
          </w:tcPr>
          <w:p>
            <w:pPr>
              <w:ind w:left="660"/>
              <w:spacing w:after="0"/>
              <w:rPr>
                <w:sz w:val="20"/>
                <w:szCs w:val="20"/>
                <w:color w:val="auto"/>
              </w:rPr>
            </w:pPr>
            <w:r>
              <w:rPr>
                <w:rFonts w:ascii="Arial" w:cs="Arial" w:eastAsia="Arial" w:hAnsi="Arial"/>
                <w:sz w:val="14"/>
                <w:szCs w:val="14"/>
                <w:color w:val="003551"/>
              </w:rPr>
              <w:t>$11,899,360</w:t>
            </w:r>
          </w:p>
        </w:tc>
      </w:tr>
      <w:tr>
        <w:trPr>
          <w:trHeight w:val="393"/>
        </w:trPr>
        <w:tc>
          <w:tcPr>
            <w:tcW w:w="2000" w:type="dxa"/>
            <w:vAlign w:val="bottom"/>
          </w:tcPr>
          <w:p>
            <w:pPr>
              <w:ind w:left="160"/>
              <w:spacing w:after="0"/>
              <w:rPr>
                <w:sz w:val="20"/>
                <w:szCs w:val="20"/>
                <w:color w:val="auto"/>
              </w:rPr>
            </w:pPr>
            <w:r>
              <w:rPr>
                <w:rFonts w:ascii="Arial" w:cs="Arial" w:eastAsia="Arial" w:hAnsi="Arial"/>
                <w:sz w:val="14"/>
                <w:szCs w:val="14"/>
                <w:b w:val="1"/>
                <w:bCs w:val="1"/>
                <w:color w:val="003551"/>
              </w:rPr>
              <w:t>Belinda Nucifora</w:t>
            </w:r>
          </w:p>
        </w:tc>
        <w:tc>
          <w:tcPr>
            <w:tcW w:w="2700" w:type="dxa"/>
            <w:vAlign w:val="bottom"/>
          </w:tcPr>
          <w:p>
            <w:pPr>
              <w:ind w:left="740"/>
              <w:spacing w:after="0"/>
              <w:rPr>
                <w:sz w:val="20"/>
                <w:szCs w:val="20"/>
                <w:color w:val="auto"/>
              </w:rPr>
            </w:pPr>
            <w:r>
              <w:rPr>
                <w:rFonts w:ascii="Arial" w:cs="Arial" w:eastAsia="Arial" w:hAnsi="Arial"/>
                <w:sz w:val="14"/>
                <w:szCs w:val="14"/>
                <w:color w:val="003551"/>
              </w:rPr>
              <w:t>$109,641</w:t>
            </w:r>
          </w:p>
        </w:tc>
        <w:tc>
          <w:tcPr>
            <w:tcW w:w="3180" w:type="dxa"/>
            <w:vAlign w:val="bottom"/>
          </w:tcPr>
          <w:p>
            <w:pPr>
              <w:ind w:left="660"/>
              <w:spacing w:after="0"/>
              <w:rPr>
                <w:sz w:val="20"/>
                <w:szCs w:val="20"/>
                <w:color w:val="auto"/>
              </w:rPr>
            </w:pPr>
            <w:r>
              <w:rPr>
                <w:rFonts w:ascii="Arial" w:cs="Arial" w:eastAsia="Arial" w:hAnsi="Arial"/>
                <w:sz w:val="14"/>
                <w:szCs w:val="14"/>
                <w:color w:val="003551"/>
              </w:rPr>
              <w:t>$483,750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50165</wp:posOffset>
            </wp:positionV>
            <wp:extent cx="49987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998720"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-440055</wp:posOffset>
            </wp:positionV>
            <wp:extent cx="49987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998720"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-190500</wp:posOffset>
            </wp:positionV>
            <wp:extent cx="49987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998720" cy="8255"/>
                    </a:xfrm>
                    <a:prstGeom prst="rect">
                      <a:avLst/>
                    </a:prstGeom>
                    <a:noFill/>
                  </pic:spPr>
                </pic:pic>
              </a:graphicData>
            </a:graphic>
          </wp:anchor>
        </w:drawing>
      </w:r>
    </w:p>
    <w:p>
      <w:pPr>
        <w:spacing w:after="0" w:line="200" w:lineRule="exact"/>
        <w:rPr>
          <w:sz w:val="20"/>
          <w:szCs w:val="20"/>
          <w:color w:val="auto"/>
        </w:rPr>
      </w:pPr>
    </w:p>
    <w:p>
      <w:pPr>
        <w:jc w:val="both"/>
        <w:ind w:left="1280" w:right="740" w:hanging="337"/>
        <w:spacing w:after="0" w:line="231" w:lineRule="auto"/>
        <w:tabs>
          <w:tab w:leader="none" w:pos="1280" w:val="left"/>
        </w:tabs>
        <w:numPr>
          <w:ilvl w:val="0"/>
          <w:numId w:val="34"/>
        </w:numPr>
        <w:rPr>
          <w:rFonts w:ascii="Arial" w:cs="Arial" w:eastAsia="Arial" w:hAnsi="Arial"/>
          <w:sz w:val="12"/>
          <w:szCs w:val="12"/>
          <w:i w:val="1"/>
          <w:iCs w:val="1"/>
          <w:color w:val="003551"/>
        </w:rPr>
      </w:pPr>
      <w:r>
        <w:rPr>
          <w:rFonts w:ascii="Arial" w:cs="Arial" w:eastAsia="Arial" w:hAnsi="Arial"/>
          <w:sz w:val="12"/>
          <w:szCs w:val="12"/>
          <w:i w:val="1"/>
          <w:iCs w:val="1"/>
          <w:color w:val="003551"/>
        </w:rPr>
        <w:t>The amounts in this column for Fiscal 2025 include the incremental fair value, determined in accordance with FASB ASC Topic 718, of the 2022 Annual PRSUs and 2025 Annual PRSUs held by our Co-Chief Executive Officers that were modified in May 2025, computed as of the modification date. For additional details regarding these modifications, see “Award Modifications in Fiscal 2025” above. The incremental fair value for each of our Co-Chief Executive Officers associated with the modification of such awards was as follows: $635,710 for the 2022 Annual PRSUs and $4,998,405 for the 2025 Annual PRSUs.</w:t>
      </w:r>
    </w:p>
    <w:p>
      <w:pPr>
        <w:jc w:val="both"/>
        <w:ind w:left="1280" w:right="740" w:hanging="337"/>
        <w:spacing w:after="0" w:line="227" w:lineRule="auto"/>
        <w:tabs>
          <w:tab w:leader="none" w:pos="1280" w:val="left"/>
        </w:tabs>
        <w:numPr>
          <w:ilvl w:val="0"/>
          <w:numId w:val="34"/>
        </w:numPr>
        <w:rPr>
          <w:rFonts w:ascii="Arial" w:cs="Arial" w:eastAsia="Arial" w:hAnsi="Arial"/>
          <w:sz w:val="12"/>
          <w:szCs w:val="12"/>
          <w:i w:val="1"/>
          <w:iCs w:val="1"/>
          <w:color w:val="003551"/>
        </w:rPr>
      </w:pPr>
      <w:r>
        <w:rPr>
          <w:rFonts w:ascii="Arial" w:cs="Arial" w:eastAsia="Arial" w:hAnsi="Arial"/>
          <w:sz w:val="12"/>
          <w:szCs w:val="12"/>
          <w:i w:val="1"/>
          <w:iCs w:val="1"/>
          <w:color w:val="003551"/>
        </w:rPr>
        <w:t>The amount shown in this column reflects the annual short-term cash incentive bonus earned by each of our NEOs in respect of performance for the applicable fiscal year of IREN. For information regarding the short-term incentive awards earned by our NEOs in respect of Fiscal 2025 under our Short-Term Incentive Plan, see “Compensation Discussion and Analysis–Elements of Compensation–Short-Term Cash Incentive Compensation” above.</w:t>
      </w:r>
    </w:p>
    <w:p>
      <w:pPr>
        <w:spacing w:after="0" w:line="1" w:lineRule="exact"/>
        <w:rPr>
          <w:rFonts w:ascii="Arial" w:cs="Arial" w:eastAsia="Arial" w:hAnsi="Arial"/>
          <w:sz w:val="12"/>
          <w:szCs w:val="12"/>
          <w:i w:val="1"/>
          <w:iCs w:val="1"/>
          <w:color w:val="003551"/>
        </w:rPr>
      </w:pPr>
    </w:p>
    <w:p>
      <w:pPr>
        <w:ind w:left="1280" w:hanging="337"/>
        <w:spacing w:after="0" w:line="227" w:lineRule="auto"/>
        <w:tabs>
          <w:tab w:leader="none" w:pos="1280" w:val="left"/>
        </w:tabs>
        <w:numPr>
          <w:ilvl w:val="0"/>
          <w:numId w:val="34"/>
        </w:numPr>
        <w:rPr>
          <w:rFonts w:ascii="Arial" w:cs="Arial" w:eastAsia="Arial" w:hAnsi="Arial"/>
          <w:sz w:val="12"/>
          <w:szCs w:val="12"/>
          <w:i w:val="1"/>
          <w:iCs w:val="1"/>
          <w:color w:val="003551"/>
        </w:rPr>
      </w:pPr>
      <w:r>
        <w:rPr>
          <w:rFonts w:ascii="Arial" w:cs="Arial" w:eastAsia="Arial" w:hAnsi="Arial"/>
          <w:sz w:val="12"/>
          <w:szCs w:val="12"/>
          <w:i w:val="1"/>
          <w:iCs w:val="1"/>
          <w:color w:val="003551"/>
        </w:rPr>
        <w:t>The amounts shown in this column include employer contributions to the Australian Superannuation fund for each applicable year.</w:t>
      </w:r>
    </w:p>
    <w:p>
      <w:pPr>
        <w:jc w:val="both"/>
        <w:ind w:left="1280" w:right="740" w:hanging="337"/>
        <w:spacing w:after="0" w:line="238" w:lineRule="auto"/>
        <w:tabs>
          <w:tab w:leader="none" w:pos="1280" w:val="left"/>
        </w:tabs>
        <w:numPr>
          <w:ilvl w:val="0"/>
          <w:numId w:val="34"/>
        </w:numPr>
        <w:rPr>
          <w:rFonts w:ascii="Arial" w:cs="Arial" w:eastAsia="Arial" w:hAnsi="Arial"/>
          <w:sz w:val="12"/>
          <w:szCs w:val="12"/>
          <w:i w:val="1"/>
          <w:iCs w:val="1"/>
          <w:color w:val="003551"/>
        </w:rPr>
      </w:pPr>
      <w:r>
        <w:rPr>
          <w:rFonts w:ascii="Arial" w:cs="Arial" w:eastAsia="Arial" w:hAnsi="Arial"/>
          <w:sz w:val="12"/>
          <w:szCs w:val="12"/>
          <w:i w:val="1"/>
          <w:iCs w:val="1"/>
          <w:color w:val="003551"/>
        </w:rPr>
        <w:t>The amounts paid to Ms. Nucifora were paid in Australian Dollars (AUD). U.S. Dollar (USD) amounts in this Proxy Statement with respect to Ms. Nucifora have been converted from AUD at a rate of 0.6454 USD to one AUD. The exchange rate represents the 12-month average exchange rate during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125730</wp:posOffset>
            </wp:positionV>
            <wp:extent cx="540385" cy="6318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228600</wp:posOffset>
            </wp:positionV>
            <wp:extent cx="6786880" cy="165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Grants of Plan-Based Awards</w:t>
      </w:r>
    </w:p>
    <w:p>
      <w:pPr>
        <w:spacing w:after="0" w:line="41" w:lineRule="exact"/>
        <w:rPr>
          <w:sz w:val="20"/>
          <w:szCs w:val="20"/>
          <w:color w:val="auto"/>
        </w:rPr>
      </w:pPr>
    </w:p>
    <w:p>
      <w:pPr>
        <w:ind w:left="940" w:right="940"/>
        <w:spacing w:after="0" w:line="263" w:lineRule="auto"/>
        <w:rPr>
          <w:sz w:val="20"/>
          <w:szCs w:val="20"/>
          <w:color w:val="auto"/>
        </w:rPr>
      </w:pPr>
      <w:r>
        <w:rPr>
          <w:rFonts w:ascii="Arial" w:cs="Arial" w:eastAsia="Arial" w:hAnsi="Arial"/>
          <w:sz w:val="17"/>
          <w:szCs w:val="17"/>
          <w:color w:val="003551"/>
        </w:rPr>
        <w:t>The following table sets forth information with respect to plan-based awards granted to our NEOs during Fiscal 2025. Each equity award described in the table below was granted under the 2023 LTIP.</w:t>
      </w:r>
    </w:p>
    <w:p>
      <w:pPr>
        <w:spacing w:after="0" w:line="109" w:lineRule="exact"/>
        <w:rPr>
          <w:sz w:val="20"/>
          <w:szCs w:val="20"/>
          <w:color w:val="auto"/>
        </w:rPr>
      </w:pPr>
    </w:p>
    <w:tbl>
      <w:tblPr>
        <w:tblLayout w:type="fixed"/>
        <w:tblInd w:w="940" w:type="dxa"/>
        <w:tblCellMar>
          <w:top w:w="0" w:type="dxa"/>
          <w:left w:w="0" w:type="dxa"/>
          <w:bottom w:w="0" w:type="dxa"/>
          <w:right w:w="0" w:type="dxa"/>
        </w:tblCellMar>
      </w:tblPr>
      <w:tr>
        <w:trPr>
          <w:trHeight w:val="270"/>
        </w:trPr>
        <w:tc>
          <w:tcPr>
            <w:tcW w:w="80" w:type="dxa"/>
            <w:vAlign w:val="bottom"/>
            <w:shd w:val="clear" w:color="auto" w:fill="77C483"/>
          </w:tcPr>
          <w:p>
            <w:pPr>
              <w:spacing w:after="0"/>
              <w:rPr>
                <w:sz w:val="23"/>
                <w:szCs w:val="23"/>
                <w:color w:val="auto"/>
              </w:rPr>
            </w:pPr>
          </w:p>
        </w:tc>
        <w:tc>
          <w:tcPr>
            <w:tcW w:w="640" w:type="dxa"/>
            <w:vAlign w:val="bottom"/>
            <w:shd w:val="clear" w:color="auto" w:fill="77C483"/>
          </w:tcPr>
          <w:p>
            <w:pPr>
              <w:spacing w:after="0"/>
              <w:rPr>
                <w:sz w:val="23"/>
                <w:szCs w:val="23"/>
                <w:color w:val="auto"/>
              </w:rPr>
            </w:pPr>
          </w:p>
        </w:tc>
        <w:tc>
          <w:tcPr>
            <w:tcW w:w="160" w:type="dxa"/>
            <w:vAlign w:val="bottom"/>
            <w:shd w:val="clear" w:color="auto" w:fill="77C483"/>
          </w:tcPr>
          <w:p>
            <w:pPr>
              <w:spacing w:after="0"/>
              <w:rPr>
                <w:sz w:val="23"/>
                <w:szCs w:val="23"/>
                <w:color w:val="auto"/>
              </w:rPr>
            </w:pPr>
          </w:p>
        </w:tc>
        <w:tc>
          <w:tcPr>
            <w:tcW w:w="600" w:type="dxa"/>
            <w:vAlign w:val="bottom"/>
            <w:shd w:val="clear" w:color="auto" w:fill="77C483"/>
          </w:tcPr>
          <w:p>
            <w:pPr>
              <w:spacing w:after="0"/>
              <w:rPr>
                <w:sz w:val="23"/>
                <w:szCs w:val="23"/>
                <w:color w:val="auto"/>
              </w:rPr>
            </w:pPr>
          </w:p>
        </w:tc>
        <w:tc>
          <w:tcPr>
            <w:tcW w:w="80" w:type="dxa"/>
            <w:vAlign w:val="bottom"/>
            <w:shd w:val="clear" w:color="auto" w:fill="77C483"/>
          </w:tcPr>
          <w:p>
            <w:pPr>
              <w:spacing w:after="0"/>
              <w:rPr>
                <w:sz w:val="23"/>
                <w:szCs w:val="23"/>
                <w:color w:val="auto"/>
              </w:rPr>
            </w:pPr>
          </w:p>
        </w:tc>
        <w:tc>
          <w:tcPr>
            <w:tcW w:w="1720" w:type="dxa"/>
            <w:vAlign w:val="bottom"/>
            <w:gridSpan w:val="3"/>
            <w:shd w:val="clear" w:color="auto" w:fill="77C483"/>
          </w:tcPr>
          <w:p>
            <w:pPr>
              <w:ind w:left="80"/>
              <w:spacing w:after="0"/>
              <w:rPr>
                <w:sz w:val="20"/>
                <w:szCs w:val="20"/>
                <w:color w:val="auto"/>
              </w:rPr>
            </w:pPr>
            <w:r>
              <w:rPr>
                <w:rFonts w:ascii="Arial" w:cs="Arial" w:eastAsia="Arial" w:hAnsi="Arial"/>
                <w:sz w:val="12"/>
                <w:szCs w:val="12"/>
                <w:b w:val="1"/>
                <w:bCs w:val="1"/>
                <w:color w:val="003551"/>
              </w:rPr>
              <w:t>Estimated Future Payouts</w:t>
            </w:r>
          </w:p>
        </w:tc>
        <w:tc>
          <w:tcPr>
            <w:tcW w:w="2580" w:type="dxa"/>
            <w:vAlign w:val="bottom"/>
            <w:gridSpan w:val="8"/>
            <w:shd w:val="clear" w:color="auto" w:fill="77C483"/>
          </w:tcPr>
          <w:p>
            <w:pPr>
              <w:ind w:left="160"/>
              <w:spacing w:after="0"/>
              <w:rPr>
                <w:sz w:val="20"/>
                <w:szCs w:val="20"/>
                <w:color w:val="auto"/>
              </w:rPr>
            </w:pPr>
            <w:r>
              <w:rPr>
                <w:rFonts w:ascii="Arial" w:cs="Arial" w:eastAsia="Arial" w:hAnsi="Arial"/>
                <w:sz w:val="12"/>
                <w:szCs w:val="12"/>
                <w:b w:val="1"/>
                <w:bCs w:val="1"/>
                <w:color w:val="003551"/>
              </w:rPr>
              <w:t>Estimated Future Payouts Under Equity</w:t>
            </w:r>
          </w:p>
        </w:tc>
        <w:tc>
          <w:tcPr>
            <w:tcW w:w="80" w:type="dxa"/>
            <w:vAlign w:val="bottom"/>
            <w:shd w:val="clear" w:color="auto" w:fill="77C483"/>
          </w:tcPr>
          <w:p>
            <w:pPr>
              <w:spacing w:after="0"/>
              <w:rPr>
                <w:sz w:val="23"/>
                <w:szCs w:val="23"/>
                <w:color w:val="auto"/>
              </w:rPr>
            </w:pPr>
          </w:p>
        </w:tc>
        <w:tc>
          <w:tcPr>
            <w:tcW w:w="1120" w:type="dxa"/>
            <w:vAlign w:val="bottom"/>
            <w:shd w:val="clear" w:color="auto" w:fill="77C483"/>
          </w:tcPr>
          <w:p>
            <w:pPr>
              <w:spacing w:after="0"/>
              <w:rPr>
                <w:sz w:val="23"/>
                <w:szCs w:val="23"/>
                <w:color w:val="auto"/>
              </w:rPr>
            </w:pPr>
          </w:p>
        </w:tc>
        <w:tc>
          <w:tcPr>
            <w:tcW w:w="80" w:type="dxa"/>
            <w:vAlign w:val="bottom"/>
            <w:shd w:val="clear" w:color="auto" w:fill="77C483"/>
          </w:tcPr>
          <w:p>
            <w:pPr>
              <w:spacing w:after="0"/>
              <w:rPr>
                <w:sz w:val="23"/>
                <w:szCs w:val="23"/>
                <w:color w:val="auto"/>
              </w:rPr>
            </w:pPr>
          </w:p>
        </w:tc>
        <w:tc>
          <w:tcPr>
            <w:tcW w:w="1100" w:type="dxa"/>
            <w:vAlign w:val="bottom"/>
            <w:shd w:val="clear" w:color="auto" w:fill="77C483"/>
          </w:tcPr>
          <w:p>
            <w:pPr>
              <w:spacing w:after="0"/>
              <w:rPr>
                <w:sz w:val="23"/>
                <w:szCs w:val="23"/>
                <w:color w:val="auto"/>
              </w:rPr>
            </w:pPr>
          </w:p>
        </w:tc>
        <w:tc>
          <w:tcPr>
            <w:tcW w:w="0" w:type="dxa"/>
            <w:vAlign w:val="bottom"/>
          </w:tcPr>
          <w:p>
            <w:pPr>
              <w:spacing w:after="0"/>
              <w:rPr>
                <w:sz w:val="1"/>
                <w:szCs w:val="1"/>
                <w:color w:val="auto"/>
              </w:rPr>
            </w:pPr>
          </w:p>
        </w:tc>
      </w:tr>
      <w:tr>
        <w:trPr>
          <w:trHeight w:val="138"/>
        </w:trPr>
        <w:tc>
          <w:tcPr>
            <w:tcW w:w="80" w:type="dxa"/>
            <w:vAlign w:val="bottom"/>
            <w:shd w:val="clear" w:color="auto" w:fill="77C483"/>
          </w:tcPr>
          <w:p>
            <w:pPr>
              <w:spacing w:after="0"/>
              <w:rPr>
                <w:sz w:val="12"/>
                <w:szCs w:val="12"/>
                <w:color w:val="auto"/>
              </w:rPr>
            </w:pPr>
          </w:p>
        </w:tc>
        <w:tc>
          <w:tcPr>
            <w:tcW w:w="640" w:type="dxa"/>
            <w:vAlign w:val="bottom"/>
            <w:shd w:val="clear" w:color="auto" w:fill="77C483"/>
          </w:tcPr>
          <w:p>
            <w:pPr>
              <w:spacing w:after="0"/>
              <w:rPr>
                <w:sz w:val="12"/>
                <w:szCs w:val="12"/>
                <w:color w:val="auto"/>
              </w:rPr>
            </w:pPr>
          </w:p>
        </w:tc>
        <w:tc>
          <w:tcPr>
            <w:tcW w:w="160" w:type="dxa"/>
            <w:vAlign w:val="bottom"/>
            <w:shd w:val="clear" w:color="auto" w:fill="77C483"/>
          </w:tcPr>
          <w:p>
            <w:pPr>
              <w:spacing w:after="0"/>
              <w:rPr>
                <w:sz w:val="12"/>
                <w:szCs w:val="12"/>
                <w:color w:val="auto"/>
              </w:rPr>
            </w:pPr>
          </w:p>
        </w:tc>
        <w:tc>
          <w:tcPr>
            <w:tcW w:w="600" w:type="dxa"/>
            <w:vAlign w:val="bottom"/>
            <w:shd w:val="clear" w:color="auto" w:fill="77C483"/>
          </w:tcPr>
          <w:p>
            <w:pPr>
              <w:spacing w:after="0"/>
              <w:rPr>
                <w:sz w:val="12"/>
                <w:szCs w:val="12"/>
                <w:color w:val="auto"/>
              </w:rPr>
            </w:pPr>
          </w:p>
        </w:tc>
        <w:tc>
          <w:tcPr>
            <w:tcW w:w="80" w:type="dxa"/>
            <w:vAlign w:val="bottom"/>
            <w:shd w:val="clear" w:color="auto" w:fill="77C483"/>
          </w:tcPr>
          <w:p>
            <w:pPr>
              <w:spacing w:after="0"/>
              <w:rPr>
                <w:sz w:val="12"/>
                <w:szCs w:val="12"/>
                <w:color w:val="auto"/>
              </w:rPr>
            </w:pPr>
          </w:p>
        </w:tc>
        <w:tc>
          <w:tcPr>
            <w:tcW w:w="1720" w:type="dxa"/>
            <w:vAlign w:val="bottom"/>
            <w:gridSpan w:val="3"/>
            <w:shd w:val="clear" w:color="auto" w:fill="77C483"/>
          </w:tcPr>
          <w:p>
            <w:pPr>
              <w:ind w:left="80"/>
              <w:spacing w:after="0"/>
              <w:rPr>
                <w:sz w:val="20"/>
                <w:szCs w:val="20"/>
                <w:color w:val="auto"/>
              </w:rPr>
            </w:pPr>
            <w:r>
              <w:rPr>
                <w:rFonts w:ascii="Arial" w:cs="Arial" w:eastAsia="Arial" w:hAnsi="Arial"/>
                <w:sz w:val="12"/>
                <w:szCs w:val="12"/>
                <w:b w:val="1"/>
                <w:bCs w:val="1"/>
                <w:color w:val="003551"/>
              </w:rPr>
              <w:t>Under Non-Equity Incentive</w:t>
            </w:r>
          </w:p>
        </w:tc>
        <w:tc>
          <w:tcPr>
            <w:tcW w:w="1760" w:type="dxa"/>
            <w:vAlign w:val="bottom"/>
            <w:gridSpan w:val="5"/>
            <w:shd w:val="clear" w:color="auto" w:fill="77C483"/>
          </w:tcPr>
          <w:p>
            <w:pPr>
              <w:ind w:left="160"/>
              <w:spacing w:after="0"/>
              <w:rPr>
                <w:sz w:val="20"/>
                <w:szCs w:val="20"/>
                <w:color w:val="auto"/>
              </w:rPr>
            </w:pPr>
            <w:r>
              <w:rPr>
                <w:rFonts w:ascii="Arial" w:cs="Arial" w:eastAsia="Arial" w:hAnsi="Arial"/>
                <w:sz w:val="12"/>
                <w:szCs w:val="12"/>
                <w:b w:val="1"/>
                <w:bCs w:val="1"/>
                <w:color w:val="003551"/>
              </w:rPr>
              <w:t>Incentive Plan Awards</w:t>
            </w:r>
          </w:p>
        </w:tc>
        <w:tc>
          <w:tcPr>
            <w:tcW w:w="480" w:type="dxa"/>
            <w:vAlign w:val="bottom"/>
            <w:shd w:val="clear" w:color="auto" w:fill="77C483"/>
          </w:tcPr>
          <w:p>
            <w:pPr>
              <w:spacing w:after="0"/>
              <w:rPr>
                <w:sz w:val="12"/>
                <w:szCs w:val="12"/>
                <w:color w:val="auto"/>
              </w:rPr>
            </w:pPr>
          </w:p>
        </w:tc>
        <w:tc>
          <w:tcPr>
            <w:tcW w:w="260" w:type="dxa"/>
            <w:vAlign w:val="bottom"/>
            <w:shd w:val="clear" w:color="auto" w:fill="77C483"/>
          </w:tcPr>
          <w:p>
            <w:pPr>
              <w:spacing w:after="0"/>
              <w:rPr>
                <w:sz w:val="12"/>
                <w:szCs w:val="12"/>
                <w:color w:val="auto"/>
              </w:rPr>
            </w:pPr>
          </w:p>
        </w:tc>
        <w:tc>
          <w:tcPr>
            <w:tcW w:w="80" w:type="dxa"/>
            <w:vAlign w:val="bottom"/>
            <w:shd w:val="clear" w:color="auto" w:fill="77C483"/>
          </w:tcPr>
          <w:p>
            <w:pPr>
              <w:spacing w:after="0"/>
              <w:rPr>
                <w:sz w:val="12"/>
                <w:szCs w:val="12"/>
                <w:color w:val="auto"/>
              </w:rPr>
            </w:pPr>
          </w:p>
        </w:tc>
        <w:tc>
          <w:tcPr>
            <w:tcW w:w="80" w:type="dxa"/>
            <w:vAlign w:val="bottom"/>
            <w:shd w:val="clear" w:color="auto" w:fill="77C483"/>
          </w:tcPr>
          <w:p>
            <w:pPr>
              <w:spacing w:after="0"/>
              <w:rPr>
                <w:sz w:val="12"/>
                <w:szCs w:val="12"/>
                <w:color w:val="auto"/>
              </w:rPr>
            </w:pPr>
          </w:p>
        </w:tc>
        <w:tc>
          <w:tcPr>
            <w:tcW w:w="1120" w:type="dxa"/>
            <w:vAlign w:val="bottom"/>
            <w:shd w:val="clear" w:color="auto" w:fill="77C483"/>
          </w:tcPr>
          <w:p>
            <w:pPr>
              <w:spacing w:after="0"/>
              <w:rPr>
                <w:sz w:val="12"/>
                <w:szCs w:val="12"/>
                <w:color w:val="auto"/>
              </w:rPr>
            </w:pPr>
          </w:p>
        </w:tc>
        <w:tc>
          <w:tcPr>
            <w:tcW w:w="80" w:type="dxa"/>
            <w:vAlign w:val="bottom"/>
            <w:shd w:val="clear" w:color="auto" w:fill="77C483"/>
          </w:tcPr>
          <w:p>
            <w:pPr>
              <w:spacing w:after="0"/>
              <w:rPr>
                <w:sz w:val="12"/>
                <w:szCs w:val="12"/>
                <w:color w:val="auto"/>
              </w:rPr>
            </w:pPr>
          </w:p>
        </w:tc>
        <w:tc>
          <w:tcPr>
            <w:tcW w:w="1100" w:type="dxa"/>
            <w:vAlign w:val="bottom"/>
            <w:shd w:val="clear" w:color="auto" w:fill="77C483"/>
          </w:tcPr>
          <w:p>
            <w:pPr>
              <w:spacing w:after="0"/>
              <w:rPr>
                <w:sz w:val="12"/>
                <w:szCs w:val="12"/>
                <w:color w:val="auto"/>
              </w:rPr>
            </w:pPr>
          </w:p>
        </w:tc>
        <w:tc>
          <w:tcPr>
            <w:tcW w:w="0" w:type="dxa"/>
            <w:vAlign w:val="bottom"/>
          </w:tcPr>
          <w:p>
            <w:pPr>
              <w:spacing w:after="0"/>
              <w:rPr>
                <w:sz w:val="1"/>
                <w:szCs w:val="1"/>
                <w:color w:val="auto"/>
              </w:rPr>
            </w:pPr>
          </w:p>
        </w:tc>
      </w:tr>
      <w:tr>
        <w:trPr>
          <w:trHeight w:val="317"/>
        </w:trPr>
        <w:tc>
          <w:tcPr>
            <w:tcW w:w="80" w:type="dxa"/>
            <w:vAlign w:val="bottom"/>
            <w:tcBorders>
              <w:bottom w:val="single" w:sz="8" w:color="77C483"/>
            </w:tcBorders>
            <w:shd w:val="clear" w:color="auto" w:fill="77C483"/>
          </w:tcPr>
          <w:p>
            <w:pPr>
              <w:spacing w:after="0"/>
              <w:rPr>
                <w:sz w:val="24"/>
                <w:szCs w:val="24"/>
                <w:color w:val="auto"/>
              </w:rPr>
            </w:pPr>
          </w:p>
        </w:tc>
        <w:tc>
          <w:tcPr>
            <w:tcW w:w="640" w:type="dxa"/>
            <w:vAlign w:val="bottom"/>
            <w:tcBorders>
              <w:bottom w:val="single" w:sz="8" w:color="77C483"/>
            </w:tcBorders>
            <w:shd w:val="clear" w:color="auto" w:fill="77C483"/>
          </w:tcPr>
          <w:p>
            <w:pPr>
              <w:spacing w:after="0"/>
              <w:rPr>
                <w:sz w:val="24"/>
                <w:szCs w:val="24"/>
                <w:color w:val="auto"/>
              </w:rPr>
            </w:pPr>
          </w:p>
        </w:tc>
        <w:tc>
          <w:tcPr>
            <w:tcW w:w="160" w:type="dxa"/>
            <w:vAlign w:val="bottom"/>
            <w:tcBorders>
              <w:bottom w:val="single" w:sz="8" w:color="77C483"/>
            </w:tcBorders>
            <w:shd w:val="clear" w:color="auto" w:fill="77C483"/>
          </w:tcPr>
          <w:p>
            <w:pPr>
              <w:spacing w:after="0"/>
              <w:rPr>
                <w:sz w:val="24"/>
                <w:szCs w:val="24"/>
                <w:color w:val="auto"/>
              </w:rPr>
            </w:pPr>
          </w:p>
        </w:tc>
        <w:tc>
          <w:tcPr>
            <w:tcW w:w="600" w:type="dxa"/>
            <w:vAlign w:val="bottom"/>
            <w:tcBorders>
              <w:bottom w:val="single" w:sz="8" w:color="77C483"/>
            </w:tcBorders>
            <w:shd w:val="clear" w:color="auto" w:fill="77C483"/>
          </w:tcPr>
          <w:p>
            <w:pPr>
              <w:spacing w:after="0"/>
              <w:rPr>
                <w:sz w:val="24"/>
                <w:szCs w:val="24"/>
                <w:color w:val="auto"/>
              </w:rPr>
            </w:pPr>
          </w:p>
        </w:tc>
        <w:tc>
          <w:tcPr>
            <w:tcW w:w="80" w:type="dxa"/>
            <w:vAlign w:val="bottom"/>
            <w:tcBorders>
              <w:bottom w:val="single" w:sz="8" w:color="77C483"/>
            </w:tcBorders>
            <w:shd w:val="clear" w:color="auto" w:fill="77C483"/>
          </w:tcPr>
          <w:p>
            <w:pPr>
              <w:spacing w:after="0"/>
              <w:rPr>
                <w:sz w:val="24"/>
                <w:szCs w:val="24"/>
                <w:color w:val="auto"/>
              </w:rPr>
            </w:pPr>
          </w:p>
        </w:tc>
        <w:tc>
          <w:tcPr>
            <w:tcW w:w="940" w:type="dxa"/>
            <w:vAlign w:val="bottom"/>
            <w:tcBorders>
              <w:bottom w:val="single" w:sz="8" w:color="77C483"/>
            </w:tcBorders>
            <w:gridSpan w:val="2"/>
            <w:shd w:val="clear" w:color="auto" w:fill="77C483"/>
          </w:tcPr>
          <w:p>
            <w:pPr>
              <w:ind w:left="80"/>
              <w:spacing w:after="0"/>
              <w:rPr>
                <w:sz w:val="20"/>
                <w:szCs w:val="20"/>
                <w:color w:val="auto"/>
              </w:rPr>
            </w:pPr>
            <w:r>
              <w:rPr>
                <w:rFonts w:ascii="Arial" w:cs="Arial" w:eastAsia="Arial" w:hAnsi="Arial"/>
                <w:sz w:val="12"/>
                <w:szCs w:val="12"/>
                <w:b w:val="1"/>
                <w:bCs w:val="1"/>
                <w:color w:val="003551"/>
                <w:w w:val="95"/>
              </w:rPr>
              <w:t>Plan Awards</w:t>
            </w:r>
            <w:r>
              <w:rPr>
                <w:rFonts w:ascii="Arial" w:cs="Arial" w:eastAsia="Arial" w:hAnsi="Arial"/>
                <w:sz w:val="20"/>
                <w:szCs w:val="20"/>
                <w:b w:val="1"/>
                <w:bCs w:val="1"/>
                <w:color w:val="003551"/>
                <w:w w:val="95"/>
                <w:vertAlign w:val="superscript"/>
              </w:rPr>
              <w:t>(1)</w:t>
            </w:r>
          </w:p>
        </w:tc>
        <w:tc>
          <w:tcPr>
            <w:tcW w:w="780" w:type="dxa"/>
            <w:vAlign w:val="bottom"/>
            <w:tcBorders>
              <w:bottom w:val="single" w:sz="8" w:color="77C483"/>
            </w:tcBorders>
            <w:shd w:val="clear" w:color="auto" w:fill="77C483"/>
          </w:tcPr>
          <w:p>
            <w:pPr>
              <w:spacing w:after="0"/>
              <w:rPr>
                <w:sz w:val="24"/>
                <w:szCs w:val="24"/>
                <w:color w:val="auto"/>
              </w:rPr>
            </w:pPr>
          </w:p>
        </w:tc>
        <w:tc>
          <w:tcPr>
            <w:tcW w:w="160" w:type="dxa"/>
            <w:vAlign w:val="bottom"/>
            <w:tcBorders>
              <w:bottom w:val="single" w:sz="8" w:color="77C483"/>
            </w:tcBorders>
            <w:shd w:val="clear" w:color="auto" w:fill="77C483"/>
          </w:tcPr>
          <w:p>
            <w:pPr>
              <w:spacing w:after="0"/>
              <w:rPr>
                <w:sz w:val="24"/>
                <w:szCs w:val="24"/>
                <w:color w:val="auto"/>
              </w:rPr>
            </w:pPr>
          </w:p>
        </w:tc>
        <w:tc>
          <w:tcPr>
            <w:tcW w:w="300" w:type="dxa"/>
            <w:vAlign w:val="bottom"/>
            <w:tcBorders>
              <w:bottom w:val="single" w:sz="8" w:color="77C483"/>
            </w:tcBorders>
            <w:shd w:val="clear" w:color="auto" w:fill="77C483"/>
          </w:tcPr>
          <w:p>
            <w:pPr>
              <w:spacing w:after="0"/>
              <w:rPr>
                <w:sz w:val="24"/>
                <w:szCs w:val="24"/>
                <w:color w:val="auto"/>
              </w:rPr>
            </w:pPr>
          </w:p>
        </w:tc>
        <w:tc>
          <w:tcPr>
            <w:tcW w:w="400" w:type="dxa"/>
            <w:vAlign w:val="bottom"/>
            <w:tcBorders>
              <w:bottom w:val="single" w:sz="8" w:color="77C483"/>
            </w:tcBorders>
            <w:shd w:val="clear" w:color="auto" w:fill="77C483"/>
          </w:tcPr>
          <w:p>
            <w:pPr>
              <w:spacing w:after="0"/>
              <w:rPr>
                <w:sz w:val="24"/>
                <w:szCs w:val="24"/>
                <w:color w:val="auto"/>
              </w:rPr>
            </w:pPr>
          </w:p>
        </w:tc>
        <w:tc>
          <w:tcPr>
            <w:tcW w:w="420" w:type="dxa"/>
            <w:vAlign w:val="bottom"/>
            <w:tcBorders>
              <w:bottom w:val="single" w:sz="8" w:color="77C483"/>
            </w:tcBorders>
            <w:shd w:val="clear" w:color="auto" w:fill="77C483"/>
          </w:tcPr>
          <w:p>
            <w:pPr>
              <w:spacing w:after="0"/>
              <w:rPr>
                <w:sz w:val="24"/>
                <w:szCs w:val="24"/>
                <w:color w:val="auto"/>
              </w:rPr>
            </w:pPr>
          </w:p>
        </w:tc>
        <w:tc>
          <w:tcPr>
            <w:tcW w:w="480" w:type="dxa"/>
            <w:vAlign w:val="bottom"/>
            <w:tcBorders>
              <w:bottom w:val="single" w:sz="8" w:color="77C483"/>
            </w:tcBorders>
            <w:shd w:val="clear" w:color="auto" w:fill="77C483"/>
          </w:tcPr>
          <w:p>
            <w:pPr>
              <w:spacing w:after="0"/>
              <w:rPr>
                <w:sz w:val="24"/>
                <w:szCs w:val="24"/>
                <w:color w:val="auto"/>
              </w:rPr>
            </w:pPr>
          </w:p>
        </w:tc>
        <w:tc>
          <w:tcPr>
            <w:tcW w:w="480" w:type="dxa"/>
            <w:vAlign w:val="bottom"/>
            <w:tcBorders>
              <w:bottom w:val="single" w:sz="8" w:color="77C483"/>
            </w:tcBorders>
            <w:shd w:val="clear" w:color="auto" w:fill="77C483"/>
          </w:tcPr>
          <w:p>
            <w:pPr>
              <w:spacing w:after="0"/>
              <w:rPr>
                <w:sz w:val="24"/>
                <w:szCs w:val="24"/>
                <w:color w:val="auto"/>
              </w:rPr>
            </w:pPr>
          </w:p>
        </w:tc>
        <w:tc>
          <w:tcPr>
            <w:tcW w:w="260" w:type="dxa"/>
            <w:vAlign w:val="bottom"/>
            <w:tcBorders>
              <w:bottom w:val="single" w:sz="8" w:color="77C483"/>
            </w:tcBorders>
            <w:shd w:val="clear" w:color="auto" w:fill="77C483"/>
          </w:tcPr>
          <w:p>
            <w:pPr>
              <w:spacing w:after="0"/>
              <w:rPr>
                <w:sz w:val="24"/>
                <w:szCs w:val="24"/>
                <w:color w:val="auto"/>
              </w:rPr>
            </w:pPr>
          </w:p>
        </w:tc>
        <w:tc>
          <w:tcPr>
            <w:tcW w:w="80" w:type="dxa"/>
            <w:vAlign w:val="bottom"/>
            <w:tcBorders>
              <w:bottom w:val="single" w:sz="8" w:color="77C483"/>
            </w:tcBorders>
            <w:shd w:val="clear" w:color="auto" w:fill="77C483"/>
          </w:tcPr>
          <w:p>
            <w:pPr>
              <w:spacing w:after="0"/>
              <w:rPr>
                <w:sz w:val="24"/>
                <w:szCs w:val="24"/>
                <w:color w:val="auto"/>
              </w:rPr>
            </w:pPr>
          </w:p>
        </w:tc>
        <w:tc>
          <w:tcPr>
            <w:tcW w:w="80" w:type="dxa"/>
            <w:vAlign w:val="bottom"/>
            <w:tcBorders>
              <w:bottom w:val="single" w:sz="8" w:color="77C483"/>
            </w:tcBorders>
            <w:shd w:val="clear" w:color="auto" w:fill="77C483"/>
          </w:tcPr>
          <w:p>
            <w:pPr>
              <w:spacing w:after="0"/>
              <w:rPr>
                <w:sz w:val="24"/>
                <w:szCs w:val="24"/>
                <w:color w:val="auto"/>
              </w:rPr>
            </w:pPr>
          </w:p>
        </w:tc>
        <w:tc>
          <w:tcPr>
            <w:tcW w:w="1120" w:type="dxa"/>
            <w:vAlign w:val="bottom"/>
            <w:tcBorders>
              <w:bottom w:val="single" w:sz="8" w:color="77C483"/>
            </w:tcBorders>
            <w:shd w:val="clear" w:color="auto" w:fill="77C483"/>
          </w:tcPr>
          <w:p>
            <w:pPr>
              <w:spacing w:after="0"/>
              <w:rPr>
                <w:sz w:val="24"/>
                <w:szCs w:val="24"/>
                <w:color w:val="auto"/>
              </w:rPr>
            </w:pPr>
          </w:p>
        </w:tc>
        <w:tc>
          <w:tcPr>
            <w:tcW w:w="80" w:type="dxa"/>
            <w:vAlign w:val="bottom"/>
            <w:tcBorders>
              <w:bottom w:val="single" w:sz="8" w:color="77C483"/>
            </w:tcBorders>
            <w:shd w:val="clear" w:color="auto" w:fill="77C483"/>
          </w:tcPr>
          <w:p>
            <w:pPr>
              <w:spacing w:after="0"/>
              <w:rPr>
                <w:sz w:val="24"/>
                <w:szCs w:val="24"/>
                <w:color w:val="auto"/>
              </w:rPr>
            </w:pPr>
          </w:p>
        </w:tc>
        <w:tc>
          <w:tcPr>
            <w:tcW w:w="1100" w:type="dxa"/>
            <w:vAlign w:val="bottom"/>
            <w:tcBorders>
              <w:bottom w:val="single" w:sz="8" w:color="77C483"/>
            </w:tcBorders>
            <w:shd w:val="clear" w:color="auto" w:fill="77C483"/>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80" w:type="dxa"/>
            <w:vAlign w:val="bottom"/>
            <w:tcBorders>
              <w:top w:val="single" w:sz="8" w:color="77C483"/>
            </w:tcBorders>
            <w:shd w:val="clear" w:color="auto" w:fill="77C483"/>
          </w:tcPr>
          <w:p>
            <w:pPr>
              <w:spacing w:after="0"/>
              <w:rPr>
                <w:sz w:val="22"/>
                <w:szCs w:val="22"/>
                <w:color w:val="auto"/>
              </w:rPr>
            </w:pPr>
          </w:p>
        </w:tc>
        <w:tc>
          <w:tcPr>
            <w:tcW w:w="640" w:type="dxa"/>
            <w:vAlign w:val="bottom"/>
            <w:tcBorders>
              <w:top w:val="single" w:sz="8" w:color="77C483"/>
            </w:tcBorders>
            <w:shd w:val="clear" w:color="auto" w:fill="77C483"/>
          </w:tcPr>
          <w:p>
            <w:pPr>
              <w:spacing w:after="0"/>
              <w:rPr>
                <w:sz w:val="22"/>
                <w:szCs w:val="22"/>
                <w:color w:val="auto"/>
              </w:rPr>
            </w:pPr>
          </w:p>
        </w:tc>
        <w:tc>
          <w:tcPr>
            <w:tcW w:w="160" w:type="dxa"/>
            <w:vAlign w:val="bottom"/>
            <w:tcBorders>
              <w:top w:val="single" w:sz="8" w:color="77C483"/>
            </w:tcBorders>
            <w:shd w:val="clear" w:color="auto" w:fill="77C483"/>
          </w:tcPr>
          <w:p>
            <w:pPr>
              <w:spacing w:after="0"/>
              <w:rPr>
                <w:sz w:val="22"/>
                <w:szCs w:val="22"/>
                <w:color w:val="auto"/>
              </w:rPr>
            </w:pPr>
          </w:p>
        </w:tc>
        <w:tc>
          <w:tcPr>
            <w:tcW w:w="600" w:type="dxa"/>
            <w:vAlign w:val="bottom"/>
            <w:tcBorders>
              <w:top w:val="single" w:sz="8" w:color="77C483"/>
            </w:tcBorders>
            <w:shd w:val="clear" w:color="auto" w:fill="77C483"/>
          </w:tcPr>
          <w:p>
            <w:pPr>
              <w:spacing w:after="0"/>
              <w:rPr>
                <w:sz w:val="22"/>
                <w:szCs w:val="22"/>
                <w:color w:val="auto"/>
              </w:rPr>
            </w:pPr>
          </w:p>
        </w:tc>
        <w:tc>
          <w:tcPr>
            <w:tcW w:w="80" w:type="dxa"/>
            <w:vAlign w:val="bottom"/>
            <w:tcBorders>
              <w:top w:val="single" w:sz="8" w:color="77C483"/>
            </w:tcBorders>
            <w:shd w:val="clear" w:color="auto" w:fill="77C483"/>
          </w:tcPr>
          <w:p>
            <w:pPr>
              <w:spacing w:after="0"/>
              <w:rPr>
                <w:sz w:val="22"/>
                <w:szCs w:val="22"/>
                <w:color w:val="auto"/>
              </w:rPr>
            </w:pPr>
          </w:p>
        </w:tc>
        <w:tc>
          <w:tcPr>
            <w:tcW w:w="80" w:type="dxa"/>
            <w:vAlign w:val="bottom"/>
            <w:tcBorders>
              <w:top w:val="single" w:sz="8" w:color="003551"/>
            </w:tcBorders>
            <w:shd w:val="clear" w:color="auto" w:fill="77C483"/>
          </w:tcPr>
          <w:p>
            <w:pPr>
              <w:spacing w:after="0"/>
              <w:rPr>
                <w:sz w:val="22"/>
                <w:szCs w:val="22"/>
                <w:color w:val="auto"/>
              </w:rPr>
            </w:pPr>
          </w:p>
        </w:tc>
        <w:tc>
          <w:tcPr>
            <w:tcW w:w="860" w:type="dxa"/>
            <w:vAlign w:val="bottom"/>
            <w:tcBorders>
              <w:top w:val="single" w:sz="8" w:color="003551"/>
            </w:tcBorders>
            <w:shd w:val="clear" w:color="auto" w:fill="77C483"/>
          </w:tcPr>
          <w:p>
            <w:pPr>
              <w:spacing w:after="0"/>
              <w:rPr>
                <w:sz w:val="22"/>
                <w:szCs w:val="22"/>
                <w:color w:val="auto"/>
              </w:rPr>
            </w:pPr>
          </w:p>
        </w:tc>
        <w:tc>
          <w:tcPr>
            <w:tcW w:w="780" w:type="dxa"/>
            <w:vAlign w:val="bottom"/>
            <w:tcBorders>
              <w:top w:val="single" w:sz="8" w:color="003551"/>
            </w:tcBorders>
            <w:shd w:val="clear" w:color="auto" w:fill="77C483"/>
          </w:tcPr>
          <w:p>
            <w:pPr>
              <w:spacing w:after="0"/>
              <w:rPr>
                <w:sz w:val="22"/>
                <w:szCs w:val="22"/>
                <w:color w:val="auto"/>
              </w:rPr>
            </w:pPr>
          </w:p>
        </w:tc>
        <w:tc>
          <w:tcPr>
            <w:tcW w:w="160" w:type="dxa"/>
            <w:vAlign w:val="bottom"/>
            <w:tcBorders>
              <w:top w:val="single" w:sz="8" w:color="003551"/>
            </w:tcBorders>
            <w:shd w:val="clear" w:color="auto" w:fill="77C483"/>
          </w:tcPr>
          <w:p>
            <w:pPr>
              <w:spacing w:after="0"/>
              <w:rPr>
                <w:sz w:val="22"/>
                <w:szCs w:val="22"/>
                <w:color w:val="auto"/>
              </w:rPr>
            </w:pPr>
          </w:p>
        </w:tc>
        <w:tc>
          <w:tcPr>
            <w:tcW w:w="300" w:type="dxa"/>
            <w:vAlign w:val="bottom"/>
            <w:tcBorders>
              <w:top w:val="single" w:sz="8" w:color="003551"/>
            </w:tcBorders>
            <w:shd w:val="clear" w:color="auto" w:fill="77C483"/>
          </w:tcPr>
          <w:p>
            <w:pPr>
              <w:spacing w:after="0"/>
              <w:rPr>
                <w:sz w:val="22"/>
                <w:szCs w:val="22"/>
                <w:color w:val="auto"/>
              </w:rPr>
            </w:pPr>
          </w:p>
        </w:tc>
        <w:tc>
          <w:tcPr>
            <w:tcW w:w="400" w:type="dxa"/>
            <w:vAlign w:val="bottom"/>
            <w:tcBorders>
              <w:top w:val="single" w:sz="8" w:color="003551"/>
            </w:tcBorders>
            <w:shd w:val="clear" w:color="auto" w:fill="77C483"/>
          </w:tcPr>
          <w:p>
            <w:pPr>
              <w:spacing w:after="0"/>
              <w:rPr>
                <w:sz w:val="22"/>
                <w:szCs w:val="22"/>
                <w:color w:val="auto"/>
              </w:rPr>
            </w:pPr>
          </w:p>
        </w:tc>
        <w:tc>
          <w:tcPr>
            <w:tcW w:w="420" w:type="dxa"/>
            <w:vAlign w:val="bottom"/>
            <w:tcBorders>
              <w:top w:val="single" w:sz="8" w:color="003551"/>
            </w:tcBorders>
            <w:shd w:val="clear" w:color="auto" w:fill="77C483"/>
          </w:tcPr>
          <w:p>
            <w:pPr>
              <w:spacing w:after="0"/>
              <w:rPr>
                <w:sz w:val="22"/>
                <w:szCs w:val="22"/>
                <w:color w:val="auto"/>
              </w:rPr>
            </w:pPr>
          </w:p>
        </w:tc>
        <w:tc>
          <w:tcPr>
            <w:tcW w:w="480" w:type="dxa"/>
            <w:vAlign w:val="bottom"/>
            <w:tcBorders>
              <w:top w:val="single" w:sz="8" w:color="003551"/>
            </w:tcBorders>
            <w:shd w:val="clear" w:color="auto" w:fill="77C483"/>
          </w:tcPr>
          <w:p>
            <w:pPr>
              <w:spacing w:after="0"/>
              <w:rPr>
                <w:sz w:val="22"/>
                <w:szCs w:val="22"/>
                <w:color w:val="auto"/>
              </w:rPr>
            </w:pPr>
          </w:p>
        </w:tc>
        <w:tc>
          <w:tcPr>
            <w:tcW w:w="480" w:type="dxa"/>
            <w:vAlign w:val="bottom"/>
            <w:tcBorders>
              <w:top w:val="single" w:sz="8" w:color="003551"/>
            </w:tcBorders>
            <w:shd w:val="clear" w:color="auto" w:fill="77C483"/>
          </w:tcPr>
          <w:p>
            <w:pPr>
              <w:spacing w:after="0"/>
              <w:rPr>
                <w:sz w:val="22"/>
                <w:szCs w:val="22"/>
                <w:color w:val="auto"/>
              </w:rPr>
            </w:pPr>
          </w:p>
        </w:tc>
        <w:tc>
          <w:tcPr>
            <w:tcW w:w="260" w:type="dxa"/>
            <w:vAlign w:val="bottom"/>
            <w:tcBorders>
              <w:top w:val="single" w:sz="8" w:color="003551"/>
            </w:tcBorders>
            <w:shd w:val="clear" w:color="auto" w:fill="77C483"/>
          </w:tcPr>
          <w:p>
            <w:pPr>
              <w:spacing w:after="0"/>
              <w:rPr>
                <w:sz w:val="22"/>
                <w:szCs w:val="22"/>
                <w:color w:val="auto"/>
              </w:rPr>
            </w:pPr>
          </w:p>
        </w:tc>
        <w:tc>
          <w:tcPr>
            <w:tcW w:w="80" w:type="dxa"/>
            <w:vAlign w:val="bottom"/>
            <w:tcBorders>
              <w:top w:val="single" w:sz="8" w:color="003551"/>
            </w:tcBorders>
            <w:shd w:val="clear" w:color="auto" w:fill="77C483"/>
          </w:tcPr>
          <w:p>
            <w:pPr>
              <w:spacing w:after="0"/>
              <w:rPr>
                <w:sz w:val="22"/>
                <w:szCs w:val="22"/>
                <w:color w:val="auto"/>
              </w:rPr>
            </w:pPr>
          </w:p>
        </w:tc>
        <w:tc>
          <w:tcPr>
            <w:tcW w:w="80" w:type="dxa"/>
            <w:vAlign w:val="bottom"/>
            <w:tcBorders>
              <w:top w:val="single" w:sz="8" w:color="77C483"/>
            </w:tcBorders>
            <w:shd w:val="clear" w:color="auto" w:fill="77C483"/>
          </w:tcPr>
          <w:p>
            <w:pPr>
              <w:spacing w:after="0"/>
              <w:rPr>
                <w:sz w:val="22"/>
                <w:szCs w:val="22"/>
                <w:color w:val="auto"/>
              </w:rPr>
            </w:pPr>
          </w:p>
        </w:tc>
        <w:tc>
          <w:tcPr>
            <w:tcW w:w="1120" w:type="dxa"/>
            <w:vAlign w:val="bottom"/>
            <w:tcBorders>
              <w:top w:val="single" w:sz="8" w:color="77C483"/>
            </w:tcBorders>
            <w:shd w:val="clear" w:color="auto" w:fill="77C483"/>
          </w:tcPr>
          <w:p>
            <w:pPr>
              <w:spacing w:after="0"/>
              <w:rPr>
                <w:sz w:val="20"/>
                <w:szCs w:val="20"/>
                <w:color w:val="auto"/>
              </w:rPr>
            </w:pPr>
            <w:r>
              <w:rPr>
                <w:rFonts w:ascii="Arial" w:cs="Arial" w:eastAsia="Arial" w:hAnsi="Arial"/>
                <w:sz w:val="12"/>
                <w:szCs w:val="12"/>
                <w:b w:val="1"/>
                <w:bCs w:val="1"/>
                <w:color w:val="003551"/>
              </w:rPr>
              <w:t>All Other Stock</w:t>
            </w:r>
          </w:p>
        </w:tc>
        <w:tc>
          <w:tcPr>
            <w:tcW w:w="80" w:type="dxa"/>
            <w:vAlign w:val="bottom"/>
            <w:tcBorders>
              <w:top w:val="single" w:sz="8" w:color="77C483"/>
            </w:tcBorders>
            <w:shd w:val="clear" w:color="auto" w:fill="77C483"/>
          </w:tcPr>
          <w:p>
            <w:pPr>
              <w:spacing w:after="0"/>
              <w:rPr>
                <w:sz w:val="22"/>
                <w:szCs w:val="22"/>
                <w:color w:val="auto"/>
              </w:rPr>
            </w:pPr>
          </w:p>
        </w:tc>
        <w:tc>
          <w:tcPr>
            <w:tcW w:w="1100" w:type="dxa"/>
            <w:vAlign w:val="bottom"/>
            <w:tcBorders>
              <w:top w:val="single" w:sz="8" w:color="77C483"/>
            </w:tcBorders>
            <w:shd w:val="clear" w:color="auto" w:fill="77C483"/>
          </w:tcPr>
          <w:p>
            <w:pPr>
              <w:ind w:left="80"/>
              <w:spacing w:after="0"/>
              <w:rPr>
                <w:sz w:val="20"/>
                <w:szCs w:val="20"/>
                <w:color w:val="auto"/>
              </w:rPr>
            </w:pPr>
            <w:r>
              <w:rPr>
                <w:rFonts w:ascii="Arial" w:cs="Arial" w:eastAsia="Arial" w:hAnsi="Arial"/>
                <w:sz w:val="12"/>
                <w:szCs w:val="12"/>
                <w:b w:val="1"/>
                <w:bCs w:val="1"/>
                <w:color w:val="003551"/>
              </w:rPr>
              <w:t>Grant Date Fair</w:t>
            </w:r>
          </w:p>
        </w:tc>
        <w:tc>
          <w:tcPr>
            <w:tcW w:w="0" w:type="dxa"/>
            <w:vAlign w:val="bottom"/>
          </w:tcPr>
          <w:p>
            <w:pPr>
              <w:spacing w:after="0"/>
              <w:rPr>
                <w:sz w:val="1"/>
                <w:szCs w:val="1"/>
                <w:color w:val="auto"/>
              </w:rPr>
            </w:pPr>
          </w:p>
        </w:tc>
      </w:tr>
      <w:tr>
        <w:trPr>
          <w:trHeight w:val="131"/>
        </w:trPr>
        <w:tc>
          <w:tcPr>
            <w:tcW w:w="80" w:type="dxa"/>
            <w:vAlign w:val="bottom"/>
            <w:shd w:val="clear" w:color="auto" w:fill="77C483"/>
          </w:tcPr>
          <w:p>
            <w:pPr>
              <w:spacing w:after="0"/>
              <w:rPr>
                <w:sz w:val="11"/>
                <w:szCs w:val="11"/>
                <w:color w:val="auto"/>
              </w:rPr>
            </w:pPr>
          </w:p>
        </w:tc>
        <w:tc>
          <w:tcPr>
            <w:tcW w:w="640" w:type="dxa"/>
            <w:vAlign w:val="bottom"/>
            <w:shd w:val="clear" w:color="auto" w:fill="77C483"/>
          </w:tcPr>
          <w:p>
            <w:pPr>
              <w:spacing w:after="0"/>
              <w:rPr>
                <w:sz w:val="11"/>
                <w:szCs w:val="11"/>
                <w:color w:val="auto"/>
              </w:rPr>
            </w:pPr>
          </w:p>
        </w:tc>
        <w:tc>
          <w:tcPr>
            <w:tcW w:w="160" w:type="dxa"/>
            <w:vAlign w:val="bottom"/>
            <w:shd w:val="clear" w:color="auto" w:fill="77C483"/>
          </w:tcPr>
          <w:p>
            <w:pPr>
              <w:spacing w:after="0"/>
              <w:rPr>
                <w:sz w:val="11"/>
                <w:szCs w:val="11"/>
                <w:color w:val="auto"/>
              </w:rPr>
            </w:pPr>
          </w:p>
        </w:tc>
        <w:tc>
          <w:tcPr>
            <w:tcW w:w="600" w:type="dxa"/>
            <w:vAlign w:val="bottom"/>
            <w:shd w:val="clear" w:color="auto" w:fill="77C483"/>
          </w:tcPr>
          <w:p>
            <w:pPr>
              <w:spacing w:after="0"/>
              <w:rPr>
                <w:sz w:val="11"/>
                <w:szCs w:val="11"/>
                <w:color w:val="auto"/>
              </w:rPr>
            </w:pPr>
          </w:p>
        </w:tc>
        <w:tc>
          <w:tcPr>
            <w:tcW w:w="80" w:type="dxa"/>
            <w:vAlign w:val="bottom"/>
            <w:shd w:val="clear" w:color="auto" w:fill="77C483"/>
          </w:tcPr>
          <w:p>
            <w:pPr>
              <w:spacing w:after="0"/>
              <w:rPr>
                <w:sz w:val="11"/>
                <w:szCs w:val="11"/>
                <w:color w:val="auto"/>
              </w:rPr>
            </w:pPr>
          </w:p>
        </w:tc>
        <w:tc>
          <w:tcPr>
            <w:tcW w:w="940" w:type="dxa"/>
            <w:vAlign w:val="bottom"/>
            <w:gridSpan w:val="2"/>
            <w:vMerge w:val="restart"/>
            <w:shd w:val="clear" w:color="auto" w:fill="77C483"/>
          </w:tcPr>
          <w:p>
            <w:pPr>
              <w:ind w:left="80"/>
              <w:spacing w:after="0"/>
              <w:rPr>
                <w:sz w:val="20"/>
                <w:szCs w:val="20"/>
                <w:color w:val="auto"/>
              </w:rPr>
            </w:pPr>
            <w:r>
              <w:rPr>
                <w:rFonts w:ascii="Arial" w:cs="Arial" w:eastAsia="Arial" w:hAnsi="Arial"/>
                <w:sz w:val="12"/>
                <w:szCs w:val="12"/>
                <w:b w:val="1"/>
                <w:bCs w:val="1"/>
                <w:color w:val="003551"/>
              </w:rPr>
              <w:t>Target</w:t>
            </w:r>
          </w:p>
        </w:tc>
        <w:tc>
          <w:tcPr>
            <w:tcW w:w="780" w:type="dxa"/>
            <w:vAlign w:val="bottom"/>
            <w:vMerge w:val="restart"/>
            <w:shd w:val="clear" w:color="auto" w:fill="77C483"/>
          </w:tcPr>
          <w:p>
            <w:pPr>
              <w:ind w:left="20"/>
              <w:spacing w:after="0"/>
              <w:rPr>
                <w:sz w:val="20"/>
                <w:szCs w:val="20"/>
                <w:color w:val="auto"/>
              </w:rPr>
            </w:pPr>
            <w:r>
              <w:rPr>
                <w:rFonts w:ascii="Arial" w:cs="Arial" w:eastAsia="Arial" w:hAnsi="Arial"/>
                <w:sz w:val="12"/>
                <w:szCs w:val="12"/>
                <w:b w:val="1"/>
                <w:bCs w:val="1"/>
                <w:color w:val="003551"/>
              </w:rPr>
              <w:t>Maximum</w:t>
            </w:r>
          </w:p>
        </w:tc>
        <w:tc>
          <w:tcPr>
            <w:tcW w:w="860" w:type="dxa"/>
            <w:vAlign w:val="bottom"/>
            <w:gridSpan w:val="3"/>
            <w:vMerge w:val="restart"/>
            <w:shd w:val="clear" w:color="auto" w:fill="77C483"/>
          </w:tcPr>
          <w:p>
            <w:pPr>
              <w:ind w:left="160"/>
              <w:spacing w:after="0"/>
              <w:rPr>
                <w:sz w:val="20"/>
                <w:szCs w:val="20"/>
                <w:color w:val="auto"/>
              </w:rPr>
            </w:pPr>
            <w:r>
              <w:rPr>
                <w:rFonts w:ascii="Arial" w:cs="Arial" w:eastAsia="Arial" w:hAnsi="Arial"/>
                <w:sz w:val="12"/>
                <w:szCs w:val="12"/>
                <w:b w:val="1"/>
                <w:bCs w:val="1"/>
                <w:color w:val="003551"/>
              </w:rPr>
              <w:t>Threshold</w:t>
            </w:r>
          </w:p>
        </w:tc>
        <w:tc>
          <w:tcPr>
            <w:tcW w:w="900" w:type="dxa"/>
            <w:vAlign w:val="bottom"/>
            <w:gridSpan w:val="2"/>
            <w:vMerge w:val="restart"/>
            <w:shd w:val="clear" w:color="auto" w:fill="77C483"/>
          </w:tcPr>
          <w:p>
            <w:pPr>
              <w:ind w:left="100"/>
              <w:spacing w:after="0"/>
              <w:rPr>
                <w:sz w:val="20"/>
                <w:szCs w:val="20"/>
                <w:color w:val="auto"/>
              </w:rPr>
            </w:pPr>
            <w:r>
              <w:rPr>
                <w:rFonts w:ascii="Arial" w:cs="Arial" w:eastAsia="Arial" w:hAnsi="Arial"/>
                <w:sz w:val="12"/>
                <w:szCs w:val="12"/>
                <w:b w:val="1"/>
                <w:bCs w:val="1"/>
                <w:color w:val="003551"/>
              </w:rPr>
              <w:t>Target</w:t>
            </w:r>
          </w:p>
        </w:tc>
        <w:tc>
          <w:tcPr>
            <w:tcW w:w="820" w:type="dxa"/>
            <w:vAlign w:val="bottom"/>
            <w:gridSpan w:val="3"/>
            <w:vMerge w:val="restart"/>
            <w:shd w:val="clear" w:color="auto" w:fill="77C483"/>
          </w:tcPr>
          <w:p>
            <w:pPr>
              <w:ind w:left="120"/>
              <w:spacing w:after="0"/>
              <w:rPr>
                <w:sz w:val="20"/>
                <w:szCs w:val="20"/>
                <w:color w:val="auto"/>
              </w:rPr>
            </w:pPr>
            <w:r>
              <w:rPr>
                <w:rFonts w:ascii="Arial" w:cs="Arial" w:eastAsia="Arial" w:hAnsi="Arial"/>
                <w:sz w:val="12"/>
                <w:szCs w:val="12"/>
                <w:b w:val="1"/>
                <w:bCs w:val="1"/>
                <w:color w:val="003551"/>
              </w:rPr>
              <w:t>Maximum</w:t>
            </w:r>
          </w:p>
        </w:tc>
        <w:tc>
          <w:tcPr>
            <w:tcW w:w="80" w:type="dxa"/>
            <w:vAlign w:val="bottom"/>
            <w:shd w:val="clear" w:color="auto" w:fill="77C483"/>
          </w:tcPr>
          <w:p>
            <w:pPr>
              <w:spacing w:after="0"/>
              <w:rPr>
                <w:sz w:val="11"/>
                <w:szCs w:val="11"/>
                <w:color w:val="auto"/>
              </w:rPr>
            </w:pPr>
          </w:p>
        </w:tc>
        <w:tc>
          <w:tcPr>
            <w:tcW w:w="1120" w:type="dxa"/>
            <w:vAlign w:val="bottom"/>
            <w:shd w:val="clear" w:color="auto" w:fill="77C483"/>
          </w:tcPr>
          <w:p>
            <w:pPr>
              <w:spacing w:after="0" w:line="131" w:lineRule="exact"/>
              <w:rPr>
                <w:sz w:val="20"/>
                <w:szCs w:val="20"/>
                <w:color w:val="auto"/>
              </w:rPr>
            </w:pPr>
            <w:r>
              <w:rPr>
                <w:rFonts w:ascii="Arial" w:cs="Arial" w:eastAsia="Arial" w:hAnsi="Arial"/>
                <w:sz w:val="12"/>
                <w:szCs w:val="12"/>
                <w:b w:val="1"/>
                <w:bCs w:val="1"/>
                <w:color w:val="003551"/>
              </w:rPr>
              <w:t>Awards: Number</w:t>
            </w:r>
          </w:p>
        </w:tc>
        <w:tc>
          <w:tcPr>
            <w:tcW w:w="80" w:type="dxa"/>
            <w:vAlign w:val="bottom"/>
            <w:shd w:val="clear" w:color="auto" w:fill="77C483"/>
          </w:tcPr>
          <w:p>
            <w:pPr>
              <w:spacing w:after="0"/>
              <w:rPr>
                <w:sz w:val="11"/>
                <w:szCs w:val="11"/>
                <w:color w:val="auto"/>
              </w:rPr>
            </w:pPr>
          </w:p>
        </w:tc>
        <w:tc>
          <w:tcPr>
            <w:tcW w:w="1100" w:type="dxa"/>
            <w:vAlign w:val="bottom"/>
            <w:shd w:val="clear" w:color="auto" w:fill="77C483"/>
          </w:tcPr>
          <w:p>
            <w:pPr>
              <w:ind w:left="80"/>
              <w:spacing w:after="0" w:line="131" w:lineRule="exact"/>
              <w:rPr>
                <w:sz w:val="20"/>
                <w:szCs w:val="20"/>
                <w:color w:val="auto"/>
              </w:rPr>
            </w:pPr>
            <w:r>
              <w:rPr>
                <w:rFonts w:ascii="Arial" w:cs="Arial" w:eastAsia="Arial" w:hAnsi="Arial"/>
                <w:sz w:val="12"/>
                <w:szCs w:val="12"/>
                <w:b w:val="1"/>
                <w:bCs w:val="1"/>
                <w:color w:val="003551"/>
              </w:rPr>
              <w:t>Value of Stock</w:t>
            </w:r>
          </w:p>
        </w:tc>
        <w:tc>
          <w:tcPr>
            <w:tcW w:w="0" w:type="dxa"/>
            <w:vAlign w:val="bottom"/>
          </w:tcPr>
          <w:p>
            <w:pPr>
              <w:spacing w:after="0"/>
              <w:rPr>
                <w:sz w:val="1"/>
                <w:szCs w:val="1"/>
                <w:color w:val="auto"/>
              </w:rPr>
            </w:pPr>
          </w:p>
        </w:tc>
      </w:tr>
      <w:tr>
        <w:trPr>
          <w:trHeight w:val="131"/>
        </w:trPr>
        <w:tc>
          <w:tcPr>
            <w:tcW w:w="80" w:type="dxa"/>
            <w:vAlign w:val="bottom"/>
            <w:shd w:val="clear" w:color="auto" w:fill="77C483"/>
          </w:tcPr>
          <w:p>
            <w:pPr>
              <w:spacing w:after="0"/>
              <w:rPr>
                <w:sz w:val="11"/>
                <w:szCs w:val="11"/>
                <w:color w:val="auto"/>
              </w:rPr>
            </w:pPr>
          </w:p>
        </w:tc>
        <w:tc>
          <w:tcPr>
            <w:tcW w:w="640" w:type="dxa"/>
            <w:vAlign w:val="bottom"/>
            <w:vMerge w:val="restart"/>
            <w:shd w:val="clear" w:color="auto" w:fill="77C483"/>
          </w:tcPr>
          <w:p>
            <w:pPr>
              <w:ind w:left="40"/>
              <w:spacing w:after="0"/>
              <w:rPr>
                <w:sz w:val="20"/>
                <w:szCs w:val="20"/>
                <w:color w:val="auto"/>
              </w:rPr>
            </w:pPr>
            <w:r>
              <w:rPr>
                <w:rFonts w:ascii="Arial" w:cs="Arial" w:eastAsia="Arial" w:hAnsi="Arial"/>
                <w:sz w:val="12"/>
                <w:szCs w:val="12"/>
                <w:b w:val="1"/>
                <w:bCs w:val="1"/>
                <w:color w:val="003551"/>
              </w:rPr>
              <w:t>Name</w:t>
            </w:r>
          </w:p>
        </w:tc>
        <w:tc>
          <w:tcPr>
            <w:tcW w:w="840" w:type="dxa"/>
            <w:vAlign w:val="bottom"/>
            <w:gridSpan w:val="3"/>
            <w:vMerge w:val="restart"/>
            <w:shd w:val="clear" w:color="auto" w:fill="77C483"/>
          </w:tcPr>
          <w:p>
            <w:pPr>
              <w:ind w:left="140"/>
              <w:spacing w:after="0"/>
              <w:rPr>
                <w:sz w:val="20"/>
                <w:szCs w:val="20"/>
                <w:color w:val="auto"/>
              </w:rPr>
            </w:pPr>
            <w:r>
              <w:rPr>
                <w:rFonts w:ascii="Arial" w:cs="Arial" w:eastAsia="Arial" w:hAnsi="Arial"/>
                <w:sz w:val="12"/>
                <w:szCs w:val="12"/>
                <w:b w:val="1"/>
                <w:bCs w:val="1"/>
                <w:color w:val="003551"/>
              </w:rPr>
              <w:t>Grant date</w:t>
            </w:r>
          </w:p>
        </w:tc>
        <w:tc>
          <w:tcPr>
            <w:tcW w:w="940" w:type="dxa"/>
            <w:vAlign w:val="bottom"/>
            <w:gridSpan w:val="2"/>
            <w:vMerge w:val="continue"/>
            <w:shd w:val="clear" w:color="auto" w:fill="77C483"/>
          </w:tcPr>
          <w:p>
            <w:pPr>
              <w:spacing w:after="0"/>
              <w:rPr>
                <w:sz w:val="11"/>
                <w:szCs w:val="11"/>
                <w:color w:val="auto"/>
              </w:rPr>
            </w:pPr>
          </w:p>
        </w:tc>
        <w:tc>
          <w:tcPr>
            <w:tcW w:w="780" w:type="dxa"/>
            <w:vAlign w:val="bottom"/>
            <w:vMerge w:val="continue"/>
            <w:shd w:val="clear" w:color="auto" w:fill="77C483"/>
          </w:tcPr>
          <w:p>
            <w:pPr>
              <w:spacing w:after="0"/>
              <w:rPr>
                <w:sz w:val="11"/>
                <w:szCs w:val="11"/>
                <w:color w:val="auto"/>
              </w:rPr>
            </w:pPr>
          </w:p>
        </w:tc>
        <w:tc>
          <w:tcPr>
            <w:tcW w:w="860" w:type="dxa"/>
            <w:vAlign w:val="bottom"/>
            <w:gridSpan w:val="3"/>
            <w:vMerge w:val="continue"/>
            <w:shd w:val="clear" w:color="auto" w:fill="77C483"/>
          </w:tcPr>
          <w:p>
            <w:pPr>
              <w:spacing w:after="0"/>
              <w:rPr>
                <w:sz w:val="11"/>
                <w:szCs w:val="11"/>
                <w:color w:val="auto"/>
              </w:rPr>
            </w:pPr>
          </w:p>
        </w:tc>
        <w:tc>
          <w:tcPr>
            <w:tcW w:w="900" w:type="dxa"/>
            <w:vAlign w:val="bottom"/>
            <w:gridSpan w:val="2"/>
            <w:vMerge w:val="continue"/>
            <w:shd w:val="clear" w:color="auto" w:fill="77C483"/>
          </w:tcPr>
          <w:p>
            <w:pPr>
              <w:spacing w:after="0"/>
              <w:rPr>
                <w:sz w:val="11"/>
                <w:szCs w:val="11"/>
                <w:color w:val="auto"/>
              </w:rPr>
            </w:pPr>
          </w:p>
        </w:tc>
        <w:tc>
          <w:tcPr>
            <w:tcW w:w="820" w:type="dxa"/>
            <w:vAlign w:val="bottom"/>
            <w:gridSpan w:val="3"/>
            <w:vMerge w:val="continue"/>
            <w:shd w:val="clear" w:color="auto" w:fill="77C483"/>
          </w:tcPr>
          <w:p>
            <w:pPr>
              <w:spacing w:after="0"/>
              <w:rPr>
                <w:sz w:val="11"/>
                <w:szCs w:val="11"/>
                <w:color w:val="auto"/>
              </w:rPr>
            </w:pPr>
          </w:p>
        </w:tc>
        <w:tc>
          <w:tcPr>
            <w:tcW w:w="80" w:type="dxa"/>
            <w:vAlign w:val="bottom"/>
            <w:shd w:val="clear" w:color="auto" w:fill="77C483"/>
          </w:tcPr>
          <w:p>
            <w:pPr>
              <w:spacing w:after="0"/>
              <w:rPr>
                <w:sz w:val="11"/>
                <w:szCs w:val="11"/>
                <w:color w:val="auto"/>
              </w:rPr>
            </w:pPr>
          </w:p>
        </w:tc>
        <w:tc>
          <w:tcPr>
            <w:tcW w:w="1120" w:type="dxa"/>
            <w:vAlign w:val="bottom"/>
            <w:shd w:val="clear" w:color="auto" w:fill="77C483"/>
          </w:tcPr>
          <w:p>
            <w:pPr>
              <w:spacing w:after="0" w:line="131" w:lineRule="exact"/>
              <w:rPr>
                <w:sz w:val="20"/>
                <w:szCs w:val="20"/>
                <w:color w:val="auto"/>
              </w:rPr>
            </w:pPr>
            <w:r>
              <w:rPr>
                <w:rFonts w:ascii="Arial" w:cs="Arial" w:eastAsia="Arial" w:hAnsi="Arial"/>
                <w:sz w:val="12"/>
                <w:szCs w:val="12"/>
                <w:b w:val="1"/>
                <w:bCs w:val="1"/>
                <w:color w:val="003551"/>
              </w:rPr>
              <w:t>of Shares of Stock</w:t>
            </w:r>
          </w:p>
        </w:tc>
        <w:tc>
          <w:tcPr>
            <w:tcW w:w="80" w:type="dxa"/>
            <w:vAlign w:val="bottom"/>
            <w:shd w:val="clear" w:color="auto" w:fill="77C483"/>
          </w:tcPr>
          <w:p>
            <w:pPr>
              <w:spacing w:after="0"/>
              <w:rPr>
                <w:sz w:val="11"/>
                <w:szCs w:val="11"/>
                <w:color w:val="auto"/>
              </w:rPr>
            </w:pPr>
          </w:p>
        </w:tc>
        <w:tc>
          <w:tcPr>
            <w:tcW w:w="1100" w:type="dxa"/>
            <w:vAlign w:val="bottom"/>
            <w:shd w:val="clear" w:color="auto" w:fill="77C483"/>
          </w:tcPr>
          <w:p>
            <w:pPr>
              <w:ind w:left="80"/>
              <w:spacing w:after="0" w:line="131" w:lineRule="exact"/>
              <w:rPr>
                <w:sz w:val="20"/>
                <w:szCs w:val="20"/>
                <w:color w:val="auto"/>
              </w:rPr>
            </w:pPr>
            <w:r>
              <w:rPr>
                <w:rFonts w:ascii="Arial" w:cs="Arial" w:eastAsia="Arial" w:hAnsi="Arial"/>
                <w:sz w:val="12"/>
                <w:szCs w:val="12"/>
                <w:b w:val="1"/>
                <w:bCs w:val="1"/>
                <w:color w:val="003551"/>
              </w:rPr>
              <w:t>and Option</w:t>
            </w:r>
          </w:p>
        </w:tc>
        <w:tc>
          <w:tcPr>
            <w:tcW w:w="0" w:type="dxa"/>
            <w:vAlign w:val="bottom"/>
          </w:tcPr>
          <w:p>
            <w:pPr>
              <w:spacing w:after="0"/>
              <w:rPr>
                <w:sz w:val="1"/>
                <w:szCs w:val="1"/>
                <w:color w:val="auto"/>
              </w:rPr>
            </w:pPr>
          </w:p>
        </w:tc>
      </w:tr>
      <w:tr>
        <w:trPr>
          <w:trHeight w:val="283"/>
        </w:trPr>
        <w:tc>
          <w:tcPr>
            <w:tcW w:w="80" w:type="dxa"/>
            <w:vAlign w:val="bottom"/>
            <w:tcBorders>
              <w:bottom w:val="single" w:sz="8" w:color="003551"/>
            </w:tcBorders>
            <w:shd w:val="clear" w:color="auto" w:fill="77C483"/>
          </w:tcPr>
          <w:p>
            <w:pPr>
              <w:spacing w:after="0"/>
              <w:rPr>
                <w:sz w:val="24"/>
                <w:szCs w:val="24"/>
                <w:color w:val="auto"/>
              </w:rPr>
            </w:pPr>
          </w:p>
        </w:tc>
        <w:tc>
          <w:tcPr>
            <w:tcW w:w="640" w:type="dxa"/>
            <w:vAlign w:val="bottom"/>
            <w:tcBorders>
              <w:bottom w:val="single" w:sz="8" w:color="003551"/>
            </w:tcBorders>
            <w:vMerge w:val="continue"/>
            <w:shd w:val="clear" w:color="auto" w:fill="77C483"/>
          </w:tcPr>
          <w:p>
            <w:pPr>
              <w:spacing w:after="0"/>
              <w:rPr>
                <w:sz w:val="24"/>
                <w:szCs w:val="24"/>
                <w:color w:val="auto"/>
              </w:rPr>
            </w:pPr>
          </w:p>
        </w:tc>
        <w:tc>
          <w:tcPr>
            <w:tcW w:w="840" w:type="dxa"/>
            <w:vAlign w:val="bottom"/>
            <w:tcBorders>
              <w:bottom w:val="single" w:sz="8" w:color="003551"/>
            </w:tcBorders>
            <w:gridSpan w:val="3"/>
            <w:vMerge w:val="continue"/>
            <w:shd w:val="clear" w:color="auto" w:fill="77C483"/>
          </w:tcPr>
          <w:p>
            <w:pPr>
              <w:spacing w:after="0"/>
              <w:rPr>
                <w:sz w:val="24"/>
                <w:szCs w:val="24"/>
                <w:color w:val="auto"/>
              </w:rPr>
            </w:pPr>
          </w:p>
        </w:tc>
        <w:tc>
          <w:tcPr>
            <w:tcW w:w="940" w:type="dxa"/>
            <w:vAlign w:val="bottom"/>
            <w:tcBorders>
              <w:bottom w:val="single" w:sz="8" w:color="003551"/>
            </w:tcBorders>
            <w:gridSpan w:val="2"/>
            <w:shd w:val="clear" w:color="auto" w:fill="77C483"/>
          </w:tcPr>
          <w:p>
            <w:pPr>
              <w:ind w:left="80"/>
              <w:spacing w:after="0"/>
              <w:rPr>
                <w:sz w:val="20"/>
                <w:szCs w:val="20"/>
                <w:color w:val="auto"/>
              </w:rPr>
            </w:pPr>
            <w:r>
              <w:rPr>
                <w:rFonts w:ascii="Arial" w:cs="Arial" w:eastAsia="Arial" w:hAnsi="Arial"/>
                <w:sz w:val="12"/>
                <w:szCs w:val="12"/>
                <w:b w:val="1"/>
                <w:bCs w:val="1"/>
                <w:color w:val="003551"/>
              </w:rPr>
              <w:t>($)</w:t>
            </w:r>
          </w:p>
        </w:tc>
        <w:tc>
          <w:tcPr>
            <w:tcW w:w="780" w:type="dxa"/>
            <w:vAlign w:val="bottom"/>
            <w:tcBorders>
              <w:bottom w:val="single" w:sz="8" w:color="003551"/>
            </w:tcBorders>
            <w:shd w:val="clear" w:color="auto" w:fill="77C483"/>
          </w:tcPr>
          <w:p>
            <w:pPr>
              <w:ind w:left="20"/>
              <w:spacing w:after="0"/>
              <w:rPr>
                <w:sz w:val="20"/>
                <w:szCs w:val="20"/>
                <w:color w:val="auto"/>
              </w:rPr>
            </w:pPr>
            <w:r>
              <w:rPr>
                <w:rFonts w:ascii="Arial" w:cs="Arial" w:eastAsia="Arial" w:hAnsi="Arial"/>
                <w:sz w:val="12"/>
                <w:szCs w:val="12"/>
                <w:b w:val="1"/>
                <w:bCs w:val="1"/>
                <w:color w:val="003551"/>
              </w:rPr>
              <w:t>($)</w:t>
            </w:r>
          </w:p>
        </w:tc>
        <w:tc>
          <w:tcPr>
            <w:tcW w:w="460" w:type="dxa"/>
            <w:vAlign w:val="bottom"/>
            <w:tcBorders>
              <w:bottom w:val="single" w:sz="8" w:color="003551"/>
            </w:tcBorders>
            <w:gridSpan w:val="2"/>
            <w:shd w:val="clear" w:color="auto" w:fill="77C483"/>
          </w:tcPr>
          <w:p>
            <w:pPr>
              <w:ind w:left="160"/>
              <w:spacing w:after="0"/>
              <w:rPr>
                <w:sz w:val="20"/>
                <w:szCs w:val="20"/>
                <w:color w:val="auto"/>
              </w:rPr>
            </w:pPr>
            <w:r>
              <w:rPr>
                <w:rFonts w:ascii="Arial" w:cs="Arial" w:eastAsia="Arial" w:hAnsi="Arial"/>
                <w:sz w:val="12"/>
                <w:szCs w:val="12"/>
                <w:b w:val="1"/>
                <w:bCs w:val="1"/>
                <w:color w:val="003551"/>
              </w:rPr>
              <w:t>(#)</w:t>
            </w:r>
          </w:p>
        </w:tc>
        <w:tc>
          <w:tcPr>
            <w:tcW w:w="400" w:type="dxa"/>
            <w:vAlign w:val="bottom"/>
            <w:tcBorders>
              <w:bottom w:val="single" w:sz="8" w:color="003551"/>
            </w:tcBorders>
            <w:shd w:val="clear" w:color="auto" w:fill="77C483"/>
          </w:tcPr>
          <w:p>
            <w:pPr>
              <w:spacing w:after="0"/>
              <w:rPr>
                <w:sz w:val="24"/>
                <w:szCs w:val="24"/>
                <w:color w:val="auto"/>
              </w:rPr>
            </w:pPr>
          </w:p>
        </w:tc>
        <w:tc>
          <w:tcPr>
            <w:tcW w:w="420" w:type="dxa"/>
            <w:vAlign w:val="bottom"/>
            <w:tcBorders>
              <w:bottom w:val="single" w:sz="8" w:color="003551"/>
            </w:tcBorders>
            <w:shd w:val="clear" w:color="auto" w:fill="77C483"/>
          </w:tcPr>
          <w:p>
            <w:pPr>
              <w:ind w:left="100"/>
              <w:spacing w:after="0"/>
              <w:rPr>
                <w:sz w:val="20"/>
                <w:szCs w:val="20"/>
                <w:color w:val="auto"/>
              </w:rPr>
            </w:pPr>
            <w:r>
              <w:rPr>
                <w:rFonts w:ascii="Arial" w:cs="Arial" w:eastAsia="Arial" w:hAnsi="Arial"/>
                <w:sz w:val="12"/>
                <w:szCs w:val="12"/>
                <w:b w:val="1"/>
                <w:bCs w:val="1"/>
                <w:color w:val="003551"/>
              </w:rPr>
              <w:t>(#)</w:t>
            </w:r>
          </w:p>
        </w:tc>
        <w:tc>
          <w:tcPr>
            <w:tcW w:w="480" w:type="dxa"/>
            <w:vAlign w:val="bottom"/>
            <w:tcBorders>
              <w:bottom w:val="single" w:sz="8" w:color="003551"/>
            </w:tcBorders>
            <w:shd w:val="clear" w:color="auto" w:fill="77C483"/>
          </w:tcPr>
          <w:p>
            <w:pPr>
              <w:spacing w:after="0"/>
              <w:rPr>
                <w:sz w:val="24"/>
                <w:szCs w:val="24"/>
                <w:color w:val="auto"/>
              </w:rPr>
            </w:pPr>
          </w:p>
        </w:tc>
        <w:tc>
          <w:tcPr>
            <w:tcW w:w="480" w:type="dxa"/>
            <w:vAlign w:val="bottom"/>
            <w:tcBorders>
              <w:bottom w:val="single" w:sz="8" w:color="003551"/>
            </w:tcBorders>
            <w:shd w:val="clear" w:color="auto" w:fill="77C483"/>
          </w:tcPr>
          <w:p>
            <w:pPr>
              <w:ind w:left="120"/>
              <w:spacing w:after="0"/>
              <w:rPr>
                <w:sz w:val="20"/>
                <w:szCs w:val="20"/>
                <w:color w:val="auto"/>
              </w:rPr>
            </w:pPr>
            <w:r>
              <w:rPr>
                <w:rFonts w:ascii="Arial" w:cs="Arial" w:eastAsia="Arial" w:hAnsi="Arial"/>
                <w:sz w:val="12"/>
                <w:szCs w:val="12"/>
                <w:b w:val="1"/>
                <w:bCs w:val="1"/>
                <w:color w:val="003551"/>
              </w:rPr>
              <w:t>(#)</w:t>
            </w:r>
          </w:p>
        </w:tc>
        <w:tc>
          <w:tcPr>
            <w:tcW w:w="260" w:type="dxa"/>
            <w:vAlign w:val="bottom"/>
            <w:tcBorders>
              <w:bottom w:val="single" w:sz="8" w:color="003551"/>
            </w:tcBorders>
            <w:shd w:val="clear" w:color="auto" w:fill="77C483"/>
          </w:tcPr>
          <w:p>
            <w:pPr>
              <w:spacing w:after="0"/>
              <w:rPr>
                <w:sz w:val="24"/>
                <w:szCs w:val="24"/>
                <w:color w:val="auto"/>
              </w:rPr>
            </w:pPr>
          </w:p>
        </w:tc>
        <w:tc>
          <w:tcPr>
            <w:tcW w:w="80" w:type="dxa"/>
            <w:vAlign w:val="bottom"/>
            <w:tcBorders>
              <w:bottom w:val="single" w:sz="8" w:color="003551"/>
            </w:tcBorders>
            <w:shd w:val="clear" w:color="auto" w:fill="77C483"/>
          </w:tcPr>
          <w:p>
            <w:pPr>
              <w:spacing w:after="0"/>
              <w:rPr>
                <w:sz w:val="24"/>
                <w:szCs w:val="24"/>
                <w:color w:val="auto"/>
              </w:rPr>
            </w:pPr>
          </w:p>
        </w:tc>
        <w:tc>
          <w:tcPr>
            <w:tcW w:w="80" w:type="dxa"/>
            <w:vAlign w:val="bottom"/>
            <w:tcBorders>
              <w:bottom w:val="single" w:sz="8" w:color="003551"/>
            </w:tcBorders>
            <w:shd w:val="clear" w:color="auto" w:fill="77C483"/>
          </w:tcPr>
          <w:p>
            <w:pPr>
              <w:spacing w:after="0"/>
              <w:rPr>
                <w:sz w:val="24"/>
                <w:szCs w:val="24"/>
                <w:color w:val="auto"/>
              </w:rPr>
            </w:pPr>
          </w:p>
        </w:tc>
        <w:tc>
          <w:tcPr>
            <w:tcW w:w="1120" w:type="dxa"/>
            <w:vAlign w:val="bottom"/>
            <w:tcBorders>
              <w:bottom w:val="single" w:sz="8" w:color="003551"/>
            </w:tcBorders>
            <w:shd w:val="clear" w:color="auto" w:fill="77C483"/>
          </w:tcPr>
          <w:p>
            <w:pPr>
              <w:spacing w:after="0"/>
              <w:rPr>
                <w:sz w:val="20"/>
                <w:szCs w:val="20"/>
                <w:color w:val="auto"/>
              </w:rPr>
            </w:pPr>
            <w:r>
              <w:rPr>
                <w:rFonts w:ascii="Arial" w:cs="Arial" w:eastAsia="Arial" w:hAnsi="Arial"/>
                <w:sz w:val="12"/>
                <w:szCs w:val="12"/>
                <w:b w:val="1"/>
                <w:bCs w:val="1"/>
                <w:color w:val="003551"/>
              </w:rPr>
              <w:t>or Units</w:t>
            </w:r>
          </w:p>
        </w:tc>
        <w:tc>
          <w:tcPr>
            <w:tcW w:w="80" w:type="dxa"/>
            <w:vAlign w:val="bottom"/>
            <w:tcBorders>
              <w:bottom w:val="single" w:sz="8" w:color="003551"/>
            </w:tcBorders>
            <w:shd w:val="clear" w:color="auto" w:fill="77C483"/>
          </w:tcPr>
          <w:p>
            <w:pPr>
              <w:spacing w:after="0"/>
              <w:rPr>
                <w:sz w:val="24"/>
                <w:szCs w:val="24"/>
                <w:color w:val="auto"/>
              </w:rPr>
            </w:pPr>
          </w:p>
        </w:tc>
        <w:tc>
          <w:tcPr>
            <w:tcW w:w="1100" w:type="dxa"/>
            <w:vAlign w:val="bottom"/>
            <w:tcBorders>
              <w:bottom w:val="single" w:sz="8" w:color="003551"/>
            </w:tcBorders>
            <w:shd w:val="clear" w:color="auto" w:fill="77C483"/>
          </w:tcPr>
          <w:p>
            <w:pPr>
              <w:ind w:left="80"/>
              <w:spacing w:after="0"/>
              <w:rPr>
                <w:sz w:val="20"/>
                <w:szCs w:val="20"/>
                <w:color w:val="auto"/>
              </w:rPr>
            </w:pPr>
            <w:r>
              <w:rPr>
                <w:rFonts w:ascii="Arial" w:cs="Arial" w:eastAsia="Arial" w:hAnsi="Arial"/>
                <w:sz w:val="12"/>
                <w:szCs w:val="12"/>
                <w:b w:val="1"/>
                <w:bCs w:val="1"/>
                <w:color w:val="003551"/>
              </w:rPr>
              <w:t>Awards</w:t>
            </w:r>
            <w:r>
              <w:rPr>
                <w:rFonts w:ascii="Arial" w:cs="Arial" w:eastAsia="Arial" w:hAnsi="Arial"/>
                <w:sz w:val="20"/>
                <w:szCs w:val="20"/>
                <w:b w:val="1"/>
                <w:bCs w:val="1"/>
                <w:color w:val="003551"/>
                <w:vertAlign w:val="superscript"/>
              </w:rPr>
              <w:t>(2)</w:t>
            </w:r>
          </w:p>
        </w:tc>
        <w:tc>
          <w:tcPr>
            <w:tcW w:w="0" w:type="dxa"/>
            <w:vAlign w:val="bottom"/>
          </w:tcPr>
          <w:p>
            <w:pPr>
              <w:spacing w:after="0"/>
              <w:rPr>
                <w:sz w:val="1"/>
                <w:szCs w:val="1"/>
                <w:color w:val="auto"/>
              </w:rPr>
            </w:pPr>
          </w:p>
        </w:tc>
      </w:tr>
      <w:tr>
        <w:trPr>
          <w:trHeight w:val="324"/>
        </w:trPr>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gridSpan w:val="2"/>
          </w:tcPr>
          <w:p>
            <w:pPr>
              <w:ind w:left="140"/>
              <w:spacing w:after="0"/>
              <w:rPr>
                <w:sz w:val="20"/>
                <w:szCs w:val="20"/>
                <w:color w:val="auto"/>
              </w:rPr>
            </w:pPr>
            <w:r>
              <w:rPr>
                <w:rFonts w:ascii="Arial" w:cs="Arial" w:eastAsia="Arial" w:hAnsi="Arial"/>
                <w:sz w:val="12"/>
                <w:szCs w:val="12"/>
                <w:color w:val="003551"/>
              </w:rPr>
              <w:t>-</w:t>
            </w:r>
          </w:p>
        </w:tc>
        <w:tc>
          <w:tcPr>
            <w:tcW w:w="80" w:type="dxa"/>
            <w:vAlign w:val="bottom"/>
          </w:tcPr>
          <w:p>
            <w:pPr>
              <w:spacing w:after="0"/>
              <w:rPr>
                <w:sz w:val="24"/>
                <w:szCs w:val="24"/>
                <w:color w:val="auto"/>
              </w:rPr>
            </w:pPr>
          </w:p>
        </w:tc>
        <w:tc>
          <w:tcPr>
            <w:tcW w:w="940" w:type="dxa"/>
            <w:vAlign w:val="bottom"/>
            <w:gridSpan w:val="2"/>
          </w:tcPr>
          <w:p>
            <w:pPr>
              <w:ind w:left="80"/>
              <w:spacing w:after="0"/>
              <w:rPr>
                <w:sz w:val="20"/>
                <w:szCs w:val="20"/>
                <w:color w:val="auto"/>
              </w:rPr>
            </w:pPr>
            <w:r>
              <w:rPr>
                <w:rFonts w:ascii="Arial" w:cs="Arial" w:eastAsia="Arial" w:hAnsi="Arial"/>
                <w:sz w:val="12"/>
                <w:szCs w:val="12"/>
                <w:color w:val="003551"/>
              </w:rPr>
              <w:t>$984,000</w:t>
            </w:r>
          </w:p>
        </w:tc>
        <w:tc>
          <w:tcPr>
            <w:tcW w:w="780" w:type="dxa"/>
            <w:vAlign w:val="bottom"/>
          </w:tcPr>
          <w:p>
            <w:pPr>
              <w:ind w:left="20"/>
              <w:spacing w:after="0"/>
              <w:rPr>
                <w:sz w:val="20"/>
                <w:szCs w:val="20"/>
                <w:color w:val="auto"/>
              </w:rPr>
            </w:pPr>
            <w:r>
              <w:rPr>
                <w:rFonts w:ascii="Arial" w:cs="Arial" w:eastAsia="Arial" w:hAnsi="Arial"/>
                <w:sz w:val="12"/>
                <w:szCs w:val="12"/>
                <w:color w:val="003551"/>
              </w:rPr>
              <w:t>$1,968,000</w:t>
            </w:r>
          </w:p>
        </w:tc>
        <w:tc>
          <w:tcPr>
            <w:tcW w:w="460" w:type="dxa"/>
            <w:vAlign w:val="bottom"/>
            <w:gridSpan w:val="2"/>
          </w:tcPr>
          <w:p>
            <w:pPr>
              <w:ind w:left="160"/>
              <w:spacing w:after="0"/>
              <w:rPr>
                <w:sz w:val="20"/>
                <w:szCs w:val="20"/>
                <w:color w:val="auto"/>
              </w:rPr>
            </w:pPr>
            <w:r>
              <w:rPr>
                <w:rFonts w:ascii="Arial" w:cs="Arial" w:eastAsia="Arial" w:hAnsi="Arial"/>
                <w:sz w:val="12"/>
                <w:szCs w:val="12"/>
                <w:color w:val="003551"/>
              </w:rPr>
              <w:t>-</w:t>
            </w:r>
          </w:p>
        </w:tc>
        <w:tc>
          <w:tcPr>
            <w:tcW w:w="40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Arial" w:cs="Arial" w:eastAsia="Arial" w:hAnsi="Arial"/>
                <w:sz w:val="12"/>
                <w:szCs w:val="12"/>
                <w:color w:val="003551"/>
              </w:rPr>
              <w:t>-</w:t>
            </w:r>
          </w:p>
        </w:tc>
        <w:tc>
          <w:tcPr>
            <w:tcW w:w="48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Arial" w:cs="Arial" w:eastAsia="Arial" w:hAnsi="Arial"/>
                <w:sz w:val="12"/>
                <w:szCs w:val="12"/>
                <w:color w:val="003551"/>
              </w:rPr>
              <w:t>-</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color w:val="003551"/>
              </w:rPr>
              <w:t>-</w:t>
            </w:r>
          </w:p>
        </w:tc>
        <w:tc>
          <w:tcPr>
            <w:tcW w:w="1180" w:type="dxa"/>
            <w:vAlign w:val="bottom"/>
            <w:gridSpan w:val="2"/>
          </w:tcPr>
          <w:p>
            <w:pPr>
              <w:ind w:left="160"/>
              <w:spacing w:after="0"/>
              <w:rPr>
                <w:sz w:val="20"/>
                <w:szCs w:val="20"/>
                <w:color w:val="auto"/>
              </w:rPr>
            </w:pPr>
            <w:r>
              <w:rPr>
                <w:rFonts w:ascii="Arial" w:cs="Arial" w:eastAsia="Arial" w:hAnsi="Arial"/>
                <w:sz w:val="12"/>
                <w:szCs w:val="12"/>
                <w:color w:val="003551"/>
              </w:rPr>
              <w:t>-</w:t>
            </w:r>
          </w:p>
        </w:tc>
        <w:tc>
          <w:tcPr>
            <w:tcW w:w="0" w:type="dxa"/>
            <w:vAlign w:val="bottom"/>
          </w:tcPr>
          <w:p>
            <w:pPr>
              <w:spacing w:after="0"/>
              <w:rPr>
                <w:sz w:val="1"/>
                <w:szCs w:val="1"/>
                <w:color w:val="auto"/>
              </w:rPr>
            </w:pPr>
          </w:p>
        </w:tc>
      </w:tr>
      <w:tr>
        <w:trPr>
          <w:trHeight w:val="538"/>
        </w:trPr>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gridSpan w:val="2"/>
          </w:tcPr>
          <w:p>
            <w:pPr>
              <w:ind w:left="140"/>
              <w:spacing w:after="0"/>
              <w:rPr>
                <w:sz w:val="20"/>
                <w:szCs w:val="20"/>
                <w:color w:val="auto"/>
              </w:rPr>
            </w:pPr>
            <w:r>
              <w:rPr>
                <w:rFonts w:ascii="Arial" w:cs="Arial" w:eastAsia="Arial" w:hAnsi="Arial"/>
                <w:sz w:val="12"/>
                <w:szCs w:val="12"/>
                <w:color w:val="003551"/>
              </w:rPr>
              <w:t>7/1/24</w:t>
            </w:r>
          </w:p>
        </w:tc>
        <w:tc>
          <w:tcPr>
            <w:tcW w:w="80" w:type="dxa"/>
            <w:vAlign w:val="bottom"/>
          </w:tcPr>
          <w:p>
            <w:pPr>
              <w:spacing w:after="0"/>
              <w:rPr>
                <w:sz w:val="24"/>
                <w:szCs w:val="24"/>
                <w:color w:val="auto"/>
              </w:rPr>
            </w:pPr>
          </w:p>
        </w:tc>
        <w:tc>
          <w:tcPr>
            <w:tcW w:w="940" w:type="dxa"/>
            <w:vAlign w:val="bottom"/>
            <w:gridSpan w:val="2"/>
          </w:tcPr>
          <w:p>
            <w:pPr>
              <w:ind w:left="80"/>
              <w:spacing w:after="0"/>
              <w:rPr>
                <w:sz w:val="20"/>
                <w:szCs w:val="20"/>
                <w:color w:val="auto"/>
              </w:rPr>
            </w:pPr>
            <w:r>
              <w:rPr>
                <w:rFonts w:ascii="Arial" w:cs="Arial" w:eastAsia="Arial" w:hAnsi="Arial"/>
                <w:sz w:val="12"/>
                <w:szCs w:val="12"/>
                <w:color w:val="003551"/>
              </w:rPr>
              <w:t>-</w:t>
            </w:r>
          </w:p>
        </w:tc>
        <w:tc>
          <w:tcPr>
            <w:tcW w:w="780" w:type="dxa"/>
            <w:vAlign w:val="bottom"/>
          </w:tcPr>
          <w:p>
            <w:pPr>
              <w:ind w:left="20"/>
              <w:spacing w:after="0"/>
              <w:rPr>
                <w:sz w:val="20"/>
                <w:szCs w:val="20"/>
                <w:color w:val="auto"/>
              </w:rPr>
            </w:pPr>
            <w:r>
              <w:rPr>
                <w:rFonts w:ascii="Arial" w:cs="Arial" w:eastAsia="Arial" w:hAnsi="Arial"/>
                <w:sz w:val="12"/>
                <w:szCs w:val="12"/>
                <w:color w:val="003551"/>
              </w:rPr>
              <w:t>-</w:t>
            </w:r>
          </w:p>
        </w:tc>
        <w:tc>
          <w:tcPr>
            <w:tcW w:w="460" w:type="dxa"/>
            <w:vAlign w:val="bottom"/>
            <w:gridSpan w:val="2"/>
          </w:tcPr>
          <w:p>
            <w:pPr>
              <w:ind w:left="160"/>
              <w:spacing w:after="0"/>
              <w:rPr>
                <w:sz w:val="20"/>
                <w:szCs w:val="20"/>
                <w:color w:val="auto"/>
              </w:rPr>
            </w:pPr>
            <w:r>
              <w:rPr>
                <w:rFonts w:ascii="Arial" w:cs="Arial" w:eastAsia="Arial" w:hAnsi="Arial"/>
                <w:sz w:val="12"/>
                <w:szCs w:val="12"/>
                <w:color w:val="003551"/>
              </w:rPr>
              <w:t>-</w:t>
            </w:r>
          </w:p>
        </w:tc>
        <w:tc>
          <w:tcPr>
            <w:tcW w:w="40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Arial" w:cs="Arial" w:eastAsia="Arial" w:hAnsi="Arial"/>
                <w:sz w:val="12"/>
                <w:szCs w:val="12"/>
                <w:color w:val="003551"/>
              </w:rPr>
              <w:t>-</w:t>
            </w:r>
          </w:p>
        </w:tc>
        <w:tc>
          <w:tcPr>
            <w:tcW w:w="48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Arial" w:cs="Arial" w:eastAsia="Arial" w:hAnsi="Arial"/>
                <w:sz w:val="12"/>
                <w:szCs w:val="12"/>
                <w:color w:val="003551"/>
              </w:rPr>
              <w:t>-</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color w:val="003551"/>
              </w:rPr>
              <w:t>354,297</w:t>
            </w:r>
            <w:r>
              <w:rPr>
                <w:rFonts w:ascii="Arial" w:cs="Arial" w:eastAsia="Arial" w:hAnsi="Arial"/>
                <w:sz w:val="20"/>
                <w:szCs w:val="20"/>
                <w:color w:val="003551"/>
                <w:vertAlign w:val="superscript"/>
              </w:rPr>
              <w:t>(3)</w:t>
            </w:r>
          </w:p>
        </w:tc>
        <w:tc>
          <w:tcPr>
            <w:tcW w:w="1180" w:type="dxa"/>
            <w:vAlign w:val="bottom"/>
            <w:gridSpan w:val="2"/>
          </w:tcPr>
          <w:p>
            <w:pPr>
              <w:ind w:left="160"/>
              <w:spacing w:after="0"/>
              <w:rPr>
                <w:sz w:val="20"/>
                <w:szCs w:val="20"/>
                <w:color w:val="auto"/>
              </w:rPr>
            </w:pPr>
            <w:r>
              <w:rPr>
                <w:rFonts w:ascii="Arial" w:cs="Arial" w:eastAsia="Arial" w:hAnsi="Arial"/>
                <w:sz w:val="12"/>
                <w:szCs w:val="12"/>
                <w:color w:val="003551"/>
              </w:rPr>
              <w:t>$4,000,013</w:t>
            </w:r>
          </w:p>
        </w:tc>
        <w:tc>
          <w:tcPr>
            <w:tcW w:w="0" w:type="dxa"/>
            <w:vAlign w:val="bottom"/>
          </w:tcPr>
          <w:p>
            <w:pPr>
              <w:spacing w:after="0"/>
              <w:rPr>
                <w:sz w:val="1"/>
                <w:szCs w:val="1"/>
                <w:color w:val="auto"/>
              </w:rPr>
            </w:pPr>
          </w:p>
        </w:tc>
      </w:tr>
      <w:tr>
        <w:trPr>
          <w:trHeight w:val="415"/>
        </w:trPr>
        <w:tc>
          <w:tcPr>
            <w:tcW w:w="80" w:type="dxa"/>
            <w:vAlign w:val="bottom"/>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2"/>
                <w:szCs w:val="12"/>
                <w:b w:val="1"/>
                <w:bCs w:val="1"/>
                <w:color w:val="003551"/>
              </w:rPr>
              <w:t>William</w:t>
            </w:r>
          </w:p>
        </w:tc>
        <w:tc>
          <w:tcPr>
            <w:tcW w:w="760" w:type="dxa"/>
            <w:vAlign w:val="bottom"/>
            <w:gridSpan w:val="2"/>
          </w:tcPr>
          <w:p>
            <w:pPr>
              <w:ind w:left="140"/>
              <w:spacing w:after="0"/>
              <w:rPr>
                <w:sz w:val="20"/>
                <w:szCs w:val="20"/>
                <w:color w:val="auto"/>
              </w:rPr>
            </w:pPr>
            <w:r>
              <w:rPr>
                <w:rFonts w:ascii="Arial" w:cs="Arial" w:eastAsia="Arial" w:hAnsi="Arial"/>
                <w:sz w:val="12"/>
                <w:szCs w:val="12"/>
                <w:color w:val="003551"/>
              </w:rPr>
              <w:t>7/1/24</w:t>
            </w:r>
          </w:p>
        </w:tc>
        <w:tc>
          <w:tcPr>
            <w:tcW w:w="80" w:type="dxa"/>
            <w:vAlign w:val="bottom"/>
          </w:tcPr>
          <w:p>
            <w:pPr>
              <w:spacing w:after="0"/>
              <w:rPr>
                <w:sz w:val="24"/>
                <w:szCs w:val="24"/>
                <w:color w:val="auto"/>
              </w:rPr>
            </w:pPr>
          </w:p>
        </w:tc>
        <w:tc>
          <w:tcPr>
            <w:tcW w:w="940" w:type="dxa"/>
            <w:vAlign w:val="bottom"/>
            <w:gridSpan w:val="2"/>
          </w:tcPr>
          <w:p>
            <w:pPr>
              <w:ind w:left="80"/>
              <w:spacing w:after="0"/>
              <w:rPr>
                <w:sz w:val="20"/>
                <w:szCs w:val="20"/>
                <w:color w:val="auto"/>
              </w:rPr>
            </w:pPr>
            <w:r>
              <w:rPr>
                <w:rFonts w:ascii="Arial" w:cs="Arial" w:eastAsia="Arial" w:hAnsi="Arial"/>
                <w:sz w:val="12"/>
                <w:szCs w:val="12"/>
                <w:color w:val="003551"/>
              </w:rPr>
              <w:t>-</w:t>
            </w:r>
          </w:p>
        </w:tc>
        <w:tc>
          <w:tcPr>
            <w:tcW w:w="780" w:type="dxa"/>
            <w:vAlign w:val="bottom"/>
          </w:tcPr>
          <w:p>
            <w:pPr>
              <w:ind w:left="20"/>
              <w:spacing w:after="0"/>
              <w:rPr>
                <w:sz w:val="20"/>
                <w:szCs w:val="20"/>
                <w:color w:val="auto"/>
              </w:rPr>
            </w:pPr>
            <w:r>
              <w:rPr>
                <w:rFonts w:ascii="Arial" w:cs="Arial" w:eastAsia="Arial" w:hAnsi="Arial"/>
                <w:sz w:val="12"/>
                <w:szCs w:val="12"/>
                <w:color w:val="003551"/>
              </w:rPr>
              <w:t>-</w:t>
            </w:r>
          </w:p>
        </w:tc>
        <w:tc>
          <w:tcPr>
            <w:tcW w:w="460" w:type="dxa"/>
            <w:vAlign w:val="bottom"/>
            <w:gridSpan w:val="2"/>
          </w:tcPr>
          <w:p>
            <w:pPr>
              <w:ind w:left="160"/>
              <w:spacing w:after="0"/>
              <w:rPr>
                <w:sz w:val="20"/>
                <w:szCs w:val="20"/>
                <w:color w:val="auto"/>
              </w:rPr>
            </w:pPr>
            <w:r>
              <w:rPr>
                <w:rFonts w:ascii="Arial" w:cs="Arial" w:eastAsia="Arial" w:hAnsi="Arial"/>
                <w:sz w:val="12"/>
                <w:szCs w:val="12"/>
                <w:color w:val="003551"/>
              </w:rPr>
              <w:t>-</w:t>
            </w:r>
          </w:p>
        </w:tc>
        <w:tc>
          <w:tcPr>
            <w:tcW w:w="400" w:type="dxa"/>
            <w:vAlign w:val="bottom"/>
          </w:tcPr>
          <w:p>
            <w:pPr>
              <w:spacing w:after="0"/>
              <w:rPr>
                <w:sz w:val="24"/>
                <w:szCs w:val="24"/>
                <w:color w:val="auto"/>
              </w:rPr>
            </w:pPr>
          </w:p>
        </w:tc>
        <w:tc>
          <w:tcPr>
            <w:tcW w:w="900" w:type="dxa"/>
            <w:vAlign w:val="bottom"/>
            <w:gridSpan w:val="2"/>
          </w:tcPr>
          <w:p>
            <w:pPr>
              <w:ind w:left="100"/>
              <w:spacing w:after="0"/>
              <w:rPr>
                <w:sz w:val="20"/>
                <w:szCs w:val="20"/>
                <w:color w:val="auto"/>
              </w:rPr>
            </w:pPr>
            <w:r>
              <w:rPr>
                <w:rFonts w:ascii="Arial" w:cs="Arial" w:eastAsia="Arial" w:hAnsi="Arial"/>
                <w:sz w:val="12"/>
                <w:szCs w:val="12"/>
                <w:color w:val="003551"/>
              </w:rPr>
              <w:t>984,094</w:t>
            </w:r>
            <w:r>
              <w:rPr>
                <w:rFonts w:ascii="Arial" w:cs="Arial" w:eastAsia="Arial" w:hAnsi="Arial"/>
                <w:sz w:val="20"/>
                <w:szCs w:val="20"/>
                <w:color w:val="003551"/>
                <w:vertAlign w:val="superscript"/>
              </w:rPr>
              <w:t>(4)</w:t>
            </w:r>
          </w:p>
        </w:tc>
        <w:tc>
          <w:tcPr>
            <w:tcW w:w="480" w:type="dxa"/>
            <w:vAlign w:val="bottom"/>
          </w:tcPr>
          <w:p>
            <w:pPr>
              <w:ind w:left="120"/>
              <w:spacing w:after="0"/>
              <w:rPr>
                <w:sz w:val="20"/>
                <w:szCs w:val="20"/>
                <w:color w:val="auto"/>
              </w:rPr>
            </w:pPr>
            <w:r>
              <w:rPr>
                <w:rFonts w:ascii="Arial" w:cs="Arial" w:eastAsia="Arial" w:hAnsi="Arial"/>
                <w:sz w:val="12"/>
                <w:szCs w:val="12"/>
                <w:color w:val="003551"/>
              </w:rPr>
              <w:t>-</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color w:val="003551"/>
              </w:rPr>
              <w:t>-</w:t>
            </w:r>
          </w:p>
        </w:tc>
        <w:tc>
          <w:tcPr>
            <w:tcW w:w="1180" w:type="dxa"/>
            <w:vAlign w:val="bottom"/>
            <w:gridSpan w:val="2"/>
          </w:tcPr>
          <w:p>
            <w:pPr>
              <w:ind w:left="160"/>
              <w:spacing w:after="0"/>
              <w:rPr>
                <w:sz w:val="20"/>
                <w:szCs w:val="20"/>
                <w:color w:val="auto"/>
              </w:rPr>
            </w:pPr>
            <w:r>
              <w:rPr>
                <w:rFonts w:ascii="Arial" w:cs="Arial" w:eastAsia="Arial" w:hAnsi="Arial"/>
                <w:sz w:val="12"/>
                <w:szCs w:val="12"/>
                <w:color w:val="003551"/>
              </w:rPr>
              <w:t>$8,000,026</w:t>
            </w: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Arial" w:cs="Arial" w:eastAsia="Arial" w:hAnsi="Arial"/>
                <w:sz w:val="12"/>
                <w:szCs w:val="12"/>
                <w:b w:val="1"/>
                <w:bCs w:val="1"/>
                <w:color w:val="003551"/>
              </w:rPr>
              <w:t>Roberts</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gridSpan w:val="2"/>
          </w:tcPr>
          <w:p>
            <w:pPr>
              <w:ind w:left="140"/>
              <w:spacing w:after="0"/>
              <w:rPr>
                <w:sz w:val="20"/>
                <w:szCs w:val="20"/>
                <w:color w:val="auto"/>
              </w:rPr>
            </w:pPr>
            <w:r>
              <w:rPr>
                <w:rFonts w:ascii="Arial" w:cs="Arial" w:eastAsia="Arial" w:hAnsi="Arial"/>
                <w:sz w:val="12"/>
                <w:szCs w:val="12"/>
                <w:color w:val="003551"/>
              </w:rPr>
              <w:t>5/19/25</w:t>
            </w:r>
          </w:p>
        </w:tc>
        <w:tc>
          <w:tcPr>
            <w:tcW w:w="80" w:type="dxa"/>
            <w:vAlign w:val="bottom"/>
          </w:tcPr>
          <w:p>
            <w:pPr>
              <w:spacing w:after="0"/>
              <w:rPr>
                <w:sz w:val="24"/>
                <w:szCs w:val="24"/>
                <w:color w:val="auto"/>
              </w:rPr>
            </w:pPr>
          </w:p>
        </w:tc>
        <w:tc>
          <w:tcPr>
            <w:tcW w:w="940" w:type="dxa"/>
            <w:vAlign w:val="bottom"/>
            <w:gridSpan w:val="2"/>
          </w:tcPr>
          <w:p>
            <w:pPr>
              <w:ind w:left="80"/>
              <w:spacing w:after="0"/>
              <w:rPr>
                <w:sz w:val="20"/>
                <w:szCs w:val="20"/>
                <w:color w:val="auto"/>
              </w:rPr>
            </w:pPr>
            <w:r>
              <w:rPr>
                <w:rFonts w:ascii="Arial" w:cs="Arial" w:eastAsia="Arial" w:hAnsi="Arial"/>
                <w:sz w:val="12"/>
                <w:szCs w:val="12"/>
                <w:color w:val="003551"/>
              </w:rPr>
              <w:t>-</w:t>
            </w:r>
          </w:p>
        </w:tc>
        <w:tc>
          <w:tcPr>
            <w:tcW w:w="780" w:type="dxa"/>
            <w:vAlign w:val="bottom"/>
          </w:tcPr>
          <w:p>
            <w:pPr>
              <w:ind w:left="20"/>
              <w:spacing w:after="0"/>
              <w:rPr>
                <w:sz w:val="20"/>
                <w:szCs w:val="20"/>
                <w:color w:val="auto"/>
              </w:rPr>
            </w:pPr>
            <w:r>
              <w:rPr>
                <w:rFonts w:ascii="Arial" w:cs="Arial" w:eastAsia="Arial" w:hAnsi="Arial"/>
                <w:sz w:val="12"/>
                <w:szCs w:val="12"/>
                <w:color w:val="003551"/>
              </w:rPr>
              <w:t>-</w:t>
            </w:r>
          </w:p>
        </w:tc>
        <w:tc>
          <w:tcPr>
            <w:tcW w:w="460" w:type="dxa"/>
            <w:vAlign w:val="bottom"/>
            <w:gridSpan w:val="2"/>
          </w:tcPr>
          <w:p>
            <w:pPr>
              <w:ind w:left="160"/>
              <w:spacing w:after="0"/>
              <w:rPr>
                <w:sz w:val="20"/>
                <w:szCs w:val="20"/>
                <w:color w:val="auto"/>
              </w:rPr>
            </w:pPr>
            <w:r>
              <w:rPr>
                <w:rFonts w:ascii="Arial" w:cs="Arial" w:eastAsia="Arial" w:hAnsi="Arial"/>
                <w:sz w:val="12"/>
                <w:szCs w:val="12"/>
                <w:color w:val="003551"/>
              </w:rPr>
              <w:t>-</w:t>
            </w:r>
          </w:p>
        </w:tc>
        <w:tc>
          <w:tcPr>
            <w:tcW w:w="40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Arial" w:cs="Arial" w:eastAsia="Arial" w:hAnsi="Arial"/>
                <w:sz w:val="12"/>
                <w:szCs w:val="12"/>
                <w:color w:val="003551"/>
              </w:rPr>
              <w:t>-</w:t>
            </w:r>
          </w:p>
        </w:tc>
        <w:tc>
          <w:tcPr>
            <w:tcW w:w="48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Arial" w:cs="Arial" w:eastAsia="Arial" w:hAnsi="Arial"/>
                <w:sz w:val="12"/>
                <w:szCs w:val="12"/>
                <w:color w:val="003551"/>
              </w:rPr>
              <w:t>-</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color w:val="003551"/>
              </w:rPr>
              <w:t>2,400,000</w:t>
            </w:r>
            <w:r>
              <w:rPr>
                <w:rFonts w:ascii="Arial" w:cs="Arial" w:eastAsia="Arial" w:hAnsi="Arial"/>
                <w:sz w:val="20"/>
                <w:szCs w:val="20"/>
                <w:color w:val="003551"/>
                <w:vertAlign w:val="superscript"/>
              </w:rPr>
              <w:t>(5)</w:t>
            </w:r>
          </w:p>
        </w:tc>
        <w:tc>
          <w:tcPr>
            <w:tcW w:w="1180" w:type="dxa"/>
            <w:vAlign w:val="bottom"/>
            <w:gridSpan w:val="2"/>
          </w:tcPr>
          <w:p>
            <w:pPr>
              <w:ind w:left="160"/>
              <w:spacing w:after="0"/>
              <w:rPr>
                <w:sz w:val="20"/>
                <w:szCs w:val="20"/>
                <w:color w:val="auto"/>
              </w:rPr>
            </w:pPr>
            <w:r>
              <w:rPr>
                <w:rFonts w:ascii="Arial" w:cs="Arial" w:eastAsia="Arial" w:hAnsi="Arial"/>
                <w:sz w:val="12"/>
                <w:szCs w:val="12"/>
                <w:color w:val="003551"/>
              </w:rPr>
              <w:t>$20,496,000</w:t>
            </w:r>
          </w:p>
        </w:tc>
        <w:tc>
          <w:tcPr>
            <w:tcW w:w="0" w:type="dxa"/>
            <w:vAlign w:val="bottom"/>
          </w:tcPr>
          <w:p>
            <w:pPr>
              <w:spacing w:after="0"/>
              <w:rPr>
                <w:sz w:val="1"/>
                <w:szCs w:val="1"/>
                <w:color w:val="auto"/>
              </w:rPr>
            </w:pPr>
          </w:p>
        </w:tc>
      </w:tr>
      <w:tr>
        <w:trPr>
          <w:trHeight w:val="432"/>
        </w:trPr>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gridSpan w:val="2"/>
          </w:tcPr>
          <w:p>
            <w:pPr>
              <w:ind w:left="140"/>
              <w:spacing w:after="0"/>
              <w:rPr>
                <w:sz w:val="20"/>
                <w:szCs w:val="20"/>
                <w:color w:val="auto"/>
              </w:rPr>
            </w:pPr>
            <w:r>
              <w:rPr>
                <w:rFonts w:ascii="Arial" w:cs="Arial" w:eastAsia="Arial" w:hAnsi="Arial"/>
                <w:sz w:val="12"/>
                <w:szCs w:val="12"/>
                <w:color w:val="003551"/>
              </w:rPr>
              <w:t>6/23/25</w:t>
            </w:r>
          </w:p>
        </w:tc>
        <w:tc>
          <w:tcPr>
            <w:tcW w:w="80" w:type="dxa"/>
            <w:vAlign w:val="bottom"/>
          </w:tcPr>
          <w:p>
            <w:pPr>
              <w:spacing w:after="0"/>
              <w:rPr>
                <w:sz w:val="24"/>
                <w:szCs w:val="24"/>
                <w:color w:val="auto"/>
              </w:rPr>
            </w:pPr>
          </w:p>
        </w:tc>
        <w:tc>
          <w:tcPr>
            <w:tcW w:w="940" w:type="dxa"/>
            <w:vAlign w:val="bottom"/>
            <w:gridSpan w:val="2"/>
          </w:tcPr>
          <w:p>
            <w:pPr>
              <w:ind w:left="80"/>
              <w:spacing w:after="0"/>
              <w:rPr>
                <w:sz w:val="20"/>
                <w:szCs w:val="20"/>
                <w:color w:val="auto"/>
              </w:rPr>
            </w:pPr>
            <w:r>
              <w:rPr>
                <w:rFonts w:ascii="Arial" w:cs="Arial" w:eastAsia="Arial" w:hAnsi="Arial"/>
                <w:sz w:val="12"/>
                <w:szCs w:val="12"/>
                <w:color w:val="003551"/>
              </w:rPr>
              <w:t>-</w:t>
            </w:r>
          </w:p>
        </w:tc>
        <w:tc>
          <w:tcPr>
            <w:tcW w:w="780" w:type="dxa"/>
            <w:vAlign w:val="bottom"/>
          </w:tcPr>
          <w:p>
            <w:pPr>
              <w:ind w:left="20"/>
              <w:spacing w:after="0"/>
              <w:rPr>
                <w:sz w:val="20"/>
                <w:szCs w:val="20"/>
                <w:color w:val="auto"/>
              </w:rPr>
            </w:pPr>
            <w:r>
              <w:rPr>
                <w:rFonts w:ascii="Arial" w:cs="Arial" w:eastAsia="Arial" w:hAnsi="Arial"/>
                <w:sz w:val="12"/>
                <w:szCs w:val="12"/>
                <w:color w:val="003551"/>
              </w:rPr>
              <w:t>-</w:t>
            </w:r>
          </w:p>
        </w:tc>
        <w:tc>
          <w:tcPr>
            <w:tcW w:w="460" w:type="dxa"/>
            <w:vAlign w:val="bottom"/>
            <w:gridSpan w:val="2"/>
          </w:tcPr>
          <w:p>
            <w:pPr>
              <w:ind w:left="160"/>
              <w:spacing w:after="0"/>
              <w:rPr>
                <w:sz w:val="20"/>
                <w:szCs w:val="20"/>
                <w:color w:val="auto"/>
              </w:rPr>
            </w:pPr>
            <w:r>
              <w:rPr>
                <w:rFonts w:ascii="Arial" w:cs="Arial" w:eastAsia="Arial" w:hAnsi="Arial"/>
                <w:sz w:val="12"/>
                <w:szCs w:val="12"/>
                <w:color w:val="003551"/>
              </w:rPr>
              <w:t>-</w:t>
            </w:r>
          </w:p>
        </w:tc>
        <w:tc>
          <w:tcPr>
            <w:tcW w:w="40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Arial" w:cs="Arial" w:eastAsia="Arial" w:hAnsi="Arial"/>
                <w:sz w:val="12"/>
                <w:szCs w:val="12"/>
                <w:color w:val="003551"/>
              </w:rPr>
              <w:t>-</w:t>
            </w:r>
          </w:p>
        </w:tc>
        <w:tc>
          <w:tcPr>
            <w:tcW w:w="48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Arial" w:cs="Arial" w:eastAsia="Arial" w:hAnsi="Arial"/>
                <w:sz w:val="12"/>
                <w:szCs w:val="12"/>
                <w:color w:val="003551"/>
              </w:rPr>
              <w:t>-</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color w:val="003551"/>
              </w:rPr>
              <w:t>1,844,862</w:t>
            </w:r>
            <w:r>
              <w:rPr>
                <w:rFonts w:ascii="Arial" w:cs="Arial" w:eastAsia="Arial" w:hAnsi="Arial"/>
                <w:sz w:val="20"/>
                <w:szCs w:val="20"/>
                <w:color w:val="003551"/>
                <w:vertAlign w:val="superscript"/>
              </w:rPr>
              <w:t>(6)</w:t>
            </w:r>
          </w:p>
        </w:tc>
        <w:tc>
          <w:tcPr>
            <w:tcW w:w="1180" w:type="dxa"/>
            <w:vAlign w:val="bottom"/>
            <w:gridSpan w:val="2"/>
          </w:tcPr>
          <w:p>
            <w:pPr>
              <w:ind w:left="160"/>
              <w:spacing w:after="0"/>
              <w:rPr>
                <w:sz w:val="20"/>
                <w:szCs w:val="20"/>
                <w:color w:val="auto"/>
              </w:rPr>
            </w:pPr>
            <w:r>
              <w:rPr>
                <w:rFonts w:ascii="Arial" w:cs="Arial" w:eastAsia="Arial" w:hAnsi="Arial"/>
                <w:sz w:val="12"/>
                <w:szCs w:val="12"/>
                <w:color w:val="003551"/>
              </w:rPr>
              <w:t>$19,666,229</w:t>
            </w:r>
          </w:p>
        </w:tc>
        <w:tc>
          <w:tcPr>
            <w:tcW w:w="0" w:type="dxa"/>
            <w:vAlign w:val="bottom"/>
          </w:tcPr>
          <w:p>
            <w:pPr>
              <w:spacing w:after="0"/>
              <w:rPr>
                <w:sz w:val="1"/>
                <w:szCs w:val="1"/>
                <w:color w:val="auto"/>
              </w:rPr>
            </w:pPr>
          </w:p>
        </w:tc>
      </w:tr>
      <w:tr>
        <w:trPr>
          <w:trHeight w:val="406"/>
        </w:trPr>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gridSpan w:val="2"/>
          </w:tcPr>
          <w:p>
            <w:pPr>
              <w:ind w:left="140"/>
              <w:spacing w:after="0"/>
              <w:rPr>
                <w:sz w:val="20"/>
                <w:szCs w:val="20"/>
                <w:color w:val="auto"/>
              </w:rPr>
            </w:pPr>
            <w:r>
              <w:rPr>
                <w:rFonts w:ascii="Arial" w:cs="Arial" w:eastAsia="Arial" w:hAnsi="Arial"/>
                <w:sz w:val="12"/>
                <w:szCs w:val="12"/>
                <w:color w:val="003551"/>
              </w:rPr>
              <w:t>6/23/25</w:t>
            </w:r>
          </w:p>
        </w:tc>
        <w:tc>
          <w:tcPr>
            <w:tcW w:w="80" w:type="dxa"/>
            <w:vAlign w:val="bottom"/>
          </w:tcPr>
          <w:p>
            <w:pPr>
              <w:spacing w:after="0"/>
              <w:rPr>
                <w:sz w:val="24"/>
                <w:szCs w:val="24"/>
                <w:color w:val="auto"/>
              </w:rPr>
            </w:pPr>
          </w:p>
        </w:tc>
        <w:tc>
          <w:tcPr>
            <w:tcW w:w="940" w:type="dxa"/>
            <w:vAlign w:val="bottom"/>
            <w:gridSpan w:val="2"/>
          </w:tcPr>
          <w:p>
            <w:pPr>
              <w:ind w:left="80"/>
              <w:spacing w:after="0"/>
              <w:rPr>
                <w:sz w:val="20"/>
                <w:szCs w:val="20"/>
                <w:color w:val="auto"/>
              </w:rPr>
            </w:pPr>
            <w:r>
              <w:rPr>
                <w:rFonts w:ascii="Arial" w:cs="Arial" w:eastAsia="Arial" w:hAnsi="Arial"/>
                <w:sz w:val="12"/>
                <w:szCs w:val="12"/>
                <w:color w:val="003551"/>
              </w:rPr>
              <w:t>-</w:t>
            </w:r>
          </w:p>
        </w:tc>
        <w:tc>
          <w:tcPr>
            <w:tcW w:w="780" w:type="dxa"/>
            <w:vAlign w:val="bottom"/>
          </w:tcPr>
          <w:p>
            <w:pPr>
              <w:ind w:left="20"/>
              <w:spacing w:after="0"/>
              <w:rPr>
                <w:sz w:val="20"/>
                <w:szCs w:val="20"/>
                <w:color w:val="auto"/>
              </w:rPr>
            </w:pPr>
            <w:r>
              <w:rPr>
                <w:rFonts w:ascii="Arial" w:cs="Arial" w:eastAsia="Arial" w:hAnsi="Arial"/>
                <w:sz w:val="12"/>
                <w:szCs w:val="12"/>
                <w:color w:val="003551"/>
              </w:rPr>
              <w:t>-</w:t>
            </w:r>
          </w:p>
        </w:tc>
        <w:tc>
          <w:tcPr>
            <w:tcW w:w="460" w:type="dxa"/>
            <w:vAlign w:val="bottom"/>
            <w:gridSpan w:val="2"/>
          </w:tcPr>
          <w:p>
            <w:pPr>
              <w:ind w:left="160"/>
              <w:spacing w:after="0"/>
              <w:rPr>
                <w:sz w:val="20"/>
                <w:szCs w:val="20"/>
                <w:color w:val="auto"/>
              </w:rPr>
            </w:pPr>
            <w:r>
              <w:rPr>
                <w:rFonts w:ascii="Arial" w:cs="Arial" w:eastAsia="Arial" w:hAnsi="Arial"/>
                <w:sz w:val="12"/>
                <w:szCs w:val="12"/>
                <w:color w:val="003551"/>
              </w:rPr>
              <w:t>-</w:t>
            </w:r>
          </w:p>
        </w:tc>
        <w:tc>
          <w:tcPr>
            <w:tcW w:w="400" w:type="dxa"/>
            <w:vAlign w:val="bottom"/>
          </w:tcPr>
          <w:p>
            <w:pPr>
              <w:spacing w:after="0"/>
              <w:rPr>
                <w:sz w:val="24"/>
                <w:szCs w:val="24"/>
                <w:color w:val="auto"/>
              </w:rPr>
            </w:pPr>
          </w:p>
        </w:tc>
        <w:tc>
          <w:tcPr>
            <w:tcW w:w="900" w:type="dxa"/>
            <w:vAlign w:val="bottom"/>
            <w:gridSpan w:val="2"/>
          </w:tcPr>
          <w:p>
            <w:pPr>
              <w:ind w:left="100"/>
              <w:spacing w:after="0"/>
              <w:rPr>
                <w:sz w:val="20"/>
                <w:szCs w:val="20"/>
                <w:color w:val="auto"/>
              </w:rPr>
            </w:pPr>
            <w:r>
              <w:rPr>
                <w:rFonts w:ascii="Arial" w:cs="Arial" w:eastAsia="Arial" w:hAnsi="Arial"/>
                <w:sz w:val="12"/>
                <w:szCs w:val="12"/>
                <w:color w:val="003551"/>
              </w:rPr>
              <w:t>1,844,862</w:t>
            </w:r>
            <w:r>
              <w:rPr>
                <w:rFonts w:ascii="Arial" w:cs="Arial" w:eastAsia="Arial" w:hAnsi="Arial"/>
                <w:sz w:val="20"/>
                <w:szCs w:val="20"/>
                <w:color w:val="003551"/>
                <w:vertAlign w:val="superscript"/>
              </w:rPr>
              <w:t>(7)</w:t>
            </w:r>
          </w:p>
        </w:tc>
        <w:tc>
          <w:tcPr>
            <w:tcW w:w="480" w:type="dxa"/>
            <w:vAlign w:val="bottom"/>
          </w:tcPr>
          <w:p>
            <w:pPr>
              <w:ind w:left="120"/>
              <w:spacing w:after="0"/>
              <w:rPr>
                <w:sz w:val="20"/>
                <w:szCs w:val="20"/>
                <w:color w:val="auto"/>
              </w:rPr>
            </w:pPr>
            <w:r>
              <w:rPr>
                <w:rFonts w:ascii="Arial" w:cs="Arial" w:eastAsia="Arial" w:hAnsi="Arial"/>
                <w:sz w:val="12"/>
                <w:szCs w:val="12"/>
                <w:color w:val="003551"/>
              </w:rPr>
              <w:t>-</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color w:val="003551"/>
              </w:rPr>
              <w:t>-</w:t>
            </w:r>
          </w:p>
        </w:tc>
        <w:tc>
          <w:tcPr>
            <w:tcW w:w="1180" w:type="dxa"/>
            <w:vAlign w:val="bottom"/>
            <w:gridSpan w:val="2"/>
          </w:tcPr>
          <w:p>
            <w:pPr>
              <w:ind w:left="160"/>
              <w:spacing w:after="0"/>
              <w:rPr>
                <w:sz w:val="20"/>
                <w:szCs w:val="20"/>
                <w:color w:val="auto"/>
              </w:rPr>
            </w:pPr>
            <w:r>
              <w:rPr>
                <w:rFonts w:ascii="Arial" w:cs="Arial" w:eastAsia="Arial" w:hAnsi="Arial"/>
                <w:sz w:val="12"/>
                <w:szCs w:val="12"/>
                <w:color w:val="003551"/>
              </w:rPr>
              <w:t>$11,899,360</w:t>
            </w:r>
          </w:p>
        </w:tc>
        <w:tc>
          <w:tcPr>
            <w:tcW w:w="0" w:type="dxa"/>
            <w:vAlign w:val="bottom"/>
          </w:tcPr>
          <w:p>
            <w:pPr>
              <w:spacing w:after="0"/>
              <w:rPr>
                <w:sz w:val="1"/>
                <w:szCs w:val="1"/>
                <w:color w:val="auto"/>
              </w:rPr>
            </w:pPr>
          </w:p>
        </w:tc>
      </w:tr>
      <w:tr>
        <w:trPr>
          <w:trHeight w:val="23"/>
        </w:trPr>
        <w:tc>
          <w:tcPr>
            <w:tcW w:w="80" w:type="dxa"/>
            <w:vAlign w:val="bottom"/>
            <w:tcBorders>
              <w:bottom w:val="single" w:sz="8" w:color="77C483"/>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77C483"/>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77C483"/>
            </w:tcBorders>
          </w:tcPr>
          <w:p>
            <w:pPr>
              <w:spacing w:after="0" w:line="20" w:lineRule="exact"/>
              <w:rPr>
                <w:sz w:val="1"/>
                <w:szCs w:val="1"/>
                <w:color w:val="auto"/>
              </w:rPr>
            </w:pPr>
          </w:p>
        </w:tc>
        <w:tc>
          <w:tcPr>
            <w:tcW w:w="80" w:type="dxa"/>
            <w:vAlign w:val="bottom"/>
            <w:tcBorders>
              <w:bottom w:val="single" w:sz="8" w:color="77C483"/>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77C483"/>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77C483"/>
            </w:tcBorders>
          </w:tcPr>
          <w:p>
            <w:pPr>
              <w:spacing w:after="0" w:line="20" w:lineRule="exact"/>
              <w:rPr>
                <w:sz w:val="1"/>
                <w:szCs w:val="1"/>
                <w:color w:val="auto"/>
              </w:rPr>
            </w:pPr>
          </w:p>
        </w:tc>
        <w:tc>
          <w:tcPr>
            <w:tcW w:w="80" w:type="dxa"/>
            <w:vAlign w:val="bottom"/>
            <w:tcBorders>
              <w:bottom w:val="single" w:sz="8" w:color="77C483"/>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bottom w:val="single" w:sz="8" w:color="77C483"/>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gridSpan w:val="2"/>
          </w:tcPr>
          <w:p>
            <w:pPr>
              <w:ind w:left="140"/>
              <w:spacing w:after="0"/>
              <w:rPr>
                <w:sz w:val="20"/>
                <w:szCs w:val="20"/>
                <w:color w:val="auto"/>
              </w:rPr>
            </w:pPr>
            <w:r>
              <w:rPr>
                <w:rFonts w:ascii="Arial" w:cs="Arial" w:eastAsia="Arial" w:hAnsi="Arial"/>
                <w:sz w:val="12"/>
                <w:szCs w:val="12"/>
                <w:color w:val="003551"/>
              </w:rPr>
              <w:t>-</w:t>
            </w:r>
          </w:p>
        </w:tc>
        <w:tc>
          <w:tcPr>
            <w:tcW w:w="80" w:type="dxa"/>
            <w:vAlign w:val="bottom"/>
          </w:tcPr>
          <w:p>
            <w:pPr>
              <w:spacing w:after="0"/>
              <w:rPr>
                <w:sz w:val="24"/>
                <w:szCs w:val="24"/>
                <w:color w:val="auto"/>
              </w:rPr>
            </w:pPr>
          </w:p>
        </w:tc>
        <w:tc>
          <w:tcPr>
            <w:tcW w:w="940" w:type="dxa"/>
            <w:vAlign w:val="bottom"/>
            <w:gridSpan w:val="2"/>
          </w:tcPr>
          <w:p>
            <w:pPr>
              <w:ind w:left="80"/>
              <w:spacing w:after="0"/>
              <w:rPr>
                <w:sz w:val="20"/>
                <w:szCs w:val="20"/>
                <w:color w:val="auto"/>
              </w:rPr>
            </w:pPr>
            <w:r>
              <w:rPr>
                <w:rFonts w:ascii="Arial" w:cs="Arial" w:eastAsia="Arial" w:hAnsi="Arial"/>
                <w:sz w:val="12"/>
                <w:szCs w:val="12"/>
                <w:color w:val="003551"/>
              </w:rPr>
              <w:t>$984,000</w:t>
            </w:r>
          </w:p>
        </w:tc>
        <w:tc>
          <w:tcPr>
            <w:tcW w:w="780" w:type="dxa"/>
            <w:vAlign w:val="bottom"/>
          </w:tcPr>
          <w:p>
            <w:pPr>
              <w:ind w:left="20"/>
              <w:spacing w:after="0"/>
              <w:rPr>
                <w:sz w:val="20"/>
                <w:szCs w:val="20"/>
                <w:color w:val="auto"/>
              </w:rPr>
            </w:pPr>
            <w:r>
              <w:rPr>
                <w:rFonts w:ascii="Arial" w:cs="Arial" w:eastAsia="Arial" w:hAnsi="Arial"/>
                <w:sz w:val="12"/>
                <w:szCs w:val="12"/>
                <w:color w:val="003551"/>
              </w:rPr>
              <w:t>$1,968,000</w:t>
            </w:r>
          </w:p>
        </w:tc>
        <w:tc>
          <w:tcPr>
            <w:tcW w:w="460" w:type="dxa"/>
            <w:vAlign w:val="bottom"/>
            <w:gridSpan w:val="2"/>
          </w:tcPr>
          <w:p>
            <w:pPr>
              <w:ind w:left="160"/>
              <w:spacing w:after="0"/>
              <w:rPr>
                <w:sz w:val="20"/>
                <w:szCs w:val="20"/>
                <w:color w:val="auto"/>
              </w:rPr>
            </w:pPr>
            <w:r>
              <w:rPr>
                <w:rFonts w:ascii="Arial" w:cs="Arial" w:eastAsia="Arial" w:hAnsi="Arial"/>
                <w:sz w:val="12"/>
                <w:szCs w:val="12"/>
                <w:color w:val="003551"/>
              </w:rPr>
              <w:t>-</w:t>
            </w:r>
          </w:p>
        </w:tc>
        <w:tc>
          <w:tcPr>
            <w:tcW w:w="40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Arial" w:cs="Arial" w:eastAsia="Arial" w:hAnsi="Arial"/>
                <w:sz w:val="12"/>
                <w:szCs w:val="12"/>
                <w:color w:val="003551"/>
              </w:rPr>
              <w:t>-</w:t>
            </w:r>
          </w:p>
        </w:tc>
        <w:tc>
          <w:tcPr>
            <w:tcW w:w="48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Arial" w:cs="Arial" w:eastAsia="Arial" w:hAnsi="Arial"/>
                <w:sz w:val="12"/>
                <w:szCs w:val="12"/>
                <w:color w:val="003551"/>
              </w:rPr>
              <w:t>-</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color w:val="003551"/>
              </w:rPr>
              <w:t>-</w:t>
            </w:r>
          </w:p>
        </w:tc>
        <w:tc>
          <w:tcPr>
            <w:tcW w:w="1180" w:type="dxa"/>
            <w:vAlign w:val="bottom"/>
            <w:gridSpan w:val="2"/>
          </w:tcPr>
          <w:p>
            <w:pPr>
              <w:ind w:left="160"/>
              <w:spacing w:after="0"/>
              <w:rPr>
                <w:sz w:val="20"/>
                <w:szCs w:val="20"/>
                <w:color w:val="auto"/>
              </w:rPr>
            </w:pPr>
            <w:r>
              <w:rPr>
                <w:rFonts w:ascii="Arial" w:cs="Arial" w:eastAsia="Arial" w:hAnsi="Arial"/>
                <w:sz w:val="12"/>
                <w:szCs w:val="12"/>
                <w:color w:val="003551"/>
              </w:rPr>
              <w:t>-</w:t>
            </w:r>
          </w:p>
        </w:tc>
        <w:tc>
          <w:tcPr>
            <w:tcW w:w="0" w:type="dxa"/>
            <w:vAlign w:val="bottom"/>
          </w:tcPr>
          <w:p>
            <w:pPr>
              <w:spacing w:after="0"/>
              <w:rPr>
                <w:sz w:val="1"/>
                <w:szCs w:val="1"/>
                <w:color w:val="auto"/>
              </w:rPr>
            </w:pPr>
          </w:p>
        </w:tc>
      </w:tr>
      <w:tr>
        <w:trPr>
          <w:trHeight w:val="538"/>
        </w:trPr>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gridSpan w:val="2"/>
          </w:tcPr>
          <w:p>
            <w:pPr>
              <w:ind w:left="140"/>
              <w:spacing w:after="0"/>
              <w:rPr>
                <w:sz w:val="20"/>
                <w:szCs w:val="20"/>
                <w:color w:val="auto"/>
              </w:rPr>
            </w:pPr>
            <w:r>
              <w:rPr>
                <w:rFonts w:ascii="Arial" w:cs="Arial" w:eastAsia="Arial" w:hAnsi="Arial"/>
                <w:sz w:val="12"/>
                <w:szCs w:val="12"/>
                <w:color w:val="003551"/>
              </w:rPr>
              <w:t>7/1/24</w:t>
            </w:r>
          </w:p>
        </w:tc>
        <w:tc>
          <w:tcPr>
            <w:tcW w:w="80" w:type="dxa"/>
            <w:vAlign w:val="bottom"/>
          </w:tcPr>
          <w:p>
            <w:pPr>
              <w:spacing w:after="0"/>
              <w:rPr>
                <w:sz w:val="24"/>
                <w:szCs w:val="24"/>
                <w:color w:val="auto"/>
              </w:rPr>
            </w:pPr>
          </w:p>
        </w:tc>
        <w:tc>
          <w:tcPr>
            <w:tcW w:w="940" w:type="dxa"/>
            <w:vAlign w:val="bottom"/>
            <w:gridSpan w:val="2"/>
          </w:tcPr>
          <w:p>
            <w:pPr>
              <w:ind w:left="80"/>
              <w:spacing w:after="0"/>
              <w:rPr>
                <w:sz w:val="20"/>
                <w:szCs w:val="20"/>
                <w:color w:val="auto"/>
              </w:rPr>
            </w:pPr>
            <w:r>
              <w:rPr>
                <w:rFonts w:ascii="Arial" w:cs="Arial" w:eastAsia="Arial" w:hAnsi="Arial"/>
                <w:sz w:val="12"/>
                <w:szCs w:val="12"/>
                <w:color w:val="003551"/>
              </w:rPr>
              <w:t>-</w:t>
            </w:r>
          </w:p>
        </w:tc>
        <w:tc>
          <w:tcPr>
            <w:tcW w:w="780" w:type="dxa"/>
            <w:vAlign w:val="bottom"/>
          </w:tcPr>
          <w:p>
            <w:pPr>
              <w:ind w:left="20"/>
              <w:spacing w:after="0"/>
              <w:rPr>
                <w:sz w:val="20"/>
                <w:szCs w:val="20"/>
                <w:color w:val="auto"/>
              </w:rPr>
            </w:pPr>
            <w:r>
              <w:rPr>
                <w:rFonts w:ascii="Arial" w:cs="Arial" w:eastAsia="Arial" w:hAnsi="Arial"/>
                <w:sz w:val="12"/>
                <w:szCs w:val="12"/>
                <w:color w:val="003551"/>
              </w:rPr>
              <w:t>-</w:t>
            </w:r>
          </w:p>
        </w:tc>
        <w:tc>
          <w:tcPr>
            <w:tcW w:w="460" w:type="dxa"/>
            <w:vAlign w:val="bottom"/>
            <w:gridSpan w:val="2"/>
          </w:tcPr>
          <w:p>
            <w:pPr>
              <w:ind w:left="160"/>
              <w:spacing w:after="0"/>
              <w:rPr>
                <w:sz w:val="20"/>
                <w:szCs w:val="20"/>
                <w:color w:val="auto"/>
              </w:rPr>
            </w:pPr>
            <w:r>
              <w:rPr>
                <w:rFonts w:ascii="Arial" w:cs="Arial" w:eastAsia="Arial" w:hAnsi="Arial"/>
                <w:sz w:val="12"/>
                <w:szCs w:val="12"/>
                <w:color w:val="003551"/>
              </w:rPr>
              <w:t>-</w:t>
            </w:r>
          </w:p>
        </w:tc>
        <w:tc>
          <w:tcPr>
            <w:tcW w:w="40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Arial" w:cs="Arial" w:eastAsia="Arial" w:hAnsi="Arial"/>
                <w:sz w:val="12"/>
                <w:szCs w:val="12"/>
                <w:color w:val="003551"/>
              </w:rPr>
              <w:t>-</w:t>
            </w:r>
          </w:p>
        </w:tc>
        <w:tc>
          <w:tcPr>
            <w:tcW w:w="48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Arial" w:cs="Arial" w:eastAsia="Arial" w:hAnsi="Arial"/>
                <w:sz w:val="12"/>
                <w:szCs w:val="12"/>
                <w:color w:val="003551"/>
              </w:rPr>
              <w:t>-</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color w:val="003551"/>
              </w:rPr>
              <w:t>354,297</w:t>
            </w:r>
            <w:r>
              <w:rPr>
                <w:rFonts w:ascii="Arial" w:cs="Arial" w:eastAsia="Arial" w:hAnsi="Arial"/>
                <w:sz w:val="20"/>
                <w:szCs w:val="20"/>
                <w:color w:val="003551"/>
                <w:vertAlign w:val="superscript"/>
              </w:rPr>
              <w:t>(3)</w:t>
            </w:r>
          </w:p>
        </w:tc>
        <w:tc>
          <w:tcPr>
            <w:tcW w:w="1180" w:type="dxa"/>
            <w:vAlign w:val="bottom"/>
            <w:gridSpan w:val="2"/>
          </w:tcPr>
          <w:p>
            <w:pPr>
              <w:ind w:left="160"/>
              <w:spacing w:after="0"/>
              <w:rPr>
                <w:sz w:val="20"/>
                <w:szCs w:val="20"/>
                <w:color w:val="auto"/>
              </w:rPr>
            </w:pPr>
            <w:r>
              <w:rPr>
                <w:rFonts w:ascii="Arial" w:cs="Arial" w:eastAsia="Arial" w:hAnsi="Arial"/>
                <w:sz w:val="12"/>
                <w:szCs w:val="12"/>
                <w:color w:val="003551"/>
              </w:rPr>
              <w:t>$4,000,013</w:t>
            </w:r>
          </w:p>
        </w:tc>
        <w:tc>
          <w:tcPr>
            <w:tcW w:w="0" w:type="dxa"/>
            <w:vAlign w:val="bottom"/>
          </w:tcPr>
          <w:p>
            <w:pPr>
              <w:spacing w:after="0"/>
              <w:rPr>
                <w:sz w:val="1"/>
                <w:szCs w:val="1"/>
                <w:color w:val="auto"/>
              </w:rPr>
            </w:pPr>
          </w:p>
        </w:tc>
      </w:tr>
      <w:tr>
        <w:trPr>
          <w:trHeight w:val="415"/>
        </w:trPr>
        <w:tc>
          <w:tcPr>
            <w:tcW w:w="80" w:type="dxa"/>
            <w:vAlign w:val="bottom"/>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2"/>
                <w:szCs w:val="12"/>
                <w:b w:val="1"/>
                <w:bCs w:val="1"/>
                <w:color w:val="003551"/>
              </w:rPr>
              <w:t>Daniel</w:t>
            </w:r>
          </w:p>
        </w:tc>
        <w:tc>
          <w:tcPr>
            <w:tcW w:w="760" w:type="dxa"/>
            <w:vAlign w:val="bottom"/>
            <w:gridSpan w:val="2"/>
          </w:tcPr>
          <w:p>
            <w:pPr>
              <w:ind w:left="140"/>
              <w:spacing w:after="0"/>
              <w:rPr>
                <w:sz w:val="20"/>
                <w:szCs w:val="20"/>
                <w:color w:val="auto"/>
              </w:rPr>
            </w:pPr>
            <w:r>
              <w:rPr>
                <w:rFonts w:ascii="Arial" w:cs="Arial" w:eastAsia="Arial" w:hAnsi="Arial"/>
                <w:sz w:val="12"/>
                <w:szCs w:val="12"/>
                <w:color w:val="003551"/>
              </w:rPr>
              <w:t>7/1/24</w:t>
            </w:r>
          </w:p>
        </w:tc>
        <w:tc>
          <w:tcPr>
            <w:tcW w:w="80" w:type="dxa"/>
            <w:vAlign w:val="bottom"/>
          </w:tcPr>
          <w:p>
            <w:pPr>
              <w:spacing w:after="0"/>
              <w:rPr>
                <w:sz w:val="24"/>
                <w:szCs w:val="24"/>
                <w:color w:val="auto"/>
              </w:rPr>
            </w:pPr>
          </w:p>
        </w:tc>
        <w:tc>
          <w:tcPr>
            <w:tcW w:w="940" w:type="dxa"/>
            <w:vAlign w:val="bottom"/>
            <w:gridSpan w:val="2"/>
          </w:tcPr>
          <w:p>
            <w:pPr>
              <w:ind w:left="80"/>
              <w:spacing w:after="0"/>
              <w:rPr>
                <w:sz w:val="20"/>
                <w:szCs w:val="20"/>
                <w:color w:val="auto"/>
              </w:rPr>
            </w:pPr>
            <w:r>
              <w:rPr>
                <w:rFonts w:ascii="Arial" w:cs="Arial" w:eastAsia="Arial" w:hAnsi="Arial"/>
                <w:sz w:val="12"/>
                <w:szCs w:val="12"/>
                <w:color w:val="003551"/>
              </w:rPr>
              <w:t>-</w:t>
            </w:r>
          </w:p>
        </w:tc>
        <w:tc>
          <w:tcPr>
            <w:tcW w:w="780" w:type="dxa"/>
            <w:vAlign w:val="bottom"/>
          </w:tcPr>
          <w:p>
            <w:pPr>
              <w:ind w:left="20"/>
              <w:spacing w:after="0"/>
              <w:rPr>
                <w:sz w:val="20"/>
                <w:szCs w:val="20"/>
                <w:color w:val="auto"/>
              </w:rPr>
            </w:pPr>
            <w:r>
              <w:rPr>
                <w:rFonts w:ascii="Arial" w:cs="Arial" w:eastAsia="Arial" w:hAnsi="Arial"/>
                <w:sz w:val="12"/>
                <w:szCs w:val="12"/>
                <w:color w:val="003551"/>
              </w:rPr>
              <w:t>-</w:t>
            </w:r>
          </w:p>
        </w:tc>
        <w:tc>
          <w:tcPr>
            <w:tcW w:w="460" w:type="dxa"/>
            <w:vAlign w:val="bottom"/>
            <w:gridSpan w:val="2"/>
          </w:tcPr>
          <w:p>
            <w:pPr>
              <w:ind w:left="160"/>
              <w:spacing w:after="0"/>
              <w:rPr>
                <w:sz w:val="20"/>
                <w:szCs w:val="20"/>
                <w:color w:val="auto"/>
              </w:rPr>
            </w:pPr>
            <w:r>
              <w:rPr>
                <w:rFonts w:ascii="Arial" w:cs="Arial" w:eastAsia="Arial" w:hAnsi="Arial"/>
                <w:sz w:val="12"/>
                <w:szCs w:val="12"/>
                <w:color w:val="003551"/>
              </w:rPr>
              <w:t>-</w:t>
            </w:r>
          </w:p>
        </w:tc>
        <w:tc>
          <w:tcPr>
            <w:tcW w:w="400" w:type="dxa"/>
            <w:vAlign w:val="bottom"/>
          </w:tcPr>
          <w:p>
            <w:pPr>
              <w:spacing w:after="0"/>
              <w:rPr>
                <w:sz w:val="24"/>
                <w:szCs w:val="24"/>
                <w:color w:val="auto"/>
              </w:rPr>
            </w:pPr>
          </w:p>
        </w:tc>
        <w:tc>
          <w:tcPr>
            <w:tcW w:w="900" w:type="dxa"/>
            <w:vAlign w:val="bottom"/>
            <w:gridSpan w:val="2"/>
          </w:tcPr>
          <w:p>
            <w:pPr>
              <w:ind w:left="100"/>
              <w:spacing w:after="0"/>
              <w:rPr>
                <w:sz w:val="20"/>
                <w:szCs w:val="20"/>
                <w:color w:val="auto"/>
              </w:rPr>
            </w:pPr>
            <w:r>
              <w:rPr>
                <w:rFonts w:ascii="Arial" w:cs="Arial" w:eastAsia="Arial" w:hAnsi="Arial"/>
                <w:sz w:val="12"/>
                <w:szCs w:val="12"/>
                <w:color w:val="003551"/>
              </w:rPr>
              <w:t>984,094</w:t>
            </w:r>
            <w:r>
              <w:rPr>
                <w:rFonts w:ascii="Arial" w:cs="Arial" w:eastAsia="Arial" w:hAnsi="Arial"/>
                <w:sz w:val="20"/>
                <w:szCs w:val="20"/>
                <w:color w:val="003551"/>
                <w:vertAlign w:val="superscript"/>
              </w:rPr>
              <w:t>(4)</w:t>
            </w:r>
          </w:p>
        </w:tc>
        <w:tc>
          <w:tcPr>
            <w:tcW w:w="480" w:type="dxa"/>
            <w:vAlign w:val="bottom"/>
          </w:tcPr>
          <w:p>
            <w:pPr>
              <w:ind w:left="120"/>
              <w:spacing w:after="0"/>
              <w:rPr>
                <w:sz w:val="20"/>
                <w:szCs w:val="20"/>
                <w:color w:val="auto"/>
              </w:rPr>
            </w:pPr>
            <w:r>
              <w:rPr>
                <w:rFonts w:ascii="Arial" w:cs="Arial" w:eastAsia="Arial" w:hAnsi="Arial"/>
                <w:sz w:val="12"/>
                <w:szCs w:val="12"/>
                <w:color w:val="003551"/>
              </w:rPr>
              <w:t>-</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color w:val="003551"/>
              </w:rPr>
              <w:t>-</w:t>
            </w:r>
          </w:p>
        </w:tc>
        <w:tc>
          <w:tcPr>
            <w:tcW w:w="1180" w:type="dxa"/>
            <w:vAlign w:val="bottom"/>
            <w:gridSpan w:val="2"/>
          </w:tcPr>
          <w:p>
            <w:pPr>
              <w:ind w:left="160"/>
              <w:spacing w:after="0"/>
              <w:rPr>
                <w:sz w:val="20"/>
                <w:szCs w:val="20"/>
                <w:color w:val="auto"/>
              </w:rPr>
            </w:pPr>
            <w:r>
              <w:rPr>
                <w:rFonts w:ascii="Arial" w:cs="Arial" w:eastAsia="Arial" w:hAnsi="Arial"/>
                <w:sz w:val="12"/>
                <w:szCs w:val="12"/>
                <w:color w:val="003551"/>
              </w:rPr>
              <w:t>$8,000,026</w:t>
            </w: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Arial" w:cs="Arial" w:eastAsia="Arial" w:hAnsi="Arial"/>
                <w:sz w:val="12"/>
                <w:szCs w:val="12"/>
                <w:b w:val="1"/>
                <w:bCs w:val="1"/>
                <w:color w:val="003551"/>
              </w:rPr>
              <w:t>Roberts</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gridSpan w:val="2"/>
          </w:tcPr>
          <w:p>
            <w:pPr>
              <w:ind w:left="140"/>
              <w:spacing w:after="0"/>
              <w:rPr>
                <w:sz w:val="20"/>
                <w:szCs w:val="20"/>
                <w:color w:val="auto"/>
              </w:rPr>
            </w:pPr>
            <w:r>
              <w:rPr>
                <w:rFonts w:ascii="Arial" w:cs="Arial" w:eastAsia="Arial" w:hAnsi="Arial"/>
                <w:sz w:val="12"/>
                <w:szCs w:val="12"/>
                <w:color w:val="003551"/>
              </w:rPr>
              <w:t>5/19/25</w:t>
            </w:r>
          </w:p>
        </w:tc>
        <w:tc>
          <w:tcPr>
            <w:tcW w:w="80" w:type="dxa"/>
            <w:vAlign w:val="bottom"/>
          </w:tcPr>
          <w:p>
            <w:pPr>
              <w:spacing w:after="0"/>
              <w:rPr>
                <w:sz w:val="24"/>
                <w:szCs w:val="24"/>
                <w:color w:val="auto"/>
              </w:rPr>
            </w:pPr>
          </w:p>
        </w:tc>
        <w:tc>
          <w:tcPr>
            <w:tcW w:w="940" w:type="dxa"/>
            <w:vAlign w:val="bottom"/>
            <w:gridSpan w:val="2"/>
          </w:tcPr>
          <w:p>
            <w:pPr>
              <w:ind w:left="80"/>
              <w:spacing w:after="0"/>
              <w:rPr>
                <w:sz w:val="20"/>
                <w:szCs w:val="20"/>
                <w:color w:val="auto"/>
              </w:rPr>
            </w:pPr>
            <w:r>
              <w:rPr>
                <w:rFonts w:ascii="Arial" w:cs="Arial" w:eastAsia="Arial" w:hAnsi="Arial"/>
                <w:sz w:val="12"/>
                <w:szCs w:val="12"/>
                <w:color w:val="003551"/>
              </w:rPr>
              <w:t>-</w:t>
            </w:r>
          </w:p>
        </w:tc>
        <w:tc>
          <w:tcPr>
            <w:tcW w:w="780" w:type="dxa"/>
            <w:vAlign w:val="bottom"/>
          </w:tcPr>
          <w:p>
            <w:pPr>
              <w:ind w:left="20"/>
              <w:spacing w:after="0"/>
              <w:rPr>
                <w:sz w:val="20"/>
                <w:szCs w:val="20"/>
                <w:color w:val="auto"/>
              </w:rPr>
            </w:pPr>
            <w:r>
              <w:rPr>
                <w:rFonts w:ascii="Arial" w:cs="Arial" w:eastAsia="Arial" w:hAnsi="Arial"/>
                <w:sz w:val="12"/>
                <w:szCs w:val="12"/>
                <w:color w:val="003551"/>
              </w:rPr>
              <w:t>-</w:t>
            </w:r>
          </w:p>
        </w:tc>
        <w:tc>
          <w:tcPr>
            <w:tcW w:w="460" w:type="dxa"/>
            <w:vAlign w:val="bottom"/>
            <w:gridSpan w:val="2"/>
          </w:tcPr>
          <w:p>
            <w:pPr>
              <w:ind w:left="160"/>
              <w:spacing w:after="0"/>
              <w:rPr>
                <w:sz w:val="20"/>
                <w:szCs w:val="20"/>
                <w:color w:val="auto"/>
              </w:rPr>
            </w:pPr>
            <w:r>
              <w:rPr>
                <w:rFonts w:ascii="Arial" w:cs="Arial" w:eastAsia="Arial" w:hAnsi="Arial"/>
                <w:sz w:val="12"/>
                <w:szCs w:val="12"/>
                <w:color w:val="003551"/>
              </w:rPr>
              <w:t>-</w:t>
            </w:r>
          </w:p>
        </w:tc>
        <w:tc>
          <w:tcPr>
            <w:tcW w:w="40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Arial" w:cs="Arial" w:eastAsia="Arial" w:hAnsi="Arial"/>
                <w:sz w:val="12"/>
                <w:szCs w:val="12"/>
                <w:color w:val="003551"/>
              </w:rPr>
              <w:t>-</w:t>
            </w:r>
          </w:p>
        </w:tc>
        <w:tc>
          <w:tcPr>
            <w:tcW w:w="48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Arial" w:cs="Arial" w:eastAsia="Arial" w:hAnsi="Arial"/>
                <w:sz w:val="12"/>
                <w:szCs w:val="12"/>
                <w:color w:val="003551"/>
              </w:rPr>
              <w:t>-</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color w:val="003551"/>
              </w:rPr>
              <w:t>2,400,000</w:t>
            </w:r>
            <w:r>
              <w:rPr>
                <w:rFonts w:ascii="Arial" w:cs="Arial" w:eastAsia="Arial" w:hAnsi="Arial"/>
                <w:sz w:val="20"/>
                <w:szCs w:val="20"/>
                <w:color w:val="003551"/>
                <w:vertAlign w:val="superscript"/>
              </w:rPr>
              <w:t>(5)</w:t>
            </w:r>
          </w:p>
        </w:tc>
        <w:tc>
          <w:tcPr>
            <w:tcW w:w="1180" w:type="dxa"/>
            <w:vAlign w:val="bottom"/>
            <w:gridSpan w:val="2"/>
          </w:tcPr>
          <w:p>
            <w:pPr>
              <w:ind w:left="160"/>
              <w:spacing w:after="0"/>
              <w:rPr>
                <w:sz w:val="20"/>
                <w:szCs w:val="20"/>
                <w:color w:val="auto"/>
              </w:rPr>
            </w:pPr>
            <w:r>
              <w:rPr>
                <w:rFonts w:ascii="Arial" w:cs="Arial" w:eastAsia="Arial" w:hAnsi="Arial"/>
                <w:sz w:val="12"/>
                <w:szCs w:val="12"/>
                <w:color w:val="003551"/>
              </w:rPr>
              <w:t>$20,496,000</w:t>
            </w:r>
          </w:p>
        </w:tc>
        <w:tc>
          <w:tcPr>
            <w:tcW w:w="0" w:type="dxa"/>
            <w:vAlign w:val="bottom"/>
          </w:tcPr>
          <w:p>
            <w:pPr>
              <w:spacing w:after="0"/>
              <w:rPr>
                <w:sz w:val="1"/>
                <w:szCs w:val="1"/>
                <w:color w:val="auto"/>
              </w:rPr>
            </w:pPr>
          </w:p>
        </w:tc>
      </w:tr>
      <w:tr>
        <w:trPr>
          <w:trHeight w:val="432"/>
        </w:trPr>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gridSpan w:val="2"/>
          </w:tcPr>
          <w:p>
            <w:pPr>
              <w:ind w:left="140"/>
              <w:spacing w:after="0"/>
              <w:rPr>
                <w:sz w:val="20"/>
                <w:szCs w:val="20"/>
                <w:color w:val="auto"/>
              </w:rPr>
            </w:pPr>
            <w:r>
              <w:rPr>
                <w:rFonts w:ascii="Arial" w:cs="Arial" w:eastAsia="Arial" w:hAnsi="Arial"/>
                <w:sz w:val="12"/>
                <w:szCs w:val="12"/>
                <w:color w:val="003551"/>
              </w:rPr>
              <w:t>6/23/25</w:t>
            </w:r>
          </w:p>
        </w:tc>
        <w:tc>
          <w:tcPr>
            <w:tcW w:w="80" w:type="dxa"/>
            <w:vAlign w:val="bottom"/>
          </w:tcPr>
          <w:p>
            <w:pPr>
              <w:spacing w:after="0"/>
              <w:rPr>
                <w:sz w:val="24"/>
                <w:szCs w:val="24"/>
                <w:color w:val="auto"/>
              </w:rPr>
            </w:pPr>
          </w:p>
        </w:tc>
        <w:tc>
          <w:tcPr>
            <w:tcW w:w="940" w:type="dxa"/>
            <w:vAlign w:val="bottom"/>
            <w:gridSpan w:val="2"/>
          </w:tcPr>
          <w:p>
            <w:pPr>
              <w:ind w:left="80"/>
              <w:spacing w:after="0"/>
              <w:rPr>
                <w:sz w:val="20"/>
                <w:szCs w:val="20"/>
                <w:color w:val="auto"/>
              </w:rPr>
            </w:pPr>
            <w:r>
              <w:rPr>
                <w:rFonts w:ascii="Arial" w:cs="Arial" w:eastAsia="Arial" w:hAnsi="Arial"/>
                <w:sz w:val="12"/>
                <w:szCs w:val="12"/>
                <w:color w:val="003551"/>
              </w:rPr>
              <w:t>-</w:t>
            </w:r>
          </w:p>
        </w:tc>
        <w:tc>
          <w:tcPr>
            <w:tcW w:w="780" w:type="dxa"/>
            <w:vAlign w:val="bottom"/>
          </w:tcPr>
          <w:p>
            <w:pPr>
              <w:ind w:left="20"/>
              <w:spacing w:after="0"/>
              <w:rPr>
                <w:sz w:val="20"/>
                <w:szCs w:val="20"/>
                <w:color w:val="auto"/>
              </w:rPr>
            </w:pPr>
            <w:r>
              <w:rPr>
                <w:rFonts w:ascii="Arial" w:cs="Arial" w:eastAsia="Arial" w:hAnsi="Arial"/>
                <w:sz w:val="12"/>
                <w:szCs w:val="12"/>
                <w:color w:val="003551"/>
              </w:rPr>
              <w:t>-</w:t>
            </w:r>
          </w:p>
        </w:tc>
        <w:tc>
          <w:tcPr>
            <w:tcW w:w="460" w:type="dxa"/>
            <w:vAlign w:val="bottom"/>
            <w:gridSpan w:val="2"/>
          </w:tcPr>
          <w:p>
            <w:pPr>
              <w:ind w:left="160"/>
              <w:spacing w:after="0"/>
              <w:rPr>
                <w:sz w:val="20"/>
                <w:szCs w:val="20"/>
                <w:color w:val="auto"/>
              </w:rPr>
            </w:pPr>
            <w:r>
              <w:rPr>
                <w:rFonts w:ascii="Arial" w:cs="Arial" w:eastAsia="Arial" w:hAnsi="Arial"/>
                <w:sz w:val="12"/>
                <w:szCs w:val="12"/>
                <w:color w:val="003551"/>
              </w:rPr>
              <w:t>-</w:t>
            </w:r>
          </w:p>
        </w:tc>
        <w:tc>
          <w:tcPr>
            <w:tcW w:w="40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Arial" w:cs="Arial" w:eastAsia="Arial" w:hAnsi="Arial"/>
                <w:sz w:val="12"/>
                <w:szCs w:val="12"/>
                <w:color w:val="003551"/>
              </w:rPr>
              <w:t>-</w:t>
            </w:r>
          </w:p>
        </w:tc>
        <w:tc>
          <w:tcPr>
            <w:tcW w:w="48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Arial" w:cs="Arial" w:eastAsia="Arial" w:hAnsi="Arial"/>
                <w:sz w:val="12"/>
                <w:szCs w:val="12"/>
                <w:color w:val="003551"/>
              </w:rPr>
              <w:t>-</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color w:val="003551"/>
              </w:rPr>
              <w:t>1,844,862</w:t>
            </w:r>
            <w:r>
              <w:rPr>
                <w:rFonts w:ascii="Arial" w:cs="Arial" w:eastAsia="Arial" w:hAnsi="Arial"/>
                <w:sz w:val="20"/>
                <w:szCs w:val="20"/>
                <w:color w:val="003551"/>
                <w:vertAlign w:val="superscript"/>
              </w:rPr>
              <w:t>(6)</w:t>
            </w:r>
          </w:p>
        </w:tc>
        <w:tc>
          <w:tcPr>
            <w:tcW w:w="1180" w:type="dxa"/>
            <w:vAlign w:val="bottom"/>
            <w:gridSpan w:val="2"/>
          </w:tcPr>
          <w:p>
            <w:pPr>
              <w:ind w:left="160"/>
              <w:spacing w:after="0"/>
              <w:rPr>
                <w:sz w:val="20"/>
                <w:szCs w:val="20"/>
                <w:color w:val="auto"/>
              </w:rPr>
            </w:pPr>
            <w:r>
              <w:rPr>
                <w:rFonts w:ascii="Arial" w:cs="Arial" w:eastAsia="Arial" w:hAnsi="Arial"/>
                <w:sz w:val="12"/>
                <w:szCs w:val="12"/>
                <w:color w:val="003551"/>
              </w:rPr>
              <w:t>$19,666,229</w:t>
            </w:r>
          </w:p>
        </w:tc>
        <w:tc>
          <w:tcPr>
            <w:tcW w:w="0" w:type="dxa"/>
            <w:vAlign w:val="bottom"/>
          </w:tcPr>
          <w:p>
            <w:pPr>
              <w:spacing w:after="0"/>
              <w:rPr>
                <w:sz w:val="1"/>
                <w:szCs w:val="1"/>
                <w:color w:val="auto"/>
              </w:rPr>
            </w:pPr>
          </w:p>
        </w:tc>
      </w:tr>
      <w:tr>
        <w:trPr>
          <w:trHeight w:val="406"/>
        </w:trPr>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gridSpan w:val="2"/>
          </w:tcPr>
          <w:p>
            <w:pPr>
              <w:ind w:left="140"/>
              <w:spacing w:after="0"/>
              <w:rPr>
                <w:sz w:val="20"/>
                <w:szCs w:val="20"/>
                <w:color w:val="auto"/>
              </w:rPr>
            </w:pPr>
            <w:r>
              <w:rPr>
                <w:rFonts w:ascii="Arial" w:cs="Arial" w:eastAsia="Arial" w:hAnsi="Arial"/>
                <w:sz w:val="12"/>
                <w:szCs w:val="12"/>
                <w:color w:val="003551"/>
              </w:rPr>
              <w:t>6/23/25</w:t>
            </w:r>
          </w:p>
        </w:tc>
        <w:tc>
          <w:tcPr>
            <w:tcW w:w="80" w:type="dxa"/>
            <w:vAlign w:val="bottom"/>
          </w:tcPr>
          <w:p>
            <w:pPr>
              <w:spacing w:after="0"/>
              <w:rPr>
                <w:sz w:val="24"/>
                <w:szCs w:val="24"/>
                <w:color w:val="auto"/>
              </w:rPr>
            </w:pPr>
          </w:p>
        </w:tc>
        <w:tc>
          <w:tcPr>
            <w:tcW w:w="940" w:type="dxa"/>
            <w:vAlign w:val="bottom"/>
            <w:gridSpan w:val="2"/>
          </w:tcPr>
          <w:p>
            <w:pPr>
              <w:ind w:left="80"/>
              <w:spacing w:after="0"/>
              <w:rPr>
                <w:sz w:val="20"/>
                <w:szCs w:val="20"/>
                <w:color w:val="auto"/>
              </w:rPr>
            </w:pPr>
            <w:r>
              <w:rPr>
                <w:rFonts w:ascii="Arial" w:cs="Arial" w:eastAsia="Arial" w:hAnsi="Arial"/>
                <w:sz w:val="12"/>
                <w:szCs w:val="12"/>
                <w:color w:val="003551"/>
              </w:rPr>
              <w:t>-</w:t>
            </w:r>
          </w:p>
        </w:tc>
        <w:tc>
          <w:tcPr>
            <w:tcW w:w="780" w:type="dxa"/>
            <w:vAlign w:val="bottom"/>
          </w:tcPr>
          <w:p>
            <w:pPr>
              <w:ind w:left="20"/>
              <w:spacing w:after="0"/>
              <w:rPr>
                <w:sz w:val="20"/>
                <w:szCs w:val="20"/>
                <w:color w:val="auto"/>
              </w:rPr>
            </w:pPr>
            <w:r>
              <w:rPr>
                <w:rFonts w:ascii="Arial" w:cs="Arial" w:eastAsia="Arial" w:hAnsi="Arial"/>
                <w:sz w:val="12"/>
                <w:szCs w:val="12"/>
                <w:color w:val="003551"/>
              </w:rPr>
              <w:t>-</w:t>
            </w:r>
          </w:p>
        </w:tc>
        <w:tc>
          <w:tcPr>
            <w:tcW w:w="460" w:type="dxa"/>
            <w:vAlign w:val="bottom"/>
            <w:gridSpan w:val="2"/>
          </w:tcPr>
          <w:p>
            <w:pPr>
              <w:ind w:left="160"/>
              <w:spacing w:after="0"/>
              <w:rPr>
                <w:sz w:val="20"/>
                <w:szCs w:val="20"/>
                <w:color w:val="auto"/>
              </w:rPr>
            </w:pPr>
            <w:r>
              <w:rPr>
                <w:rFonts w:ascii="Arial" w:cs="Arial" w:eastAsia="Arial" w:hAnsi="Arial"/>
                <w:sz w:val="12"/>
                <w:szCs w:val="12"/>
                <w:color w:val="003551"/>
              </w:rPr>
              <w:t>-</w:t>
            </w:r>
          </w:p>
        </w:tc>
        <w:tc>
          <w:tcPr>
            <w:tcW w:w="400" w:type="dxa"/>
            <w:vAlign w:val="bottom"/>
          </w:tcPr>
          <w:p>
            <w:pPr>
              <w:spacing w:after="0"/>
              <w:rPr>
                <w:sz w:val="24"/>
                <w:szCs w:val="24"/>
                <w:color w:val="auto"/>
              </w:rPr>
            </w:pPr>
          </w:p>
        </w:tc>
        <w:tc>
          <w:tcPr>
            <w:tcW w:w="900" w:type="dxa"/>
            <w:vAlign w:val="bottom"/>
            <w:gridSpan w:val="2"/>
          </w:tcPr>
          <w:p>
            <w:pPr>
              <w:ind w:left="100"/>
              <w:spacing w:after="0"/>
              <w:rPr>
                <w:sz w:val="20"/>
                <w:szCs w:val="20"/>
                <w:color w:val="auto"/>
              </w:rPr>
            </w:pPr>
            <w:r>
              <w:rPr>
                <w:rFonts w:ascii="Arial" w:cs="Arial" w:eastAsia="Arial" w:hAnsi="Arial"/>
                <w:sz w:val="12"/>
                <w:szCs w:val="12"/>
                <w:color w:val="003551"/>
              </w:rPr>
              <w:t>1,844,862</w:t>
            </w:r>
            <w:r>
              <w:rPr>
                <w:rFonts w:ascii="Arial" w:cs="Arial" w:eastAsia="Arial" w:hAnsi="Arial"/>
                <w:sz w:val="20"/>
                <w:szCs w:val="20"/>
                <w:color w:val="003551"/>
                <w:vertAlign w:val="superscript"/>
              </w:rPr>
              <w:t>(7)</w:t>
            </w:r>
          </w:p>
        </w:tc>
        <w:tc>
          <w:tcPr>
            <w:tcW w:w="480" w:type="dxa"/>
            <w:vAlign w:val="bottom"/>
          </w:tcPr>
          <w:p>
            <w:pPr>
              <w:ind w:left="120"/>
              <w:spacing w:after="0"/>
              <w:rPr>
                <w:sz w:val="20"/>
                <w:szCs w:val="20"/>
                <w:color w:val="auto"/>
              </w:rPr>
            </w:pPr>
            <w:r>
              <w:rPr>
                <w:rFonts w:ascii="Arial" w:cs="Arial" w:eastAsia="Arial" w:hAnsi="Arial"/>
                <w:sz w:val="12"/>
                <w:szCs w:val="12"/>
                <w:color w:val="003551"/>
              </w:rPr>
              <w:t>-</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color w:val="003551"/>
              </w:rPr>
              <w:t>-</w:t>
            </w:r>
          </w:p>
        </w:tc>
        <w:tc>
          <w:tcPr>
            <w:tcW w:w="1180" w:type="dxa"/>
            <w:vAlign w:val="bottom"/>
            <w:gridSpan w:val="2"/>
          </w:tcPr>
          <w:p>
            <w:pPr>
              <w:ind w:left="160"/>
              <w:spacing w:after="0"/>
              <w:rPr>
                <w:sz w:val="20"/>
                <w:szCs w:val="20"/>
                <w:color w:val="auto"/>
              </w:rPr>
            </w:pPr>
            <w:r>
              <w:rPr>
                <w:rFonts w:ascii="Arial" w:cs="Arial" w:eastAsia="Arial" w:hAnsi="Arial"/>
                <w:sz w:val="12"/>
                <w:szCs w:val="12"/>
                <w:color w:val="003551"/>
              </w:rPr>
              <w:t>$11,899,360</w:t>
            </w:r>
          </w:p>
        </w:tc>
        <w:tc>
          <w:tcPr>
            <w:tcW w:w="0" w:type="dxa"/>
            <w:vAlign w:val="bottom"/>
          </w:tcPr>
          <w:p>
            <w:pPr>
              <w:spacing w:after="0"/>
              <w:rPr>
                <w:sz w:val="1"/>
                <w:szCs w:val="1"/>
                <w:color w:val="auto"/>
              </w:rPr>
            </w:pPr>
          </w:p>
        </w:tc>
      </w:tr>
      <w:tr>
        <w:trPr>
          <w:trHeight w:val="23"/>
        </w:trPr>
        <w:tc>
          <w:tcPr>
            <w:tcW w:w="80" w:type="dxa"/>
            <w:vAlign w:val="bottom"/>
            <w:tcBorders>
              <w:bottom w:val="single" w:sz="8" w:color="77C483"/>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77C483"/>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77C483"/>
            </w:tcBorders>
          </w:tcPr>
          <w:p>
            <w:pPr>
              <w:spacing w:after="0" w:line="20" w:lineRule="exact"/>
              <w:rPr>
                <w:sz w:val="1"/>
                <w:szCs w:val="1"/>
                <w:color w:val="auto"/>
              </w:rPr>
            </w:pPr>
          </w:p>
        </w:tc>
        <w:tc>
          <w:tcPr>
            <w:tcW w:w="80" w:type="dxa"/>
            <w:vAlign w:val="bottom"/>
            <w:tcBorders>
              <w:bottom w:val="single" w:sz="8" w:color="77C483"/>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77C483"/>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77C483"/>
            </w:tcBorders>
          </w:tcPr>
          <w:p>
            <w:pPr>
              <w:spacing w:after="0" w:line="20" w:lineRule="exact"/>
              <w:rPr>
                <w:sz w:val="1"/>
                <w:szCs w:val="1"/>
                <w:color w:val="auto"/>
              </w:rPr>
            </w:pPr>
          </w:p>
        </w:tc>
        <w:tc>
          <w:tcPr>
            <w:tcW w:w="80" w:type="dxa"/>
            <w:vAlign w:val="bottom"/>
            <w:tcBorders>
              <w:bottom w:val="single" w:sz="8" w:color="77C483"/>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bottom w:val="single" w:sz="8" w:color="77C483"/>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6"/>
        </w:trPr>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gridSpan w:val="2"/>
          </w:tcPr>
          <w:p>
            <w:pPr>
              <w:ind w:left="140"/>
              <w:spacing w:after="0"/>
              <w:rPr>
                <w:sz w:val="20"/>
                <w:szCs w:val="20"/>
                <w:color w:val="auto"/>
              </w:rPr>
            </w:pPr>
            <w:r>
              <w:rPr>
                <w:rFonts w:ascii="Arial" w:cs="Arial" w:eastAsia="Arial" w:hAnsi="Arial"/>
                <w:sz w:val="12"/>
                <w:szCs w:val="12"/>
                <w:color w:val="003551"/>
              </w:rPr>
              <w:t>-</w:t>
            </w:r>
          </w:p>
        </w:tc>
        <w:tc>
          <w:tcPr>
            <w:tcW w:w="80" w:type="dxa"/>
            <w:vAlign w:val="bottom"/>
          </w:tcPr>
          <w:p>
            <w:pPr>
              <w:spacing w:after="0"/>
              <w:rPr>
                <w:sz w:val="24"/>
                <w:szCs w:val="24"/>
                <w:color w:val="auto"/>
              </w:rPr>
            </w:pPr>
          </w:p>
        </w:tc>
        <w:tc>
          <w:tcPr>
            <w:tcW w:w="940" w:type="dxa"/>
            <w:vAlign w:val="bottom"/>
            <w:gridSpan w:val="2"/>
          </w:tcPr>
          <w:p>
            <w:pPr>
              <w:ind w:left="80"/>
              <w:spacing w:after="0"/>
              <w:rPr>
                <w:sz w:val="20"/>
                <w:szCs w:val="20"/>
                <w:color w:val="auto"/>
              </w:rPr>
            </w:pPr>
            <w:r>
              <w:rPr>
                <w:rFonts w:ascii="Arial" w:cs="Arial" w:eastAsia="Arial" w:hAnsi="Arial"/>
                <w:sz w:val="12"/>
                <w:szCs w:val="12"/>
                <w:color w:val="003551"/>
              </w:rPr>
              <w:t>$258,144</w:t>
            </w:r>
          </w:p>
        </w:tc>
        <w:tc>
          <w:tcPr>
            <w:tcW w:w="780" w:type="dxa"/>
            <w:vAlign w:val="bottom"/>
          </w:tcPr>
          <w:p>
            <w:pPr>
              <w:ind w:left="20"/>
              <w:spacing w:after="0"/>
              <w:rPr>
                <w:sz w:val="20"/>
                <w:szCs w:val="20"/>
                <w:color w:val="auto"/>
              </w:rPr>
            </w:pPr>
            <w:r>
              <w:rPr>
                <w:rFonts w:ascii="Arial" w:cs="Arial" w:eastAsia="Arial" w:hAnsi="Arial"/>
                <w:sz w:val="12"/>
                <w:szCs w:val="12"/>
                <w:color w:val="003551"/>
              </w:rPr>
              <w:t>$387,216</w:t>
            </w:r>
          </w:p>
        </w:tc>
        <w:tc>
          <w:tcPr>
            <w:tcW w:w="460" w:type="dxa"/>
            <w:vAlign w:val="bottom"/>
            <w:gridSpan w:val="2"/>
          </w:tcPr>
          <w:p>
            <w:pPr>
              <w:ind w:left="160"/>
              <w:spacing w:after="0"/>
              <w:rPr>
                <w:sz w:val="20"/>
                <w:szCs w:val="20"/>
                <w:color w:val="auto"/>
              </w:rPr>
            </w:pPr>
            <w:r>
              <w:rPr>
                <w:rFonts w:ascii="Arial" w:cs="Arial" w:eastAsia="Arial" w:hAnsi="Arial"/>
                <w:sz w:val="12"/>
                <w:szCs w:val="12"/>
                <w:color w:val="003551"/>
              </w:rPr>
              <w:t>-</w:t>
            </w:r>
          </w:p>
        </w:tc>
        <w:tc>
          <w:tcPr>
            <w:tcW w:w="40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Arial" w:cs="Arial" w:eastAsia="Arial" w:hAnsi="Arial"/>
                <w:sz w:val="12"/>
                <w:szCs w:val="12"/>
                <w:color w:val="003551"/>
              </w:rPr>
              <w:t>-</w:t>
            </w:r>
          </w:p>
        </w:tc>
        <w:tc>
          <w:tcPr>
            <w:tcW w:w="48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Arial" w:cs="Arial" w:eastAsia="Arial" w:hAnsi="Arial"/>
                <w:sz w:val="12"/>
                <w:szCs w:val="12"/>
                <w:color w:val="003551"/>
              </w:rPr>
              <w:t>-</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color w:val="003551"/>
              </w:rPr>
              <w:t>-</w:t>
            </w:r>
          </w:p>
        </w:tc>
        <w:tc>
          <w:tcPr>
            <w:tcW w:w="1180" w:type="dxa"/>
            <w:vAlign w:val="bottom"/>
            <w:gridSpan w:val="2"/>
          </w:tcPr>
          <w:p>
            <w:pPr>
              <w:ind w:left="160"/>
              <w:spacing w:after="0"/>
              <w:rPr>
                <w:sz w:val="20"/>
                <w:szCs w:val="20"/>
                <w:color w:val="auto"/>
              </w:rPr>
            </w:pPr>
            <w:r>
              <w:rPr>
                <w:rFonts w:ascii="Arial" w:cs="Arial" w:eastAsia="Arial" w:hAnsi="Arial"/>
                <w:sz w:val="12"/>
                <w:szCs w:val="12"/>
                <w:color w:val="003551"/>
              </w:rPr>
              <w:t>-</w:t>
            </w:r>
          </w:p>
        </w:tc>
        <w:tc>
          <w:tcPr>
            <w:tcW w:w="0" w:type="dxa"/>
            <w:vAlign w:val="bottom"/>
          </w:tcPr>
          <w:p>
            <w:pPr>
              <w:spacing w:after="0"/>
              <w:rPr>
                <w:sz w:val="1"/>
                <w:szCs w:val="1"/>
                <w:color w:val="auto"/>
              </w:rPr>
            </w:pPr>
          </w:p>
        </w:tc>
      </w:tr>
      <w:tr>
        <w:trPr>
          <w:trHeight w:val="512"/>
        </w:trPr>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gridSpan w:val="2"/>
          </w:tcPr>
          <w:p>
            <w:pPr>
              <w:ind w:left="140"/>
              <w:spacing w:after="0"/>
              <w:rPr>
                <w:sz w:val="20"/>
                <w:szCs w:val="20"/>
                <w:color w:val="auto"/>
              </w:rPr>
            </w:pPr>
            <w:r>
              <w:rPr>
                <w:rFonts w:ascii="Arial" w:cs="Arial" w:eastAsia="Arial" w:hAnsi="Arial"/>
                <w:sz w:val="12"/>
                <w:szCs w:val="12"/>
                <w:color w:val="003551"/>
              </w:rPr>
              <w:t>7/1/24</w:t>
            </w:r>
          </w:p>
        </w:tc>
        <w:tc>
          <w:tcPr>
            <w:tcW w:w="80" w:type="dxa"/>
            <w:vAlign w:val="bottom"/>
          </w:tcPr>
          <w:p>
            <w:pPr>
              <w:spacing w:after="0"/>
              <w:rPr>
                <w:sz w:val="24"/>
                <w:szCs w:val="24"/>
                <w:color w:val="auto"/>
              </w:rPr>
            </w:pPr>
          </w:p>
        </w:tc>
        <w:tc>
          <w:tcPr>
            <w:tcW w:w="940" w:type="dxa"/>
            <w:vAlign w:val="bottom"/>
            <w:gridSpan w:val="2"/>
          </w:tcPr>
          <w:p>
            <w:pPr>
              <w:ind w:left="80"/>
              <w:spacing w:after="0"/>
              <w:rPr>
                <w:sz w:val="20"/>
                <w:szCs w:val="20"/>
                <w:color w:val="auto"/>
              </w:rPr>
            </w:pPr>
            <w:r>
              <w:rPr>
                <w:rFonts w:ascii="Arial" w:cs="Arial" w:eastAsia="Arial" w:hAnsi="Arial"/>
                <w:sz w:val="12"/>
                <w:szCs w:val="12"/>
                <w:color w:val="003551"/>
              </w:rPr>
              <w:t>-</w:t>
            </w:r>
          </w:p>
        </w:tc>
        <w:tc>
          <w:tcPr>
            <w:tcW w:w="780" w:type="dxa"/>
            <w:vAlign w:val="bottom"/>
          </w:tcPr>
          <w:p>
            <w:pPr>
              <w:ind w:left="20"/>
              <w:spacing w:after="0"/>
              <w:rPr>
                <w:sz w:val="20"/>
                <w:szCs w:val="20"/>
                <w:color w:val="auto"/>
              </w:rPr>
            </w:pPr>
            <w:r>
              <w:rPr>
                <w:rFonts w:ascii="Arial" w:cs="Arial" w:eastAsia="Arial" w:hAnsi="Arial"/>
                <w:sz w:val="12"/>
                <w:szCs w:val="12"/>
                <w:color w:val="003551"/>
              </w:rPr>
              <w:t>-</w:t>
            </w:r>
          </w:p>
        </w:tc>
        <w:tc>
          <w:tcPr>
            <w:tcW w:w="460" w:type="dxa"/>
            <w:vAlign w:val="bottom"/>
            <w:gridSpan w:val="2"/>
          </w:tcPr>
          <w:p>
            <w:pPr>
              <w:ind w:left="160"/>
              <w:spacing w:after="0"/>
              <w:rPr>
                <w:sz w:val="20"/>
                <w:szCs w:val="20"/>
                <w:color w:val="auto"/>
              </w:rPr>
            </w:pPr>
            <w:r>
              <w:rPr>
                <w:rFonts w:ascii="Arial" w:cs="Arial" w:eastAsia="Arial" w:hAnsi="Arial"/>
                <w:sz w:val="12"/>
                <w:szCs w:val="12"/>
                <w:color w:val="003551"/>
              </w:rPr>
              <w:t>-</w:t>
            </w:r>
          </w:p>
        </w:tc>
        <w:tc>
          <w:tcPr>
            <w:tcW w:w="40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Arial" w:cs="Arial" w:eastAsia="Arial" w:hAnsi="Arial"/>
                <w:sz w:val="12"/>
                <w:szCs w:val="12"/>
                <w:color w:val="003551"/>
              </w:rPr>
              <w:t>-</w:t>
            </w:r>
          </w:p>
        </w:tc>
        <w:tc>
          <w:tcPr>
            <w:tcW w:w="48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Arial" w:cs="Arial" w:eastAsia="Arial" w:hAnsi="Arial"/>
                <w:sz w:val="12"/>
                <w:szCs w:val="12"/>
                <w:color w:val="003551"/>
              </w:rPr>
              <w:t>-</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color w:val="003551"/>
              </w:rPr>
              <w:t>19,364</w:t>
            </w:r>
            <w:r>
              <w:rPr>
                <w:rFonts w:ascii="Arial" w:cs="Arial" w:eastAsia="Arial" w:hAnsi="Arial"/>
                <w:sz w:val="20"/>
                <w:szCs w:val="20"/>
                <w:color w:val="003551"/>
                <w:vertAlign w:val="superscript"/>
              </w:rPr>
              <w:t>(8)</w:t>
            </w:r>
          </w:p>
        </w:tc>
        <w:tc>
          <w:tcPr>
            <w:tcW w:w="1180" w:type="dxa"/>
            <w:vAlign w:val="bottom"/>
            <w:gridSpan w:val="2"/>
          </w:tcPr>
          <w:p>
            <w:pPr>
              <w:ind w:left="160"/>
              <w:spacing w:after="0"/>
              <w:rPr>
                <w:sz w:val="20"/>
                <w:szCs w:val="20"/>
                <w:color w:val="auto"/>
              </w:rPr>
            </w:pPr>
            <w:r>
              <w:rPr>
                <w:rFonts w:ascii="Arial" w:cs="Arial" w:eastAsia="Arial" w:hAnsi="Arial"/>
                <w:sz w:val="12"/>
                <w:szCs w:val="12"/>
                <w:color w:val="003551"/>
              </w:rPr>
              <w:t>$218,620</w:t>
            </w:r>
          </w:p>
        </w:tc>
        <w:tc>
          <w:tcPr>
            <w:tcW w:w="0" w:type="dxa"/>
            <w:vAlign w:val="bottom"/>
          </w:tcPr>
          <w:p>
            <w:pPr>
              <w:spacing w:after="0"/>
              <w:rPr>
                <w:sz w:val="1"/>
                <w:szCs w:val="1"/>
                <w:color w:val="auto"/>
              </w:rPr>
            </w:pPr>
          </w:p>
        </w:tc>
      </w:tr>
      <w:tr>
        <w:trPr>
          <w:trHeight w:val="205"/>
        </w:trPr>
        <w:tc>
          <w:tcPr>
            <w:tcW w:w="80" w:type="dxa"/>
            <w:vAlign w:val="bottom"/>
          </w:tcPr>
          <w:p>
            <w:pPr>
              <w:spacing w:after="0"/>
              <w:rPr>
                <w:sz w:val="17"/>
                <w:szCs w:val="17"/>
                <w:color w:val="auto"/>
              </w:rPr>
            </w:pPr>
          </w:p>
        </w:tc>
        <w:tc>
          <w:tcPr>
            <w:tcW w:w="640" w:type="dxa"/>
            <w:vAlign w:val="bottom"/>
          </w:tcPr>
          <w:p>
            <w:pPr>
              <w:ind w:left="40"/>
              <w:spacing w:after="0"/>
              <w:rPr>
                <w:sz w:val="20"/>
                <w:szCs w:val="20"/>
                <w:color w:val="auto"/>
              </w:rPr>
            </w:pPr>
            <w:r>
              <w:rPr>
                <w:rFonts w:ascii="Arial" w:cs="Arial" w:eastAsia="Arial" w:hAnsi="Arial"/>
                <w:sz w:val="12"/>
                <w:szCs w:val="12"/>
                <w:b w:val="1"/>
                <w:bCs w:val="1"/>
                <w:color w:val="003551"/>
              </w:rPr>
              <w:t>Belinda</w:t>
            </w:r>
          </w:p>
        </w:tc>
        <w:tc>
          <w:tcPr>
            <w:tcW w:w="760" w:type="dxa"/>
            <w:vAlign w:val="bottom"/>
            <w:gridSpan w:val="2"/>
            <w:vMerge w:val="restart"/>
          </w:tcPr>
          <w:p>
            <w:pPr>
              <w:ind w:left="140"/>
              <w:spacing w:after="0"/>
              <w:rPr>
                <w:sz w:val="20"/>
                <w:szCs w:val="20"/>
                <w:color w:val="auto"/>
              </w:rPr>
            </w:pPr>
            <w:r>
              <w:rPr>
                <w:rFonts w:ascii="Arial" w:cs="Arial" w:eastAsia="Arial" w:hAnsi="Arial"/>
                <w:sz w:val="12"/>
                <w:szCs w:val="12"/>
                <w:color w:val="003551"/>
              </w:rPr>
              <w:t>7/1/24</w:t>
            </w:r>
          </w:p>
        </w:tc>
        <w:tc>
          <w:tcPr>
            <w:tcW w:w="80" w:type="dxa"/>
            <w:vAlign w:val="bottom"/>
          </w:tcPr>
          <w:p>
            <w:pPr>
              <w:spacing w:after="0"/>
              <w:rPr>
                <w:sz w:val="17"/>
                <w:szCs w:val="17"/>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2"/>
                <w:szCs w:val="12"/>
                <w:color w:val="003551"/>
              </w:rPr>
              <w:t>-</w:t>
            </w:r>
          </w:p>
        </w:tc>
        <w:tc>
          <w:tcPr>
            <w:tcW w:w="780" w:type="dxa"/>
            <w:vAlign w:val="bottom"/>
            <w:vMerge w:val="restart"/>
          </w:tcPr>
          <w:p>
            <w:pPr>
              <w:ind w:left="20"/>
              <w:spacing w:after="0"/>
              <w:rPr>
                <w:sz w:val="20"/>
                <w:szCs w:val="20"/>
                <w:color w:val="auto"/>
              </w:rPr>
            </w:pPr>
            <w:r>
              <w:rPr>
                <w:rFonts w:ascii="Arial" w:cs="Arial" w:eastAsia="Arial" w:hAnsi="Arial"/>
                <w:sz w:val="12"/>
                <w:szCs w:val="12"/>
                <w:color w:val="003551"/>
              </w:rPr>
              <w:t>-</w:t>
            </w:r>
          </w:p>
        </w:tc>
        <w:tc>
          <w:tcPr>
            <w:tcW w:w="460" w:type="dxa"/>
            <w:vAlign w:val="bottom"/>
            <w:gridSpan w:val="2"/>
            <w:vMerge w:val="restart"/>
          </w:tcPr>
          <w:p>
            <w:pPr>
              <w:ind w:left="160"/>
              <w:spacing w:after="0"/>
              <w:rPr>
                <w:sz w:val="20"/>
                <w:szCs w:val="20"/>
                <w:color w:val="auto"/>
              </w:rPr>
            </w:pPr>
            <w:r>
              <w:rPr>
                <w:rFonts w:ascii="Arial" w:cs="Arial" w:eastAsia="Arial" w:hAnsi="Arial"/>
                <w:sz w:val="12"/>
                <w:szCs w:val="12"/>
                <w:color w:val="003551"/>
                <w:w w:val="93"/>
              </w:rPr>
              <w:t>4,494​</w:t>
            </w:r>
          </w:p>
        </w:tc>
        <w:tc>
          <w:tcPr>
            <w:tcW w:w="400" w:type="dxa"/>
            <w:vAlign w:val="bottom"/>
            <w:vMerge w:val="restart"/>
          </w:tcPr>
          <w:p>
            <w:pPr>
              <w:jc w:val="right"/>
              <w:ind w:right="229"/>
              <w:spacing w:after="0"/>
              <w:rPr>
                <w:sz w:val="20"/>
                <w:szCs w:val="20"/>
                <w:color w:val="auto"/>
              </w:rPr>
            </w:pPr>
            <w:r>
              <w:rPr>
                <w:rFonts w:ascii="Arial" w:cs="Arial" w:eastAsia="Arial" w:hAnsi="Arial"/>
                <w:sz w:val="10"/>
                <w:szCs w:val="10"/>
                <w:color w:val="003551"/>
                <w:w w:val="81"/>
              </w:rPr>
              <w:t>(9)</w:t>
            </w:r>
          </w:p>
        </w:tc>
        <w:tc>
          <w:tcPr>
            <w:tcW w:w="420" w:type="dxa"/>
            <w:vAlign w:val="bottom"/>
            <w:vMerge w:val="restart"/>
          </w:tcPr>
          <w:p>
            <w:pPr>
              <w:ind w:left="100"/>
              <w:spacing w:after="0"/>
              <w:rPr>
                <w:sz w:val="20"/>
                <w:szCs w:val="20"/>
                <w:color w:val="auto"/>
              </w:rPr>
            </w:pPr>
            <w:r>
              <w:rPr>
                <w:rFonts w:ascii="Arial" w:cs="Arial" w:eastAsia="Arial" w:hAnsi="Arial"/>
                <w:sz w:val="12"/>
                <w:szCs w:val="12"/>
                <w:color w:val="003551"/>
                <w:w w:val="99"/>
              </w:rPr>
              <w:t>8,987​</w:t>
            </w:r>
          </w:p>
        </w:tc>
        <w:tc>
          <w:tcPr>
            <w:tcW w:w="480" w:type="dxa"/>
            <w:vAlign w:val="bottom"/>
            <w:vMerge w:val="restart"/>
          </w:tcPr>
          <w:p>
            <w:pPr>
              <w:jc w:val="right"/>
              <w:ind w:right="309"/>
              <w:spacing w:after="0"/>
              <w:rPr>
                <w:sz w:val="20"/>
                <w:szCs w:val="20"/>
                <w:color w:val="auto"/>
              </w:rPr>
            </w:pPr>
            <w:r>
              <w:rPr>
                <w:rFonts w:ascii="Arial" w:cs="Arial" w:eastAsia="Arial" w:hAnsi="Arial"/>
                <w:sz w:val="10"/>
                <w:szCs w:val="10"/>
                <w:color w:val="003551"/>
                <w:w w:val="81"/>
              </w:rPr>
              <w:t>(9)</w:t>
            </w:r>
          </w:p>
        </w:tc>
        <w:tc>
          <w:tcPr>
            <w:tcW w:w="480" w:type="dxa"/>
            <w:vAlign w:val="bottom"/>
            <w:vMerge w:val="restart"/>
          </w:tcPr>
          <w:p>
            <w:pPr>
              <w:ind w:left="120"/>
              <w:spacing w:after="0"/>
              <w:rPr>
                <w:sz w:val="20"/>
                <w:szCs w:val="20"/>
                <w:color w:val="auto"/>
              </w:rPr>
            </w:pPr>
            <w:r>
              <w:rPr>
                <w:rFonts w:ascii="Arial" w:cs="Arial" w:eastAsia="Arial" w:hAnsi="Arial"/>
                <w:sz w:val="12"/>
                <w:szCs w:val="12"/>
                <w:color w:val="003551"/>
                <w:w w:val="92"/>
              </w:rPr>
              <w:t>17,974​</w:t>
            </w:r>
          </w:p>
        </w:tc>
        <w:tc>
          <w:tcPr>
            <w:tcW w:w="260" w:type="dxa"/>
            <w:vAlign w:val="bottom"/>
            <w:vMerge w:val="restart"/>
          </w:tcPr>
          <w:p>
            <w:pPr>
              <w:jc w:val="right"/>
              <w:ind w:right="89"/>
              <w:spacing w:after="0"/>
              <w:rPr>
                <w:sz w:val="20"/>
                <w:szCs w:val="20"/>
                <w:color w:val="auto"/>
              </w:rPr>
            </w:pPr>
            <w:r>
              <w:rPr>
                <w:rFonts w:ascii="Arial" w:cs="Arial" w:eastAsia="Arial" w:hAnsi="Arial"/>
                <w:sz w:val="10"/>
                <w:szCs w:val="10"/>
                <w:color w:val="003551"/>
                <w:w w:val="81"/>
              </w:rPr>
              <w:t>(9)</w:t>
            </w:r>
          </w:p>
        </w:tc>
        <w:tc>
          <w:tcPr>
            <w:tcW w:w="80" w:type="dxa"/>
            <w:vAlign w:val="bottom"/>
          </w:tcPr>
          <w:p>
            <w:pPr>
              <w:spacing w:after="0"/>
              <w:rPr>
                <w:sz w:val="17"/>
                <w:szCs w:val="1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color w:val="003551"/>
              </w:rPr>
              <w:t>-</w:t>
            </w:r>
          </w:p>
        </w:tc>
        <w:tc>
          <w:tcPr>
            <w:tcW w:w="1180" w:type="dxa"/>
            <w:vAlign w:val="bottom"/>
            <w:gridSpan w:val="2"/>
            <w:vMerge w:val="restart"/>
          </w:tcPr>
          <w:p>
            <w:pPr>
              <w:ind w:left="160"/>
              <w:spacing w:after="0"/>
              <w:rPr>
                <w:sz w:val="20"/>
                <w:szCs w:val="20"/>
                <w:color w:val="auto"/>
              </w:rPr>
            </w:pPr>
            <w:r>
              <w:rPr>
                <w:rFonts w:ascii="Arial" w:cs="Arial" w:eastAsia="Arial" w:hAnsi="Arial"/>
                <w:sz w:val="12"/>
                <w:szCs w:val="12"/>
                <w:color w:val="003551"/>
              </w:rPr>
              <w:t>$109,641</w:t>
            </w: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Arial" w:cs="Arial" w:eastAsia="Arial" w:hAnsi="Arial"/>
                <w:sz w:val="12"/>
                <w:szCs w:val="12"/>
                <w:b w:val="1"/>
                <w:bCs w:val="1"/>
                <w:color w:val="003551"/>
              </w:rPr>
              <w:t>Nucifora</w:t>
            </w: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3"/>
        </w:trPr>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gridSpan w:val="2"/>
          </w:tcPr>
          <w:p>
            <w:pPr>
              <w:ind w:left="140"/>
              <w:spacing w:after="0"/>
              <w:rPr>
                <w:sz w:val="20"/>
                <w:szCs w:val="20"/>
                <w:color w:val="auto"/>
              </w:rPr>
            </w:pPr>
            <w:r>
              <w:rPr>
                <w:rFonts w:ascii="Arial" w:cs="Arial" w:eastAsia="Arial" w:hAnsi="Arial"/>
                <w:sz w:val="12"/>
                <w:szCs w:val="12"/>
                <w:color w:val="003551"/>
              </w:rPr>
              <w:t>6/23/25</w:t>
            </w:r>
          </w:p>
        </w:tc>
        <w:tc>
          <w:tcPr>
            <w:tcW w:w="80" w:type="dxa"/>
            <w:vAlign w:val="bottom"/>
          </w:tcPr>
          <w:p>
            <w:pPr>
              <w:spacing w:after="0"/>
              <w:rPr>
                <w:sz w:val="24"/>
                <w:szCs w:val="24"/>
                <w:color w:val="auto"/>
              </w:rPr>
            </w:pPr>
          </w:p>
        </w:tc>
        <w:tc>
          <w:tcPr>
            <w:tcW w:w="940" w:type="dxa"/>
            <w:vAlign w:val="bottom"/>
            <w:gridSpan w:val="2"/>
          </w:tcPr>
          <w:p>
            <w:pPr>
              <w:ind w:left="80"/>
              <w:spacing w:after="0"/>
              <w:rPr>
                <w:sz w:val="20"/>
                <w:szCs w:val="20"/>
                <w:color w:val="auto"/>
              </w:rPr>
            </w:pPr>
            <w:r>
              <w:rPr>
                <w:rFonts w:ascii="Arial" w:cs="Arial" w:eastAsia="Arial" w:hAnsi="Arial"/>
                <w:sz w:val="12"/>
                <w:szCs w:val="12"/>
                <w:color w:val="003551"/>
              </w:rPr>
              <w:t>-</w:t>
            </w:r>
          </w:p>
        </w:tc>
        <w:tc>
          <w:tcPr>
            <w:tcW w:w="780" w:type="dxa"/>
            <w:vAlign w:val="bottom"/>
          </w:tcPr>
          <w:p>
            <w:pPr>
              <w:ind w:left="20"/>
              <w:spacing w:after="0"/>
              <w:rPr>
                <w:sz w:val="20"/>
                <w:szCs w:val="20"/>
                <w:color w:val="auto"/>
              </w:rPr>
            </w:pPr>
            <w:r>
              <w:rPr>
                <w:rFonts w:ascii="Arial" w:cs="Arial" w:eastAsia="Arial" w:hAnsi="Arial"/>
                <w:sz w:val="12"/>
                <w:szCs w:val="12"/>
                <w:color w:val="003551"/>
              </w:rPr>
              <w:t>-</w:t>
            </w:r>
          </w:p>
        </w:tc>
        <w:tc>
          <w:tcPr>
            <w:tcW w:w="460" w:type="dxa"/>
            <w:vAlign w:val="bottom"/>
            <w:gridSpan w:val="2"/>
          </w:tcPr>
          <w:p>
            <w:pPr>
              <w:ind w:left="160"/>
              <w:spacing w:after="0"/>
              <w:rPr>
                <w:sz w:val="20"/>
                <w:szCs w:val="20"/>
                <w:color w:val="auto"/>
              </w:rPr>
            </w:pPr>
            <w:r>
              <w:rPr>
                <w:rFonts w:ascii="Arial" w:cs="Arial" w:eastAsia="Arial" w:hAnsi="Arial"/>
                <w:sz w:val="12"/>
                <w:szCs w:val="12"/>
                <w:color w:val="003551"/>
              </w:rPr>
              <w:t>-</w:t>
            </w:r>
          </w:p>
        </w:tc>
        <w:tc>
          <w:tcPr>
            <w:tcW w:w="40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Arial" w:cs="Arial" w:eastAsia="Arial" w:hAnsi="Arial"/>
                <w:sz w:val="12"/>
                <w:szCs w:val="12"/>
                <w:color w:val="003551"/>
              </w:rPr>
              <w:t>-</w:t>
            </w:r>
          </w:p>
        </w:tc>
        <w:tc>
          <w:tcPr>
            <w:tcW w:w="48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Arial" w:cs="Arial" w:eastAsia="Arial" w:hAnsi="Arial"/>
                <w:sz w:val="12"/>
                <w:szCs w:val="12"/>
                <w:color w:val="003551"/>
              </w:rPr>
              <w:t>-</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color w:val="003551"/>
              </w:rPr>
              <w:t>75,000</w:t>
            </w:r>
            <w:r>
              <w:rPr>
                <w:rFonts w:ascii="Arial" w:cs="Arial" w:eastAsia="Arial" w:hAnsi="Arial"/>
                <w:sz w:val="20"/>
                <w:szCs w:val="20"/>
                <w:color w:val="003551"/>
                <w:vertAlign w:val="superscript"/>
              </w:rPr>
              <w:t>(6)</w:t>
            </w:r>
          </w:p>
        </w:tc>
        <w:tc>
          <w:tcPr>
            <w:tcW w:w="1180" w:type="dxa"/>
            <w:vAlign w:val="bottom"/>
            <w:gridSpan w:val="2"/>
          </w:tcPr>
          <w:p>
            <w:pPr>
              <w:ind w:left="160"/>
              <w:spacing w:after="0"/>
              <w:rPr>
                <w:sz w:val="20"/>
                <w:szCs w:val="20"/>
                <w:color w:val="auto"/>
              </w:rPr>
            </w:pPr>
            <w:r>
              <w:rPr>
                <w:rFonts w:ascii="Arial" w:cs="Arial" w:eastAsia="Arial" w:hAnsi="Arial"/>
                <w:sz w:val="12"/>
                <w:szCs w:val="12"/>
                <w:color w:val="003551"/>
              </w:rPr>
              <w:t>$799,500</w:t>
            </w:r>
          </w:p>
        </w:tc>
        <w:tc>
          <w:tcPr>
            <w:tcW w:w="0" w:type="dxa"/>
            <w:vAlign w:val="bottom"/>
          </w:tcPr>
          <w:p>
            <w:pPr>
              <w:spacing w:after="0"/>
              <w:rPr>
                <w:sz w:val="1"/>
                <w:szCs w:val="1"/>
                <w:color w:val="auto"/>
              </w:rPr>
            </w:pPr>
          </w:p>
        </w:tc>
      </w:tr>
      <w:tr>
        <w:trPr>
          <w:trHeight w:val="406"/>
        </w:trPr>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gridSpan w:val="2"/>
          </w:tcPr>
          <w:p>
            <w:pPr>
              <w:ind w:left="140"/>
              <w:spacing w:after="0"/>
              <w:rPr>
                <w:sz w:val="20"/>
                <w:szCs w:val="20"/>
                <w:color w:val="auto"/>
              </w:rPr>
            </w:pPr>
            <w:r>
              <w:rPr>
                <w:rFonts w:ascii="Arial" w:cs="Arial" w:eastAsia="Arial" w:hAnsi="Arial"/>
                <w:sz w:val="12"/>
                <w:szCs w:val="12"/>
                <w:color w:val="003551"/>
              </w:rPr>
              <w:t>6/23/25</w:t>
            </w:r>
          </w:p>
        </w:tc>
        <w:tc>
          <w:tcPr>
            <w:tcW w:w="80" w:type="dxa"/>
            <w:vAlign w:val="bottom"/>
          </w:tcPr>
          <w:p>
            <w:pPr>
              <w:spacing w:after="0"/>
              <w:rPr>
                <w:sz w:val="24"/>
                <w:szCs w:val="24"/>
                <w:color w:val="auto"/>
              </w:rPr>
            </w:pPr>
          </w:p>
        </w:tc>
        <w:tc>
          <w:tcPr>
            <w:tcW w:w="940" w:type="dxa"/>
            <w:vAlign w:val="bottom"/>
            <w:gridSpan w:val="2"/>
          </w:tcPr>
          <w:p>
            <w:pPr>
              <w:ind w:left="80"/>
              <w:spacing w:after="0"/>
              <w:rPr>
                <w:sz w:val="20"/>
                <w:szCs w:val="20"/>
                <w:color w:val="auto"/>
              </w:rPr>
            </w:pPr>
            <w:r>
              <w:rPr>
                <w:rFonts w:ascii="Arial" w:cs="Arial" w:eastAsia="Arial" w:hAnsi="Arial"/>
                <w:sz w:val="12"/>
                <w:szCs w:val="12"/>
                <w:color w:val="003551"/>
              </w:rPr>
              <w:t>-</w:t>
            </w:r>
          </w:p>
        </w:tc>
        <w:tc>
          <w:tcPr>
            <w:tcW w:w="780" w:type="dxa"/>
            <w:vAlign w:val="bottom"/>
          </w:tcPr>
          <w:p>
            <w:pPr>
              <w:ind w:left="20"/>
              <w:spacing w:after="0"/>
              <w:rPr>
                <w:sz w:val="20"/>
                <w:szCs w:val="20"/>
                <w:color w:val="auto"/>
              </w:rPr>
            </w:pPr>
            <w:r>
              <w:rPr>
                <w:rFonts w:ascii="Arial" w:cs="Arial" w:eastAsia="Arial" w:hAnsi="Arial"/>
                <w:sz w:val="12"/>
                <w:szCs w:val="12"/>
                <w:color w:val="003551"/>
              </w:rPr>
              <w:t>-</w:t>
            </w:r>
          </w:p>
        </w:tc>
        <w:tc>
          <w:tcPr>
            <w:tcW w:w="460" w:type="dxa"/>
            <w:vAlign w:val="bottom"/>
            <w:gridSpan w:val="2"/>
          </w:tcPr>
          <w:p>
            <w:pPr>
              <w:ind w:left="160"/>
              <w:spacing w:after="0"/>
              <w:rPr>
                <w:sz w:val="20"/>
                <w:szCs w:val="20"/>
                <w:color w:val="auto"/>
              </w:rPr>
            </w:pPr>
            <w:r>
              <w:rPr>
                <w:rFonts w:ascii="Arial" w:cs="Arial" w:eastAsia="Arial" w:hAnsi="Arial"/>
                <w:sz w:val="12"/>
                <w:szCs w:val="12"/>
                <w:color w:val="003551"/>
              </w:rPr>
              <w:t>-</w:t>
            </w:r>
          </w:p>
        </w:tc>
        <w:tc>
          <w:tcPr>
            <w:tcW w:w="400" w:type="dxa"/>
            <w:vAlign w:val="bottom"/>
          </w:tcPr>
          <w:p>
            <w:pPr>
              <w:spacing w:after="0"/>
              <w:rPr>
                <w:sz w:val="24"/>
                <w:szCs w:val="24"/>
                <w:color w:val="auto"/>
              </w:rPr>
            </w:pPr>
          </w:p>
        </w:tc>
        <w:tc>
          <w:tcPr>
            <w:tcW w:w="900" w:type="dxa"/>
            <w:vAlign w:val="bottom"/>
            <w:gridSpan w:val="2"/>
          </w:tcPr>
          <w:p>
            <w:pPr>
              <w:ind w:left="100"/>
              <w:spacing w:after="0"/>
              <w:rPr>
                <w:sz w:val="20"/>
                <w:szCs w:val="20"/>
                <w:color w:val="auto"/>
              </w:rPr>
            </w:pPr>
            <w:r>
              <w:rPr>
                <w:rFonts w:ascii="Arial" w:cs="Arial" w:eastAsia="Arial" w:hAnsi="Arial"/>
                <w:sz w:val="12"/>
                <w:szCs w:val="12"/>
                <w:color w:val="003551"/>
              </w:rPr>
              <w:t>75,000</w:t>
            </w:r>
            <w:r>
              <w:rPr>
                <w:rFonts w:ascii="Arial" w:cs="Arial" w:eastAsia="Arial" w:hAnsi="Arial"/>
                <w:sz w:val="20"/>
                <w:szCs w:val="20"/>
                <w:color w:val="003551"/>
                <w:vertAlign w:val="superscript"/>
              </w:rPr>
              <w:t>(7)</w:t>
            </w:r>
          </w:p>
        </w:tc>
        <w:tc>
          <w:tcPr>
            <w:tcW w:w="480" w:type="dxa"/>
            <w:vAlign w:val="bottom"/>
          </w:tcPr>
          <w:p>
            <w:pPr>
              <w:ind w:left="120"/>
              <w:spacing w:after="0"/>
              <w:rPr>
                <w:sz w:val="20"/>
                <w:szCs w:val="20"/>
                <w:color w:val="auto"/>
              </w:rPr>
            </w:pPr>
            <w:r>
              <w:rPr>
                <w:rFonts w:ascii="Arial" w:cs="Arial" w:eastAsia="Arial" w:hAnsi="Arial"/>
                <w:sz w:val="12"/>
                <w:szCs w:val="12"/>
                <w:color w:val="003551"/>
              </w:rPr>
              <w:t>-</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color w:val="003551"/>
              </w:rPr>
              <w:t>-</w:t>
            </w:r>
          </w:p>
        </w:tc>
        <w:tc>
          <w:tcPr>
            <w:tcW w:w="1180" w:type="dxa"/>
            <w:vAlign w:val="bottom"/>
            <w:gridSpan w:val="2"/>
          </w:tcPr>
          <w:p>
            <w:pPr>
              <w:ind w:left="160"/>
              <w:spacing w:after="0"/>
              <w:rPr>
                <w:sz w:val="20"/>
                <w:szCs w:val="20"/>
                <w:color w:val="auto"/>
              </w:rPr>
            </w:pPr>
            <w:r>
              <w:rPr>
                <w:rFonts w:ascii="Arial" w:cs="Arial" w:eastAsia="Arial" w:hAnsi="Arial"/>
                <w:sz w:val="12"/>
                <w:szCs w:val="12"/>
                <w:color w:val="003551"/>
              </w:rPr>
              <w:t>$483,750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wp:posOffset>
            </wp:positionH>
            <wp:positionV relativeFrom="paragraph">
              <wp:posOffset>-3010535</wp:posOffset>
            </wp:positionV>
            <wp:extent cx="51816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81600" cy="8255"/>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-1355090</wp:posOffset>
            </wp:positionV>
            <wp:extent cx="51816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81600" cy="8255"/>
                    </a:xfrm>
                    <a:prstGeom prst="rect">
                      <a:avLst/>
                    </a:prstGeom>
                    <a:noFill/>
                  </pic:spPr>
                </pic:pic>
              </a:graphicData>
            </a:graphic>
          </wp:anchor>
        </w:drawing>
      </w:r>
    </w:p>
    <w:p>
      <w:pPr>
        <w:spacing w:after="0" w:line="121" w:lineRule="exact"/>
        <w:rPr>
          <w:sz w:val="20"/>
          <w:szCs w:val="20"/>
          <w:color w:val="auto"/>
        </w:rPr>
      </w:pPr>
    </w:p>
    <w:p>
      <w:pPr>
        <w:ind w:left="1280" w:right="740" w:hanging="337"/>
        <w:spacing w:after="0" w:line="236" w:lineRule="auto"/>
        <w:tabs>
          <w:tab w:leader="none" w:pos="1280" w:val="left"/>
        </w:tabs>
        <w:numPr>
          <w:ilvl w:val="0"/>
          <w:numId w:val="35"/>
        </w:numPr>
        <w:rPr>
          <w:rFonts w:ascii="Arial" w:cs="Arial" w:eastAsia="Arial" w:hAnsi="Arial"/>
          <w:sz w:val="12"/>
          <w:szCs w:val="12"/>
          <w:i w:val="1"/>
          <w:iCs w:val="1"/>
          <w:color w:val="003551"/>
        </w:rPr>
      </w:pPr>
      <w:r>
        <w:rPr>
          <w:rFonts w:ascii="Arial" w:cs="Arial" w:eastAsia="Arial" w:hAnsi="Arial"/>
          <w:sz w:val="12"/>
          <w:szCs w:val="12"/>
          <w:i w:val="1"/>
          <w:iCs w:val="1"/>
          <w:color w:val="003551"/>
        </w:rPr>
        <w:t>Represents the target and maximum payouts with respect to the STIP for Fiscal 2025. There are no threshold or minimum payouts under the STIP. For additional information regarding the STIP, see “Short-Term Cash Incentive Compensation” above.</w:t>
      </w:r>
    </w:p>
    <w:p>
      <w:pPr>
        <w:jc w:val="both"/>
        <w:ind w:left="1280" w:right="740" w:hanging="337"/>
        <w:spacing w:after="0" w:line="227" w:lineRule="auto"/>
        <w:tabs>
          <w:tab w:leader="none" w:pos="1280" w:val="left"/>
        </w:tabs>
        <w:numPr>
          <w:ilvl w:val="0"/>
          <w:numId w:val="35"/>
        </w:numPr>
        <w:rPr>
          <w:rFonts w:ascii="Arial" w:cs="Arial" w:eastAsia="Arial" w:hAnsi="Arial"/>
          <w:sz w:val="12"/>
          <w:szCs w:val="12"/>
          <w:i w:val="1"/>
          <w:iCs w:val="1"/>
          <w:color w:val="003551"/>
        </w:rPr>
      </w:pPr>
      <w:r>
        <w:rPr>
          <w:rFonts w:ascii="Arial" w:cs="Arial" w:eastAsia="Arial" w:hAnsi="Arial"/>
          <w:sz w:val="12"/>
          <w:szCs w:val="12"/>
          <w:i w:val="1"/>
          <w:iCs w:val="1"/>
          <w:color w:val="003551"/>
        </w:rPr>
        <w:t>The amounts in this column reflect the grant date (based on Australian Eastern Standard Time) fair value of the 2025 Annual TRSUs, 2025 Annual PRSUs, Retention Grants and Outperformance TRSUs (for our Co-Chief Executive Officers) granted to our NEOs during Fiscal 2025, computed in accordance with FASB ASC Topic 718, excluding the effect of estimated forfeitures. For the 2025 Annual PRSUs and Retention Grant PRSUs, the grant date fair value is based on the probable outcome of the performance conditions as of the grant date. This amount does not reflect the actual economic value realized by the NEOs.</w:t>
      </w:r>
    </w:p>
    <w:p>
      <w:pPr>
        <w:spacing w:after="0" w:line="2" w:lineRule="exact"/>
        <w:rPr>
          <w:rFonts w:ascii="Arial" w:cs="Arial" w:eastAsia="Arial" w:hAnsi="Arial"/>
          <w:sz w:val="12"/>
          <w:szCs w:val="12"/>
          <w:i w:val="1"/>
          <w:iCs w:val="1"/>
          <w:color w:val="003551"/>
        </w:rPr>
      </w:pPr>
    </w:p>
    <w:p>
      <w:pPr>
        <w:ind w:left="1280" w:right="740" w:hanging="337"/>
        <w:spacing w:after="0" w:line="246" w:lineRule="auto"/>
        <w:tabs>
          <w:tab w:leader="none" w:pos="1280" w:val="left"/>
        </w:tabs>
        <w:numPr>
          <w:ilvl w:val="0"/>
          <w:numId w:val="35"/>
        </w:numPr>
        <w:rPr>
          <w:rFonts w:ascii="Arial" w:cs="Arial" w:eastAsia="Arial" w:hAnsi="Arial"/>
          <w:sz w:val="12"/>
          <w:szCs w:val="12"/>
          <w:i w:val="1"/>
          <w:iCs w:val="1"/>
          <w:color w:val="003551"/>
        </w:rPr>
      </w:pPr>
      <w:r>
        <w:rPr>
          <w:rFonts w:ascii="Arial" w:cs="Arial" w:eastAsia="Arial" w:hAnsi="Arial"/>
          <w:sz w:val="12"/>
          <w:szCs w:val="12"/>
          <w:i w:val="1"/>
          <w:iCs w:val="1"/>
          <w:color w:val="003551"/>
        </w:rPr>
        <w:t>Represents grants of the 2025 Annual TRSUs, which will vest on the following schedule, subject to continued employment through each applicable vesting date: 118,099 on July 1, 2025, 118,099 on July 1, 2026, and 118,099 on July 1,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123190</wp:posOffset>
            </wp:positionV>
            <wp:extent cx="540385" cy="6318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6" w:right="12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left="1280" w:right="740" w:hanging="337"/>
        <w:spacing w:after="0"/>
        <w:tabs>
          <w:tab w:leader="none" w:pos="1280" w:val="left"/>
        </w:tabs>
        <w:numPr>
          <w:ilvl w:val="0"/>
          <w:numId w:val="36"/>
        </w:numPr>
        <w:rPr>
          <w:rFonts w:ascii="Arial" w:cs="Arial" w:eastAsia="Arial" w:hAnsi="Arial"/>
          <w:sz w:val="12"/>
          <w:szCs w:val="12"/>
          <w:i w:val="1"/>
          <w:iCs w:val="1"/>
          <w:color w:val="003551"/>
        </w:rPr>
      </w:pPr>
      <w:r>
        <w:rPr>
          <w:rFonts w:ascii="Arial" w:cs="Arial" w:eastAsia="Arial" w:hAnsi="Arial"/>
          <w:sz w:val="12"/>
          <w:szCs w:val="12"/>
          <w:i w:val="1"/>
          <w:iCs w:val="1"/>
          <w:color w:val="003551"/>
        </w:rPr>
        <w:t>Represents grants of the 2025 Annual PRSUs, which will vest as to 116,857 shares if IREN’s share price reaches $20; 124,359 shares if IREN’s share price reaches $25; 131,970 shares if IREN’s share price reaches $30; 140,228 shares if IREN’s share price reaches $35; 147,466 shares if IREN’s share price reaches $40; 156,129 shares if IREN’s share price reaches $45 and 167,085 shares if IREN’s share price reaches $50, subject to the NEOs’ continued employment with IREN through each applicable vesting date. However, as described in footnote 2 to the Summary Compensation Table, in May 2025, the 2025 Annual PRSUs granted to each of the Co-Chief Executive Officers were modified to provide that they will instead vest in two equal installments based only on continued employment through the applicable vesting date, with 50% vesting on November 18, 2025 and the remaining 50% to vest on May 18, 2026. For additional information on the 2025 Annual PRSUs and the modifications made to the relevant awards during Fiscal 2025, see “Award Modifications in Fiscal 2025” above and footnote 2 of the Summary Compensation Table.</w:t>
      </w:r>
    </w:p>
    <w:p>
      <w:pPr>
        <w:spacing w:after="0" w:line="84" w:lineRule="exact"/>
        <w:rPr>
          <w:rFonts w:ascii="Arial" w:cs="Arial" w:eastAsia="Arial" w:hAnsi="Arial"/>
          <w:sz w:val="12"/>
          <w:szCs w:val="12"/>
          <w:i w:val="1"/>
          <w:iCs w:val="1"/>
          <w:color w:val="003551"/>
        </w:rPr>
      </w:pPr>
    </w:p>
    <w:p>
      <w:pPr>
        <w:jc w:val="both"/>
        <w:ind w:left="1280" w:right="740" w:hanging="337"/>
        <w:spacing w:after="0" w:line="227" w:lineRule="auto"/>
        <w:tabs>
          <w:tab w:leader="none" w:pos="1280" w:val="left"/>
        </w:tabs>
        <w:numPr>
          <w:ilvl w:val="0"/>
          <w:numId w:val="36"/>
        </w:numPr>
        <w:rPr>
          <w:rFonts w:ascii="Arial" w:cs="Arial" w:eastAsia="Arial" w:hAnsi="Arial"/>
          <w:sz w:val="12"/>
          <w:szCs w:val="12"/>
          <w:i w:val="1"/>
          <w:iCs w:val="1"/>
          <w:color w:val="003551"/>
        </w:rPr>
      </w:pPr>
      <w:r>
        <w:rPr>
          <w:rFonts w:ascii="Arial" w:cs="Arial" w:eastAsia="Arial" w:hAnsi="Arial"/>
          <w:sz w:val="12"/>
          <w:szCs w:val="12"/>
          <w:i w:val="1"/>
          <w:iCs w:val="1"/>
          <w:color w:val="003551"/>
        </w:rPr>
        <w:t>Represents grants of Outperformance TRSUs, which will vest as to 1,200,000 shares on November 19, 2025, and 1,200,000 shares on May 19, 2026, subject to the NEOs’ continued employment with IREN through each applicable vesting date. For additional information, see “Outperformance Grants – Co-Chief Executive Officers” above.</w:t>
      </w:r>
    </w:p>
    <w:p>
      <w:pPr>
        <w:spacing w:after="0" w:line="1" w:lineRule="exact"/>
        <w:rPr>
          <w:rFonts w:ascii="Arial" w:cs="Arial" w:eastAsia="Arial" w:hAnsi="Arial"/>
          <w:sz w:val="12"/>
          <w:szCs w:val="12"/>
          <w:i w:val="1"/>
          <w:iCs w:val="1"/>
          <w:color w:val="003551"/>
        </w:rPr>
      </w:pPr>
    </w:p>
    <w:p>
      <w:pPr>
        <w:ind w:left="1280" w:right="740" w:hanging="337"/>
        <w:spacing w:after="0" w:line="227" w:lineRule="auto"/>
        <w:tabs>
          <w:tab w:leader="none" w:pos="1280" w:val="left"/>
        </w:tabs>
        <w:numPr>
          <w:ilvl w:val="0"/>
          <w:numId w:val="36"/>
        </w:numPr>
        <w:rPr>
          <w:rFonts w:ascii="Arial" w:cs="Arial" w:eastAsia="Arial" w:hAnsi="Arial"/>
          <w:sz w:val="12"/>
          <w:szCs w:val="12"/>
          <w:i w:val="1"/>
          <w:iCs w:val="1"/>
          <w:color w:val="003551"/>
        </w:rPr>
      </w:pPr>
      <w:r>
        <w:rPr>
          <w:rFonts w:ascii="Arial" w:cs="Arial" w:eastAsia="Arial" w:hAnsi="Arial"/>
          <w:sz w:val="12"/>
          <w:szCs w:val="12"/>
          <w:i w:val="1"/>
          <w:iCs w:val="1"/>
          <w:color w:val="003551"/>
        </w:rPr>
        <w:t>Represents Retention Grants (TRSUs), which will vest ratably on the first six anniversaries of the grant date, subject to the NEOs’ continued employment with IREN through each applicable vesting date. For additional information, see “Retention Grants - NEOs” above.</w:t>
      </w:r>
    </w:p>
    <w:p>
      <w:pPr>
        <w:jc w:val="both"/>
        <w:ind w:left="1280" w:right="740" w:hanging="337"/>
        <w:spacing w:after="0" w:line="227" w:lineRule="auto"/>
        <w:tabs>
          <w:tab w:leader="none" w:pos="1280" w:val="left"/>
        </w:tabs>
        <w:numPr>
          <w:ilvl w:val="0"/>
          <w:numId w:val="36"/>
        </w:numPr>
        <w:rPr>
          <w:rFonts w:ascii="Arial" w:cs="Arial" w:eastAsia="Arial" w:hAnsi="Arial"/>
          <w:sz w:val="12"/>
          <w:szCs w:val="12"/>
          <w:i w:val="1"/>
          <w:iCs w:val="1"/>
          <w:color w:val="003551"/>
        </w:rPr>
      </w:pPr>
      <w:r>
        <w:rPr>
          <w:rFonts w:ascii="Arial" w:cs="Arial" w:eastAsia="Arial" w:hAnsi="Arial"/>
          <w:sz w:val="12"/>
          <w:szCs w:val="12"/>
          <w:i w:val="1"/>
          <w:iCs w:val="1"/>
          <w:color w:val="003551"/>
        </w:rPr>
        <w:t>Represents Retention Grants (PRSUs), which are eligible to vest based on achievement of share price hurdles on or before June 23, 2031, subject to the NEOs’ continued employment with IREN through each applicable vesting date. For additional information, see “Retention Grants - NEOs” above.</w:t>
      </w:r>
    </w:p>
    <w:p>
      <w:pPr>
        <w:spacing w:after="0" w:line="1" w:lineRule="exact"/>
        <w:rPr>
          <w:rFonts w:ascii="Arial" w:cs="Arial" w:eastAsia="Arial" w:hAnsi="Arial"/>
          <w:sz w:val="12"/>
          <w:szCs w:val="12"/>
          <w:i w:val="1"/>
          <w:iCs w:val="1"/>
          <w:color w:val="003551"/>
        </w:rPr>
      </w:pPr>
    </w:p>
    <w:p>
      <w:pPr>
        <w:jc w:val="both"/>
        <w:ind w:left="1280" w:right="740" w:hanging="337"/>
        <w:spacing w:after="0" w:line="227" w:lineRule="auto"/>
        <w:tabs>
          <w:tab w:leader="none" w:pos="1280" w:val="left"/>
        </w:tabs>
        <w:numPr>
          <w:ilvl w:val="0"/>
          <w:numId w:val="36"/>
        </w:numPr>
        <w:rPr>
          <w:rFonts w:ascii="Arial" w:cs="Arial" w:eastAsia="Arial" w:hAnsi="Arial"/>
          <w:sz w:val="12"/>
          <w:szCs w:val="12"/>
          <w:i w:val="1"/>
          <w:iCs w:val="1"/>
          <w:color w:val="003551"/>
        </w:rPr>
      </w:pPr>
      <w:r>
        <w:rPr>
          <w:rFonts w:ascii="Arial" w:cs="Arial" w:eastAsia="Arial" w:hAnsi="Arial"/>
          <w:sz w:val="12"/>
          <w:szCs w:val="12"/>
          <w:i w:val="1"/>
          <w:iCs w:val="1"/>
          <w:color w:val="003551"/>
        </w:rPr>
        <w:t>Represents grants of the 2025 Annual TRSUs to Ms. Nucifora, which will vest ratably within ten days of IREN’s release of annual results for Fiscal 2025 and Fiscal 2026 (which occurred on August 28, 2025 for Fiscal 2025 and is expected to occur on September 1, 2026 for Fiscal 2026), subject to the NEOs’ continued employment with IREN through each applicable vesting date.</w:t>
      </w:r>
    </w:p>
    <w:p>
      <w:pPr>
        <w:spacing w:after="0" w:line="1" w:lineRule="exact"/>
        <w:rPr>
          <w:rFonts w:ascii="Arial" w:cs="Arial" w:eastAsia="Arial" w:hAnsi="Arial"/>
          <w:sz w:val="12"/>
          <w:szCs w:val="12"/>
          <w:i w:val="1"/>
          <w:iCs w:val="1"/>
          <w:color w:val="003551"/>
        </w:rPr>
      </w:pPr>
    </w:p>
    <w:p>
      <w:pPr>
        <w:jc w:val="both"/>
        <w:ind w:left="1280" w:right="740" w:hanging="337"/>
        <w:spacing w:after="0" w:line="238" w:lineRule="auto"/>
        <w:tabs>
          <w:tab w:leader="none" w:pos="1280" w:val="left"/>
        </w:tabs>
        <w:numPr>
          <w:ilvl w:val="0"/>
          <w:numId w:val="36"/>
        </w:numPr>
        <w:rPr>
          <w:rFonts w:ascii="Arial" w:cs="Arial" w:eastAsia="Arial" w:hAnsi="Arial"/>
          <w:sz w:val="12"/>
          <w:szCs w:val="12"/>
          <w:i w:val="1"/>
          <w:iCs w:val="1"/>
          <w:color w:val="003551"/>
        </w:rPr>
      </w:pPr>
      <w:r>
        <w:rPr>
          <w:rFonts w:ascii="Arial" w:cs="Arial" w:eastAsia="Arial" w:hAnsi="Arial"/>
          <w:sz w:val="12"/>
          <w:szCs w:val="12"/>
          <w:i w:val="1"/>
          <w:iCs w:val="1"/>
          <w:color w:val="003551"/>
        </w:rPr>
        <w:t>Represents grants of the 2025 Annual PRSUs to Ms. Nucifora, which are eligible to vest based on IREN’s achievement of relative TSR during the three-year performance period from July 1, 2024 through June 30, 2027, subject to the NEOs’ continued employment with IREN at the applicable vesting date, which is within 10 days after release of annual results for the fiscal year ending June 30,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125730</wp:posOffset>
            </wp:positionV>
            <wp:extent cx="540385" cy="6318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228600</wp:posOffset>
            </wp:positionV>
            <wp:extent cx="6786880" cy="165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6" w:right="12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Outstanding Equity Awards at Fiscal Year-End</w:t>
      </w:r>
    </w:p>
    <w:p>
      <w:pPr>
        <w:spacing w:after="0" w:line="41" w:lineRule="exact"/>
        <w:rPr>
          <w:sz w:val="20"/>
          <w:szCs w:val="20"/>
          <w:color w:val="auto"/>
        </w:rPr>
      </w:pPr>
    </w:p>
    <w:p>
      <w:pPr>
        <w:ind w:left="940" w:right="1060"/>
        <w:spacing w:after="0" w:line="263" w:lineRule="auto"/>
        <w:rPr>
          <w:sz w:val="20"/>
          <w:szCs w:val="20"/>
          <w:color w:val="auto"/>
        </w:rPr>
      </w:pPr>
      <w:r>
        <w:rPr>
          <w:rFonts w:ascii="Arial" w:cs="Arial" w:eastAsia="Arial" w:hAnsi="Arial"/>
          <w:sz w:val="17"/>
          <w:szCs w:val="17"/>
          <w:color w:val="003551"/>
        </w:rPr>
        <w:t>The following table sets forth information concerning outstanding equity awards for our NEOs as of the end of Fiscal 2025.</w:t>
      </w:r>
    </w:p>
    <w:p>
      <w:pPr>
        <w:spacing w:after="0" w:line="109" w:lineRule="exact"/>
        <w:rPr>
          <w:sz w:val="20"/>
          <w:szCs w:val="20"/>
          <w:color w:val="auto"/>
        </w:rPr>
      </w:pPr>
    </w:p>
    <w:tbl>
      <w:tblPr>
        <w:tblLayout w:type="fixed"/>
        <w:tblInd w:w="940" w:type="dxa"/>
        <w:tblCellMar>
          <w:top w:w="0" w:type="dxa"/>
          <w:left w:w="0" w:type="dxa"/>
          <w:bottom w:w="0" w:type="dxa"/>
          <w:right w:w="0" w:type="dxa"/>
        </w:tblCellMar>
      </w:tblPr>
      <w:tr>
        <w:trPr>
          <w:trHeight w:val="309"/>
        </w:trPr>
        <w:tc>
          <w:tcPr>
            <w:tcW w:w="740" w:type="dxa"/>
            <w:vAlign w:val="bottom"/>
            <w:tcBorders>
              <w:bottom w:val="single" w:sz="8" w:color="77C483"/>
            </w:tcBorders>
            <w:shd w:val="clear" w:color="auto" w:fill="77C483"/>
          </w:tcPr>
          <w:p>
            <w:pPr>
              <w:spacing w:after="0"/>
              <w:rPr>
                <w:sz w:val="24"/>
                <w:szCs w:val="24"/>
                <w:color w:val="auto"/>
              </w:rPr>
            </w:pPr>
          </w:p>
        </w:tc>
        <w:tc>
          <w:tcPr>
            <w:tcW w:w="1140" w:type="dxa"/>
            <w:vAlign w:val="bottom"/>
            <w:tcBorders>
              <w:bottom w:val="single" w:sz="8" w:color="77C483"/>
            </w:tcBorders>
            <w:shd w:val="clear" w:color="auto" w:fill="77C483"/>
          </w:tcPr>
          <w:p>
            <w:pPr>
              <w:spacing w:after="0"/>
              <w:rPr>
                <w:sz w:val="24"/>
                <w:szCs w:val="24"/>
                <w:color w:val="auto"/>
              </w:rPr>
            </w:pPr>
          </w:p>
        </w:tc>
        <w:tc>
          <w:tcPr>
            <w:tcW w:w="700" w:type="dxa"/>
            <w:vAlign w:val="bottom"/>
            <w:tcBorders>
              <w:bottom w:val="single" w:sz="8" w:color="003551"/>
            </w:tcBorders>
            <w:shd w:val="clear" w:color="auto" w:fill="77C483"/>
          </w:tcPr>
          <w:p>
            <w:pPr>
              <w:spacing w:after="0"/>
              <w:rPr>
                <w:sz w:val="24"/>
                <w:szCs w:val="24"/>
                <w:color w:val="auto"/>
              </w:rPr>
            </w:pPr>
          </w:p>
        </w:tc>
        <w:tc>
          <w:tcPr>
            <w:tcW w:w="1540" w:type="dxa"/>
            <w:vAlign w:val="bottom"/>
            <w:tcBorders>
              <w:bottom w:val="single" w:sz="8" w:color="003551"/>
            </w:tcBorders>
            <w:gridSpan w:val="2"/>
            <w:shd w:val="clear" w:color="auto" w:fill="77C483"/>
          </w:tcPr>
          <w:p>
            <w:pPr>
              <w:ind w:left="600"/>
              <w:spacing w:after="0"/>
              <w:rPr>
                <w:sz w:val="20"/>
                <w:szCs w:val="20"/>
                <w:color w:val="auto"/>
              </w:rPr>
            </w:pPr>
            <w:r>
              <w:rPr>
                <w:rFonts w:ascii="Arial" w:cs="Arial" w:eastAsia="Arial" w:hAnsi="Arial"/>
                <w:sz w:val="11"/>
                <w:szCs w:val="11"/>
                <w:b w:val="1"/>
                <w:bCs w:val="1"/>
                <w:color w:val="003551"/>
              </w:rPr>
              <w:t>Option Awards</w:t>
            </w:r>
          </w:p>
        </w:tc>
        <w:tc>
          <w:tcPr>
            <w:tcW w:w="520" w:type="dxa"/>
            <w:vAlign w:val="bottom"/>
            <w:tcBorders>
              <w:bottom w:val="single" w:sz="8" w:color="003551"/>
            </w:tcBorders>
            <w:shd w:val="clear" w:color="auto" w:fill="77C483"/>
          </w:tcPr>
          <w:p>
            <w:pPr>
              <w:spacing w:after="0"/>
              <w:rPr>
                <w:sz w:val="24"/>
                <w:szCs w:val="24"/>
                <w:color w:val="auto"/>
              </w:rPr>
            </w:pPr>
          </w:p>
        </w:tc>
        <w:tc>
          <w:tcPr>
            <w:tcW w:w="660" w:type="dxa"/>
            <w:vAlign w:val="bottom"/>
            <w:tcBorders>
              <w:bottom w:val="single" w:sz="8" w:color="003551"/>
            </w:tcBorders>
            <w:shd w:val="clear" w:color="auto" w:fill="77C483"/>
          </w:tcPr>
          <w:p>
            <w:pPr>
              <w:spacing w:after="0"/>
              <w:rPr>
                <w:sz w:val="24"/>
                <w:szCs w:val="24"/>
                <w:color w:val="auto"/>
              </w:rPr>
            </w:pPr>
          </w:p>
        </w:tc>
        <w:tc>
          <w:tcPr>
            <w:tcW w:w="600" w:type="dxa"/>
            <w:vAlign w:val="bottom"/>
            <w:tcBorders>
              <w:bottom w:val="single" w:sz="8" w:color="003551"/>
            </w:tcBorders>
            <w:shd w:val="clear" w:color="auto" w:fill="77C483"/>
          </w:tcPr>
          <w:p>
            <w:pPr>
              <w:spacing w:after="0"/>
              <w:rPr>
                <w:sz w:val="24"/>
                <w:szCs w:val="24"/>
                <w:color w:val="auto"/>
              </w:rPr>
            </w:pPr>
          </w:p>
        </w:tc>
        <w:tc>
          <w:tcPr>
            <w:tcW w:w="1480" w:type="dxa"/>
            <w:vAlign w:val="bottom"/>
            <w:tcBorders>
              <w:bottom w:val="single" w:sz="8" w:color="003551"/>
            </w:tcBorders>
            <w:gridSpan w:val="2"/>
            <w:shd w:val="clear" w:color="auto" w:fill="77C483"/>
          </w:tcPr>
          <w:p>
            <w:pPr>
              <w:ind w:left="440"/>
              <w:spacing w:after="0"/>
              <w:rPr>
                <w:sz w:val="20"/>
                <w:szCs w:val="20"/>
                <w:color w:val="auto"/>
              </w:rPr>
            </w:pPr>
            <w:r>
              <w:rPr>
                <w:rFonts w:ascii="Arial" w:cs="Arial" w:eastAsia="Arial" w:hAnsi="Arial"/>
                <w:sz w:val="11"/>
                <w:szCs w:val="11"/>
                <w:b w:val="1"/>
                <w:bCs w:val="1"/>
                <w:color w:val="003551"/>
              </w:rPr>
              <w:t>Stock Awards</w:t>
            </w:r>
          </w:p>
        </w:tc>
        <w:tc>
          <w:tcPr>
            <w:tcW w:w="860" w:type="dxa"/>
            <w:vAlign w:val="bottom"/>
            <w:tcBorders>
              <w:bottom w:val="single" w:sz="8" w:color="003551"/>
            </w:tcBorders>
            <w:shd w:val="clear" w:color="auto" w:fill="77C483"/>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740" w:type="dxa"/>
            <w:vAlign w:val="bottom"/>
            <w:shd w:val="clear" w:color="auto" w:fill="77C483"/>
          </w:tcPr>
          <w:p>
            <w:pPr>
              <w:spacing w:after="0"/>
              <w:rPr>
                <w:sz w:val="11"/>
                <w:szCs w:val="11"/>
                <w:color w:val="auto"/>
              </w:rPr>
            </w:pPr>
          </w:p>
        </w:tc>
        <w:tc>
          <w:tcPr>
            <w:tcW w:w="1140" w:type="dxa"/>
            <w:vAlign w:val="bottom"/>
            <w:shd w:val="clear" w:color="auto" w:fill="77C483"/>
          </w:tcPr>
          <w:p>
            <w:pPr>
              <w:spacing w:after="0"/>
              <w:rPr>
                <w:sz w:val="11"/>
                <w:szCs w:val="11"/>
                <w:color w:val="auto"/>
              </w:rPr>
            </w:pPr>
          </w:p>
        </w:tc>
        <w:tc>
          <w:tcPr>
            <w:tcW w:w="700" w:type="dxa"/>
            <w:vAlign w:val="bottom"/>
            <w:shd w:val="clear" w:color="auto" w:fill="77C483"/>
          </w:tcPr>
          <w:p>
            <w:pPr>
              <w:spacing w:after="0"/>
              <w:rPr>
                <w:sz w:val="11"/>
                <w:szCs w:val="11"/>
                <w:color w:val="auto"/>
              </w:rPr>
            </w:pPr>
          </w:p>
        </w:tc>
        <w:tc>
          <w:tcPr>
            <w:tcW w:w="800" w:type="dxa"/>
            <w:vAlign w:val="bottom"/>
            <w:shd w:val="clear" w:color="auto" w:fill="77C483"/>
          </w:tcPr>
          <w:p>
            <w:pPr>
              <w:spacing w:after="0"/>
              <w:rPr>
                <w:sz w:val="11"/>
                <w:szCs w:val="11"/>
                <w:color w:val="auto"/>
              </w:rPr>
            </w:pPr>
          </w:p>
        </w:tc>
        <w:tc>
          <w:tcPr>
            <w:tcW w:w="740" w:type="dxa"/>
            <w:vAlign w:val="bottom"/>
            <w:shd w:val="clear" w:color="auto" w:fill="77C483"/>
          </w:tcPr>
          <w:p>
            <w:pPr>
              <w:spacing w:after="0"/>
              <w:rPr>
                <w:sz w:val="11"/>
                <w:szCs w:val="11"/>
                <w:color w:val="auto"/>
              </w:rPr>
            </w:pPr>
          </w:p>
        </w:tc>
        <w:tc>
          <w:tcPr>
            <w:tcW w:w="520" w:type="dxa"/>
            <w:vAlign w:val="bottom"/>
            <w:shd w:val="clear" w:color="auto" w:fill="77C483"/>
          </w:tcPr>
          <w:p>
            <w:pPr>
              <w:spacing w:after="0"/>
              <w:rPr>
                <w:sz w:val="11"/>
                <w:szCs w:val="11"/>
                <w:color w:val="auto"/>
              </w:rPr>
            </w:pPr>
          </w:p>
        </w:tc>
        <w:tc>
          <w:tcPr>
            <w:tcW w:w="660" w:type="dxa"/>
            <w:vAlign w:val="bottom"/>
            <w:shd w:val="clear" w:color="auto" w:fill="77C483"/>
          </w:tcPr>
          <w:p>
            <w:pPr>
              <w:spacing w:after="0"/>
              <w:rPr>
                <w:sz w:val="11"/>
                <w:szCs w:val="11"/>
                <w:color w:val="auto"/>
              </w:rPr>
            </w:pPr>
          </w:p>
        </w:tc>
        <w:tc>
          <w:tcPr>
            <w:tcW w:w="600" w:type="dxa"/>
            <w:vAlign w:val="bottom"/>
            <w:shd w:val="clear" w:color="auto" w:fill="77C483"/>
          </w:tcPr>
          <w:p>
            <w:pPr>
              <w:spacing w:after="0"/>
              <w:rPr>
                <w:sz w:val="11"/>
                <w:szCs w:val="11"/>
                <w:color w:val="auto"/>
              </w:rPr>
            </w:pPr>
          </w:p>
        </w:tc>
        <w:tc>
          <w:tcPr>
            <w:tcW w:w="800" w:type="dxa"/>
            <w:vAlign w:val="bottom"/>
            <w:shd w:val="clear" w:color="auto" w:fill="77C483"/>
          </w:tcPr>
          <w:p>
            <w:pPr>
              <w:spacing w:after="0"/>
              <w:rPr>
                <w:sz w:val="11"/>
                <w:szCs w:val="11"/>
                <w:color w:val="auto"/>
              </w:rPr>
            </w:pPr>
          </w:p>
        </w:tc>
        <w:tc>
          <w:tcPr>
            <w:tcW w:w="680" w:type="dxa"/>
            <w:vAlign w:val="bottom"/>
            <w:shd w:val="clear" w:color="auto" w:fill="77C483"/>
          </w:tcPr>
          <w:p>
            <w:pPr>
              <w:ind w:left="60"/>
              <w:spacing w:after="0"/>
              <w:rPr>
                <w:sz w:val="20"/>
                <w:szCs w:val="20"/>
                <w:color w:val="auto"/>
              </w:rPr>
            </w:pPr>
            <w:r>
              <w:rPr>
                <w:rFonts w:ascii="Arial" w:cs="Arial" w:eastAsia="Arial" w:hAnsi="Arial"/>
                <w:sz w:val="11"/>
                <w:szCs w:val="11"/>
                <w:b w:val="1"/>
                <w:bCs w:val="1"/>
                <w:color w:val="003551"/>
              </w:rPr>
              <w:t>Equity</w:t>
            </w:r>
          </w:p>
        </w:tc>
        <w:tc>
          <w:tcPr>
            <w:tcW w:w="860" w:type="dxa"/>
            <w:vAlign w:val="bottom"/>
            <w:shd w:val="clear" w:color="auto" w:fill="77C483"/>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40" w:type="dxa"/>
            <w:vAlign w:val="bottom"/>
            <w:shd w:val="clear" w:color="auto" w:fill="77C483"/>
          </w:tcPr>
          <w:p>
            <w:pPr>
              <w:spacing w:after="0"/>
              <w:rPr>
                <w:sz w:val="11"/>
                <w:szCs w:val="11"/>
                <w:color w:val="auto"/>
              </w:rPr>
            </w:pPr>
          </w:p>
        </w:tc>
        <w:tc>
          <w:tcPr>
            <w:tcW w:w="1140" w:type="dxa"/>
            <w:vAlign w:val="bottom"/>
            <w:shd w:val="clear" w:color="auto" w:fill="77C483"/>
          </w:tcPr>
          <w:p>
            <w:pPr>
              <w:spacing w:after="0"/>
              <w:rPr>
                <w:sz w:val="11"/>
                <w:szCs w:val="11"/>
                <w:color w:val="auto"/>
              </w:rPr>
            </w:pPr>
          </w:p>
        </w:tc>
        <w:tc>
          <w:tcPr>
            <w:tcW w:w="700" w:type="dxa"/>
            <w:vAlign w:val="bottom"/>
            <w:shd w:val="clear" w:color="auto" w:fill="77C483"/>
          </w:tcPr>
          <w:p>
            <w:pPr>
              <w:spacing w:after="0"/>
              <w:rPr>
                <w:sz w:val="11"/>
                <w:szCs w:val="11"/>
                <w:color w:val="auto"/>
              </w:rPr>
            </w:pPr>
          </w:p>
        </w:tc>
        <w:tc>
          <w:tcPr>
            <w:tcW w:w="800" w:type="dxa"/>
            <w:vAlign w:val="bottom"/>
            <w:shd w:val="clear" w:color="auto" w:fill="77C483"/>
          </w:tcPr>
          <w:p>
            <w:pPr>
              <w:spacing w:after="0"/>
              <w:rPr>
                <w:sz w:val="11"/>
                <w:szCs w:val="11"/>
                <w:color w:val="auto"/>
              </w:rPr>
            </w:pPr>
          </w:p>
        </w:tc>
        <w:tc>
          <w:tcPr>
            <w:tcW w:w="740" w:type="dxa"/>
            <w:vAlign w:val="bottom"/>
            <w:shd w:val="clear" w:color="auto" w:fill="77C483"/>
          </w:tcPr>
          <w:p>
            <w:pPr>
              <w:spacing w:after="0"/>
              <w:rPr>
                <w:sz w:val="11"/>
                <w:szCs w:val="11"/>
                <w:color w:val="auto"/>
              </w:rPr>
            </w:pPr>
          </w:p>
        </w:tc>
        <w:tc>
          <w:tcPr>
            <w:tcW w:w="520" w:type="dxa"/>
            <w:vAlign w:val="bottom"/>
            <w:shd w:val="clear" w:color="auto" w:fill="77C483"/>
          </w:tcPr>
          <w:p>
            <w:pPr>
              <w:spacing w:after="0"/>
              <w:rPr>
                <w:sz w:val="11"/>
                <w:szCs w:val="11"/>
                <w:color w:val="auto"/>
              </w:rPr>
            </w:pPr>
          </w:p>
        </w:tc>
        <w:tc>
          <w:tcPr>
            <w:tcW w:w="660" w:type="dxa"/>
            <w:vAlign w:val="bottom"/>
            <w:shd w:val="clear" w:color="auto" w:fill="77C483"/>
          </w:tcPr>
          <w:p>
            <w:pPr>
              <w:spacing w:after="0"/>
              <w:rPr>
                <w:sz w:val="11"/>
                <w:szCs w:val="11"/>
                <w:color w:val="auto"/>
              </w:rPr>
            </w:pPr>
          </w:p>
        </w:tc>
        <w:tc>
          <w:tcPr>
            <w:tcW w:w="600" w:type="dxa"/>
            <w:vAlign w:val="bottom"/>
            <w:shd w:val="clear" w:color="auto" w:fill="77C483"/>
          </w:tcPr>
          <w:p>
            <w:pPr>
              <w:spacing w:after="0"/>
              <w:rPr>
                <w:sz w:val="11"/>
                <w:szCs w:val="11"/>
                <w:color w:val="auto"/>
              </w:rPr>
            </w:pPr>
          </w:p>
        </w:tc>
        <w:tc>
          <w:tcPr>
            <w:tcW w:w="800" w:type="dxa"/>
            <w:vAlign w:val="bottom"/>
            <w:shd w:val="clear" w:color="auto" w:fill="77C483"/>
          </w:tcPr>
          <w:p>
            <w:pPr>
              <w:spacing w:after="0"/>
              <w:rPr>
                <w:sz w:val="11"/>
                <w:szCs w:val="11"/>
                <w:color w:val="auto"/>
              </w:rPr>
            </w:pPr>
          </w:p>
        </w:tc>
        <w:tc>
          <w:tcPr>
            <w:tcW w:w="680" w:type="dxa"/>
            <w:vAlign w:val="bottom"/>
            <w:shd w:val="clear" w:color="auto" w:fill="77C483"/>
          </w:tcPr>
          <w:p>
            <w:pPr>
              <w:ind w:left="60"/>
              <w:spacing w:after="0"/>
              <w:rPr>
                <w:sz w:val="20"/>
                <w:szCs w:val="20"/>
                <w:color w:val="auto"/>
              </w:rPr>
            </w:pPr>
            <w:r>
              <w:rPr>
                <w:rFonts w:ascii="Arial" w:cs="Arial" w:eastAsia="Arial" w:hAnsi="Arial"/>
                <w:sz w:val="11"/>
                <w:szCs w:val="11"/>
                <w:b w:val="1"/>
                <w:bCs w:val="1"/>
                <w:color w:val="003551"/>
              </w:rPr>
              <w:t>Incentive</w:t>
            </w:r>
          </w:p>
        </w:tc>
        <w:tc>
          <w:tcPr>
            <w:tcW w:w="860" w:type="dxa"/>
            <w:vAlign w:val="bottom"/>
            <w:shd w:val="clear" w:color="auto" w:fill="77C483"/>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40" w:type="dxa"/>
            <w:vAlign w:val="bottom"/>
            <w:shd w:val="clear" w:color="auto" w:fill="77C483"/>
          </w:tcPr>
          <w:p>
            <w:pPr>
              <w:spacing w:after="0"/>
              <w:rPr>
                <w:sz w:val="11"/>
                <w:szCs w:val="11"/>
                <w:color w:val="auto"/>
              </w:rPr>
            </w:pPr>
          </w:p>
        </w:tc>
        <w:tc>
          <w:tcPr>
            <w:tcW w:w="1140" w:type="dxa"/>
            <w:vAlign w:val="bottom"/>
            <w:shd w:val="clear" w:color="auto" w:fill="77C483"/>
          </w:tcPr>
          <w:p>
            <w:pPr>
              <w:spacing w:after="0"/>
              <w:rPr>
                <w:sz w:val="11"/>
                <w:szCs w:val="11"/>
                <w:color w:val="auto"/>
              </w:rPr>
            </w:pPr>
          </w:p>
        </w:tc>
        <w:tc>
          <w:tcPr>
            <w:tcW w:w="700" w:type="dxa"/>
            <w:vAlign w:val="bottom"/>
            <w:shd w:val="clear" w:color="auto" w:fill="77C483"/>
          </w:tcPr>
          <w:p>
            <w:pPr>
              <w:spacing w:after="0"/>
              <w:rPr>
                <w:sz w:val="11"/>
                <w:szCs w:val="11"/>
                <w:color w:val="auto"/>
              </w:rPr>
            </w:pPr>
          </w:p>
        </w:tc>
        <w:tc>
          <w:tcPr>
            <w:tcW w:w="800" w:type="dxa"/>
            <w:vAlign w:val="bottom"/>
            <w:shd w:val="clear" w:color="auto" w:fill="77C483"/>
          </w:tcPr>
          <w:p>
            <w:pPr>
              <w:spacing w:after="0"/>
              <w:rPr>
                <w:sz w:val="11"/>
                <w:szCs w:val="11"/>
                <w:color w:val="auto"/>
              </w:rPr>
            </w:pPr>
          </w:p>
        </w:tc>
        <w:tc>
          <w:tcPr>
            <w:tcW w:w="740" w:type="dxa"/>
            <w:vAlign w:val="bottom"/>
            <w:shd w:val="clear" w:color="auto" w:fill="77C483"/>
          </w:tcPr>
          <w:p>
            <w:pPr>
              <w:spacing w:after="0"/>
              <w:rPr>
                <w:sz w:val="11"/>
                <w:szCs w:val="11"/>
                <w:color w:val="auto"/>
              </w:rPr>
            </w:pPr>
          </w:p>
        </w:tc>
        <w:tc>
          <w:tcPr>
            <w:tcW w:w="520" w:type="dxa"/>
            <w:vAlign w:val="bottom"/>
            <w:shd w:val="clear" w:color="auto" w:fill="77C483"/>
          </w:tcPr>
          <w:p>
            <w:pPr>
              <w:spacing w:after="0"/>
              <w:rPr>
                <w:sz w:val="11"/>
                <w:szCs w:val="11"/>
                <w:color w:val="auto"/>
              </w:rPr>
            </w:pPr>
          </w:p>
        </w:tc>
        <w:tc>
          <w:tcPr>
            <w:tcW w:w="660" w:type="dxa"/>
            <w:vAlign w:val="bottom"/>
            <w:shd w:val="clear" w:color="auto" w:fill="77C483"/>
          </w:tcPr>
          <w:p>
            <w:pPr>
              <w:spacing w:after="0"/>
              <w:rPr>
                <w:sz w:val="11"/>
                <w:szCs w:val="11"/>
                <w:color w:val="auto"/>
              </w:rPr>
            </w:pPr>
          </w:p>
        </w:tc>
        <w:tc>
          <w:tcPr>
            <w:tcW w:w="600" w:type="dxa"/>
            <w:vAlign w:val="bottom"/>
            <w:shd w:val="clear" w:color="auto" w:fill="77C483"/>
          </w:tcPr>
          <w:p>
            <w:pPr>
              <w:spacing w:after="0"/>
              <w:rPr>
                <w:sz w:val="11"/>
                <w:szCs w:val="11"/>
                <w:color w:val="auto"/>
              </w:rPr>
            </w:pPr>
          </w:p>
        </w:tc>
        <w:tc>
          <w:tcPr>
            <w:tcW w:w="800" w:type="dxa"/>
            <w:vAlign w:val="bottom"/>
            <w:shd w:val="clear" w:color="auto" w:fill="77C483"/>
          </w:tcPr>
          <w:p>
            <w:pPr>
              <w:spacing w:after="0"/>
              <w:rPr>
                <w:sz w:val="11"/>
                <w:szCs w:val="11"/>
                <w:color w:val="auto"/>
              </w:rPr>
            </w:pPr>
          </w:p>
        </w:tc>
        <w:tc>
          <w:tcPr>
            <w:tcW w:w="680" w:type="dxa"/>
            <w:vAlign w:val="bottom"/>
            <w:shd w:val="clear" w:color="auto" w:fill="77C483"/>
          </w:tcPr>
          <w:p>
            <w:pPr>
              <w:ind w:left="60"/>
              <w:spacing w:after="0"/>
              <w:rPr>
                <w:sz w:val="20"/>
                <w:szCs w:val="20"/>
                <w:color w:val="auto"/>
              </w:rPr>
            </w:pPr>
            <w:r>
              <w:rPr>
                <w:rFonts w:ascii="Arial" w:cs="Arial" w:eastAsia="Arial" w:hAnsi="Arial"/>
                <w:sz w:val="11"/>
                <w:szCs w:val="11"/>
                <w:b w:val="1"/>
                <w:bCs w:val="1"/>
                <w:color w:val="003551"/>
              </w:rPr>
              <w:t>Plan</w:t>
            </w:r>
          </w:p>
        </w:tc>
        <w:tc>
          <w:tcPr>
            <w:tcW w:w="860" w:type="dxa"/>
            <w:vAlign w:val="bottom"/>
            <w:vMerge w:val="restart"/>
            <w:shd w:val="clear" w:color="auto" w:fill="77C483"/>
          </w:tcPr>
          <w:p>
            <w:pPr>
              <w:ind w:left="40"/>
              <w:spacing w:after="0"/>
              <w:rPr>
                <w:sz w:val="20"/>
                <w:szCs w:val="20"/>
                <w:color w:val="auto"/>
              </w:rPr>
            </w:pPr>
            <w:r>
              <w:rPr>
                <w:rFonts w:ascii="Arial" w:cs="Arial" w:eastAsia="Arial" w:hAnsi="Arial"/>
                <w:sz w:val="11"/>
                <w:szCs w:val="11"/>
                <w:b w:val="1"/>
                <w:bCs w:val="1"/>
                <w:color w:val="003551"/>
              </w:rPr>
              <w:t>Market or</w:t>
            </w:r>
          </w:p>
        </w:tc>
        <w:tc>
          <w:tcPr>
            <w:tcW w:w="0" w:type="dxa"/>
            <w:vAlign w:val="bottom"/>
          </w:tcPr>
          <w:p>
            <w:pPr>
              <w:spacing w:after="0"/>
              <w:rPr>
                <w:sz w:val="1"/>
                <w:szCs w:val="1"/>
                <w:color w:val="auto"/>
              </w:rPr>
            </w:pPr>
          </w:p>
        </w:tc>
      </w:tr>
      <w:tr>
        <w:trPr>
          <w:trHeight w:val="92"/>
        </w:trPr>
        <w:tc>
          <w:tcPr>
            <w:tcW w:w="740" w:type="dxa"/>
            <w:vAlign w:val="bottom"/>
            <w:shd w:val="clear" w:color="auto" w:fill="77C483"/>
          </w:tcPr>
          <w:p>
            <w:pPr>
              <w:spacing w:after="0"/>
              <w:rPr>
                <w:sz w:val="7"/>
                <w:szCs w:val="7"/>
                <w:color w:val="auto"/>
              </w:rPr>
            </w:pPr>
          </w:p>
        </w:tc>
        <w:tc>
          <w:tcPr>
            <w:tcW w:w="1140" w:type="dxa"/>
            <w:vAlign w:val="bottom"/>
            <w:shd w:val="clear" w:color="auto" w:fill="77C483"/>
          </w:tcPr>
          <w:p>
            <w:pPr>
              <w:spacing w:after="0"/>
              <w:rPr>
                <w:sz w:val="7"/>
                <w:szCs w:val="7"/>
                <w:color w:val="auto"/>
              </w:rPr>
            </w:pPr>
          </w:p>
        </w:tc>
        <w:tc>
          <w:tcPr>
            <w:tcW w:w="700" w:type="dxa"/>
            <w:vAlign w:val="bottom"/>
            <w:shd w:val="clear" w:color="auto" w:fill="77C483"/>
          </w:tcPr>
          <w:p>
            <w:pPr>
              <w:spacing w:after="0"/>
              <w:rPr>
                <w:sz w:val="7"/>
                <w:szCs w:val="7"/>
                <w:color w:val="auto"/>
              </w:rPr>
            </w:pPr>
          </w:p>
        </w:tc>
        <w:tc>
          <w:tcPr>
            <w:tcW w:w="800" w:type="dxa"/>
            <w:vAlign w:val="bottom"/>
            <w:shd w:val="clear" w:color="auto" w:fill="77C483"/>
          </w:tcPr>
          <w:p>
            <w:pPr>
              <w:spacing w:after="0"/>
              <w:rPr>
                <w:sz w:val="7"/>
                <w:szCs w:val="7"/>
                <w:color w:val="auto"/>
              </w:rPr>
            </w:pPr>
          </w:p>
        </w:tc>
        <w:tc>
          <w:tcPr>
            <w:tcW w:w="740" w:type="dxa"/>
            <w:vAlign w:val="bottom"/>
            <w:shd w:val="clear" w:color="auto" w:fill="77C483"/>
          </w:tcPr>
          <w:p>
            <w:pPr>
              <w:spacing w:after="0"/>
              <w:rPr>
                <w:sz w:val="7"/>
                <w:szCs w:val="7"/>
                <w:color w:val="auto"/>
              </w:rPr>
            </w:pPr>
          </w:p>
        </w:tc>
        <w:tc>
          <w:tcPr>
            <w:tcW w:w="520" w:type="dxa"/>
            <w:vAlign w:val="bottom"/>
            <w:shd w:val="clear" w:color="auto" w:fill="77C483"/>
          </w:tcPr>
          <w:p>
            <w:pPr>
              <w:spacing w:after="0"/>
              <w:rPr>
                <w:sz w:val="7"/>
                <w:szCs w:val="7"/>
                <w:color w:val="auto"/>
              </w:rPr>
            </w:pPr>
          </w:p>
        </w:tc>
        <w:tc>
          <w:tcPr>
            <w:tcW w:w="660" w:type="dxa"/>
            <w:vAlign w:val="bottom"/>
            <w:shd w:val="clear" w:color="auto" w:fill="77C483"/>
          </w:tcPr>
          <w:p>
            <w:pPr>
              <w:spacing w:after="0"/>
              <w:rPr>
                <w:sz w:val="7"/>
                <w:szCs w:val="7"/>
                <w:color w:val="auto"/>
              </w:rPr>
            </w:pPr>
          </w:p>
        </w:tc>
        <w:tc>
          <w:tcPr>
            <w:tcW w:w="600" w:type="dxa"/>
            <w:vAlign w:val="bottom"/>
            <w:shd w:val="clear" w:color="auto" w:fill="77C483"/>
          </w:tcPr>
          <w:p>
            <w:pPr>
              <w:spacing w:after="0"/>
              <w:rPr>
                <w:sz w:val="7"/>
                <w:szCs w:val="7"/>
                <w:color w:val="auto"/>
              </w:rPr>
            </w:pPr>
          </w:p>
        </w:tc>
        <w:tc>
          <w:tcPr>
            <w:tcW w:w="800" w:type="dxa"/>
            <w:vAlign w:val="bottom"/>
            <w:shd w:val="clear" w:color="auto" w:fill="77C483"/>
          </w:tcPr>
          <w:p>
            <w:pPr>
              <w:spacing w:after="0"/>
              <w:rPr>
                <w:sz w:val="7"/>
                <w:szCs w:val="7"/>
                <w:color w:val="auto"/>
              </w:rPr>
            </w:pPr>
          </w:p>
        </w:tc>
        <w:tc>
          <w:tcPr>
            <w:tcW w:w="680" w:type="dxa"/>
            <w:vAlign w:val="bottom"/>
            <w:vMerge w:val="restart"/>
            <w:shd w:val="clear" w:color="auto" w:fill="77C483"/>
          </w:tcPr>
          <w:p>
            <w:pPr>
              <w:ind w:left="60"/>
              <w:spacing w:after="0"/>
              <w:rPr>
                <w:sz w:val="20"/>
                <w:szCs w:val="20"/>
                <w:color w:val="auto"/>
              </w:rPr>
            </w:pPr>
            <w:r>
              <w:rPr>
                <w:rFonts w:ascii="Arial" w:cs="Arial" w:eastAsia="Arial" w:hAnsi="Arial"/>
                <w:sz w:val="11"/>
                <w:szCs w:val="11"/>
                <w:b w:val="1"/>
                <w:bCs w:val="1"/>
                <w:color w:val="003551"/>
              </w:rPr>
              <w:t>Awards:</w:t>
            </w:r>
          </w:p>
        </w:tc>
        <w:tc>
          <w:tcPr>
            <w:tcW w:w="860" w:type="dxa"/>
            <w:vAlign w:val="bottom"/>
            <w:vMerge w:val="continue"/>
            <w:shd w:val="clear" w:color="auto" w:fill="77C483"/>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740" w:type="dxa"/>
            <w:vAlign w:val="bottom"/>
            <w:shd w:val="clear" w:color="auto" w:fill="77C483"/>
          </w:tcPr>
          <w:p>
            <w:pPr>
              <w:spacing w:after="0"/>
              <w:rPr>
                <w:sz w:val="3"/>
                <w:szCs w:val="3"/>
                <w:color w:val="auto"/>
              </w:rPr>
            </w:pPr>
          </w:p>
        </w:tc>
        <w:tc>
          <w:tcPr>
            <w:tcW w:w="1140" w:type="dxa"/>
            <w:vAlign w:val="bottom"/>
            <w:shd w:val="clear" w:color="auto" w:fill="77C483"/>
          </w:tcPr>
          <w:p>
            <w:pPr>
              <w:spacing w:after="0"/>
              <w:rPr>
                <w:sz w:val="3"/>
                <w:szCs w:val="3"/>
                <w:color w:val="auto"/>
              </w:rPr>
            </w:pPr>
          </w:p>
        </w:tc>
        <w:tc>
          <w:tcPr>
            <w:tcW w:w="700" w:type="dxa"/>
            <w:vAlign w:val="bottom"/>
            <w:shd w:val="clear" w:color="auto" w:fill="77C483"/>
          </w:tcPr>
          <w:p>
            <w:pPr>
              <w:spacing w:after="0"/>
              <w:rPr>
                <w:sz w:val="3"/>
                <w:szCs w:val="3"/>
                <w:color w:val="auto"/>
              </w:rPr>
            </w:pPr>
          </w:p>
        </w:tc>
        <w:tc>
          <w:tcPr>
            <w:tcW w:w="800" w:type="dxa"/>
            <w:vAlign w:val="bottom"/>
            <w:shd w:val="clear" w:color="auto" w:fill="77C483"/>
          </w:tcPr>
          <w:p>
            <w:pPr>
              <w:spacing w:after="0"/>
              <w:rPr>
                <w:sz w:val="3"/>
                <w:szCs w:val="3"/>
                <w:color w:val="auto"/>
              </w:rPr>
            </w:pPr>
          </w:p>
        </w:tc>
        <w:tc>
          <w:tcPr>
            <w:tcW w:w="740" w:type="dxa"/>
            <w:vAlign w:val="bottom"/>
            <w:shd w:val="clear" w:color="auto" w:fill="77C483"/>
          </w:tcPr>
          <w:p>
            <w:pPr>
              <w:spacing w:after="0"/>
              <w:rPr>
                <w:sz w:val="3"/>
                <w:szCs w:val="3"/>
                <w:color w:val="auto"/>
              </w:rPr>
            </w:pPr>
          </w:p>
        </w:tc>
        <w:tc>
          <w:tcPr>
            <w:tcW w:w="520" w:type="dxa"/>
            <w:vAlign w:val="bottom"/>
            <w:shd w:val="clear" w:color="auto" w:fill="77C483"/>
          </w:tcPr>
          <w:p>
            <w:pPr>
              <w:spacing w:after="0"/>
              <w:rPr>
                <w:sz w:val="3"/>
                <w:szCs w:val="3"/>
                <w:color w:val="auto"/>
              </w:rPr>
            </w:pPr>
          </w:p>
        </w:tc>
        <w:tc>
          <w:tcPr>
            <w:tcW w:w="660" w:type="dxa"/>
            <w:vAlign w:val="bottom"/>
            <w:shd w:val="clear" w:color="auto" w:fill="77C483"/>
          </w:tcPr>
          <w:p>
            <w:pPr>
              <w:spacing w:after="0"/>
              <w:rPr>
                <w:sz w:val="3"/>
                <w:szCs w:val="3"/>
                <w:color w:val="auto"/>
              </w:rPr>
            </w:pPr>
          </w:p>
        </w:tc>
        <w:tc>
          <w:tcPr>
            <w:tcW w:w="600" w:type="dxa"/>
            <w:vAlign w:val="bottom"/>
            <w:shd w:val="clear" w:color="auto" w:fill="77C483"/>
          </w:tcPr>
          <w:p>
            <w:pPr>
              <w:spacing w:after="0"/>
              <w:rPr>
                <w:sz w:val="3"/>
                <w:szCs w:val="3"/>
                <w:color w:val="auto"/>
              </w:rPr>
            </w:pPr>
          </w:p>
        </w:tc>
        <w:tc>
          <w:tcPr>
            <w:tcW w:w="800" w:type="dxa"/>
            <w:vAlign w:val="bottom"/>
            <w:shd w:val="clear" w:color="auto" w:fill="77C483"/>
          </w:tcPr>
          <w:p>
            <w:pPr>
              <w:spacing w:after="0"/>
              <w:rPr>
                <w:sz w:val="3"/>
                <w:szCs w:val="3"/>
                <w:color w:val="auto"/>
              </w:rPr>
            </w:pPr>
          </w:p>
        </w:tc>
        <w:tc>
          <w:tcPr>
            <w:tcW w:w="680" w:type="dxa"/>
            <w:vAlign w:val="bottom"/>
            <w:vMerge w:val="continue"/>
            <w:shd w:val="clear" w:color="auto" w:fill="77C483"/>
          </w:tcPr>
          <w:p>
            <w:pPr>
              <w:spacing w:after="0"/>
              <w:rPr>
                <w:sz w:val="3"/>
                <w:szCs w:val="3"/>
                <w:color w:val="auto"/>
              </w:rPr>
            </w:pPr>
          </w:p>
        </w:tc>
        <w:tc>
          <w:tcPr>
            <w:tcW w:w="860" w:type="dxa"/>
            <w:vAlign w:val="bottom"/>
            <w:vMerge w:val="restart"/>
            <w:shd w:val="clear" w:color="auto" w:fill="77C483"/>
          </w:tcPr>
          <w:p>
            <w:pPr>
              <w:ind w:left="40"/>
              <w:spacing w:after="0"/>
              <w:rPr>
                <w:sz w:val="20"/>
                <w:szCs w:val="20"/>
                <w:color w:val="auto"/>
              </w:rPr>
            </w:pPr>
            <w:r>
              <w:rPr>
                <w:rFonts w:ascii="Arial" w:cs="Arial" w:eastAsia="Arial" w:hAnsi="Arial"/>
                <w:sz w:val="11"/>
                <w:szCs w:val="11"/>
                <w:b w:val="1"/>
                <w:bCs w:val="1"/>
                <w:color w:val="003551"/>
              </w:rPr>
              <w:t>Payout</w:t>
            </w:r>
          </w:p>
        </w:tc>
        <w:tc>
          <w:tcPr>
            <w:tcW w:w="0" w:type="dxa"/>
            <w:vAlign w:val="bottom"/>
          </w:tcPr>
          <w:p>
            <w:pPr>
              <w:spacing w:after="0" w:line="20" w:lineRule="exact"/>
              <w:rPr>
                <w:sz w:val="1"/>
                <w:szCs w:val="1"/>
                <w:color w:val="auto"/>
              </w:rPr>
            </w:pPr>
          </w:p>
        </w:tc>
      </w:tr>
      <w:tr>
        <w:trPr>
          <w:trHeight w:val="113"/>
        </w:trPr>
        <w:tc>
          <w:tcPr>
            <w:tcW w:w="740" w:type="dxa"/>
            <w:vAlign w:val="bottom"/>
            <w:shd w:val="clear" w:color="auto" w:fill="77C483"/>
          </w:tcPr>
          <w:p>
            <w:pPr>
              <w:spacing w:after="0"/>
              <w:rPr>
                <w:sz w:val="9"/>
                <w:szCs w:val="9"/>
                <w:color w:val="auto"/>
              </w:rPr>
            </w:pPr>
          </w:p>
        </w:tc>
        <w:tc>
          <w:tcPr>
            <w:tcW w:w="1140" w:type="dxa"/>
            <w:vAlign w:val="bottom"/>
            <w:shd w:val="clear" w:color="auto" w:fill="77C483"/>
          </w:tcPr>
          <w:p>
            <w:pPr>
              <w:spacing w:after="0"/>
              <w:rPr>
                <w:sz w:val="9"/>
                <w:szCs w:val="9"/>
                <w:color w:val="auto"/>
              </w:rPr>
            </w:pPr>
          </w:p>
        </w:tc>
        <w:tc>
          <w:tcPr>
            <w:tcW w:w="700" w:type="dxa"/>
            <w:vAlign w:val="bottom"/>
            <w:shd w:val="clear" w:color="auto" w:fill="77C483"/>
          </w:tcPr>
          <w:p>
            <w:pPr>
              <w:spacing w:after="0"/>
              <w:rPr>
                <w:sz w:val="9"/>
                <w:szCs w:val="9"/>
                <w:color w:val="auto"/>
              </w:rPr>
            </w:pPr>
          </w:p>
        </w:tc>
        <w:tc>
          <w:tcPr>
            <w:tcW w:w="800" w:type="dxa"/>
            <w:vAlign w:val="bottom"/>
            <w:shd w:val="clear" w:color="auto" w:fill="77C483"/>
          </w:tcPr>
          <w:p>
            <w:pPr>
              <w:spacing w:after="0"/>
              <w:rPr>
                <w:sz w:val="9"/>
                <w:szCs w:val="9"/>
                <w:color w:val="auto"/>
              </w:rPr>
            </w:pPr>
          </w:p>
        </w:tc>
        <w:tc>
          <w:tcPr>
            <w:tcW w:w="740" w:type="dxa"/>
            <w:vAlign w:val="bottom"/>
            <w:shd w:val="clear" w:color="auto" w:fill="77C483"/>
          </w:tcPr>
          <w:p>
            <w:pPr>
              <w:spacing w:after="0"/>
              <w:rPr>
                <w:sz w:val="9"/>
                <w:szCs w:val="9"/>
                <w:color w:val="auto"/>
              </w:rPr>
            </w:pPr>
          </w:p>
        </w:tc>
        <w:tc>
          <w:tcPr>
            <w:tcW w:w="520" w:type="dxa"/>
            <w:vAlign w:val="bottom"/>
            <w:shd w:val="clear" w:color="auto" w:fill="77C483"/>
          </w:tcPr>
          <w:p>
            <w:pPr>
              <w:spacing w:after="0"/>
              <w:rPr>
                <w:sz w:val="9"/>
                <w:szCs w:val="9"/>
                <w:color w:val="auto"/>
              </w:rPr>
            </w:pPr>
          </w:p>
        </w:tc>
        <w:tc>
          <w:tcPr>
            <w:tcW w:w="660" w:type="dxa"/>
            <w:vAlign w:val="bottom"/>
            <w:shd w:val="clear" w:color="auto" w:fill="77C483"/>
          </w:tcPr>
          <w:p>
            <w:pPr>
              <w:spacing w:after="0"/>
              <w:rPr>
                <w:sz w:val="9"/>
                <w:szCs w:val="9"/>
                <w:color w:val="auto"/>
              </w:rPr>
            </w:pPr>
          </w:p>
        </w:tc>
        <w:tc>
          <w:tcPr>
            <w:tcW w:w="600" w:type="dxa"/>
            <w:vAlign w:val="bottom"/>
            <w:shd w:val="clear" w:color="auto" w:fill="77C483"/>
          </w:tcPr>
          <w:p>
            <w:pPr>
              <w:spacing w:after="0"/>
              <w:rPr>
                <w:sz w:val="9"/>
                <w:szCs w:val="9"/>
                <w:color w:val="auto"/>
              </w:rPr>
            </w:pPr>
          </w:p>
        </w:tc>
        <w:tc>
          <w:tcPr>
            <w:tcW w:w="800" w:type="dxa"/>
            <w:vAlign w:val="bottom"/>
            <w:shd w:val="clear" w:color="auto" w:fill="77C483"/>
          </w:tcPr>
          <w:p>
            <w:pPr>
              <w:spacing w:after="0"/>
              <w:rPr>
                <w:sz w:val="9"/>
                <w:szCs w:val="9"/>
                <w:color w:val="auto"/>
              </w:rPr>
            </w:pPr>
          </w:p>
        </w:tc>
        <w:tc>
          <w:tcPr>
            <w:tcW w:w="680" w:type="dxa"/>
            <w:vAlign w:val="bottom"/>
            <w:shd w:val="clear" w:color="auto" w:fill="77C483"/>
          </w:tcPr>
          <w:p>
            <w:pPr>
              <w:ind w:left="60"/>
              <w:spacing w:after="0" w:line="113" w:lineRule="exact"/>
              <w:rPr>
                <w:sz w:val="20"/>
                <w:szCs w:val="20"/>
                <w:color w:val="auto"/>
              </w:rPr>
            </w:pPr>
            <w:r>
              <w:rPr>
                <w:rFonts w:ascii="Arial" w:cs="Arial" w:eastAsia="Arial" w:hAnsi="Arial"/>
                <w:sz w:val="11"/>
                <w:szCs w:val="11"/>
                <w:b w:val="1"/>
                <w:bCs w:val="1"/>
                <w:color w:val="003551"/>
              </w:rPr>
              <w:t>Number of</w:t>
            </w:r>
          </w:p>
        </w:tc>
        <w:tc>
          <w:tcPr>
            <w:tcW w:w="860" w:type="dxa"/>
            <w:vAlign w:val="bottom"/>
            <w:vMerge w:val="continue"/>
            <w:shd w:val="clear" w:color="auto" w:fill="77C483"/>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740" w:type="dxa"/>
            <w:vAlign w:val="bottom"/>
            <w:shd w:val="clear" w:color="auto" w:fill="77C483"/>
          </w:tcPr>
          <w:p>
            <w:pPr>
              <w:spacing w:after="0"/>
              <w:rPr>
                <w:sz w:val="9"/>
                <w:szCs w:val="9"/>
                <w:color w:val="auto"/>
              </w:rPr>
            </w:pPr>
          </w:p>
        </w:tc>
        <w:tc>
          <w:tcPr>
            <w:tcW w:w="1140" w:type="dxa"/>
            <w:vAlign w:val="bottom"/>
            <w:shd w:val="clear" w:color="auto" w:fill="77C483"/>
          </w:tcPr>
          <w:p>
            <w:pPr>
              <w:spacing w:after="0"/>
              <w:rPr>
                <w:sz w:val="9"/>
                <w:szCs w:val="9"/>
                <w:color w:val="auto"/>
              </w:rPr>
            </w:pPr>
          </w:p>
        </w:tc>
        <w:tc>
          <w:tcPr>
            <w:tcW w:w="700" w:type="dxa"/>
            <w:vAlign w:val="bottom"/>
            <w:shd w:val="clear" w:color="auto" w:fill="77C483"/>
          </w:tcPr>
          <w:p>
            <w:pPr>
              <w:spacing w:after="0"/>
              <w:rPr>
                <w:sz w:val="9"/>
                <w:szCs w:val="9"/>
                <w:color w:val="auto"/>
              </w:rPr>
            </w:pPr>
          </w:p>
        </w:tc>
        <w:tc>
          <w:tcPr>
            <w:tcW w:w="800" w:type="dxa"/>
            <w:vAlign w:val="bottom"/>
            <w:shd w:val="clear" w:color="auto" w:fill="77C483"/>
          </w:tcPr>
          <w:p>
            <w:pPr>
              <w:spacing w:after="0"/>
              <w:rPr>
                <w:sz w:val="9"/>
                <w:szCs w:val="9"/>
                <w:color w:val="auto"/>
              </w:rPr>
            </w:pPr>
          </w:p>
        </w:tc>
        <w:tc>
          <w:tcPr>
            <w:tcW w:w="740" w:type="dxa"/>
            <w:vAlign w:val="bottom"/>
            <w:shd w:val="clear" w:color="auto" w:fill="77C483"/>
          </w:tcPr>
          <w:p>
            <w:pPr>
              <w:spacing w:after="0"/>
              <w:rPr>
                <w:sz w:val="9"/>
                <w:szCs w:val="9"/>
                <w:color w:val="auto"/>
              </w:rPr>
            </w:pPr>
          </w:p>
        </w:tc>
        <w:tc>
          <w:tcPr>
            <w:tcW w:w="520" w:type="dxa"/>
            <w:vAlign w:val="bottom"/>
            <w:shd w:val="clear" w:color="auto" w:fill="77C483"/>
          </w:tcPr>
          <w:p>
            <w:pPr>
              <w:spacing w:after="0"/>
              <w:rPr>
                <w:sz w:val="9"/>
                <w:szCs w:val="9"/>
                <w:color w:val="auto"/>
              </w:rPr>
            </w:pPr>
          </w:p>
        </w:tc>
        <w:tc>
          <w:tcPr>
            <w:tcW w:w="660" w:type="dxa"/>
            <w:vAlign w:val="bottom"/>
            <w:shd w:val="clear" w:color="auto" w:fill="77C483"/>
          </w:tcPr>
          <w:p>
            <w:pPr>
              <w:spacing w:after="0"/>
              <w:rPr>
                <w:sz w:val="9"/>
                <w:szCs w:val="9"/>
                <w:color w:val="auto"/>
              </w:rPr>
            </w:pPr>
          </w:p>
        </w:tc>
        <w:tc>
          <w:tcPr>
            <w:tcW w:w="600" w:type="dxa"/>
            <w:vAlign w:val="bottom"/>
            <w:vMerge w:val="restart"/>
            <w:shd w:val="clear" w:color="auto" w:fill="77C483"/>
          </w:tcPr>
          <w:p>
            <w:pPr>
              <w:ind w:left="40"/>
              <w:spacing w:after="0"/>
              <w:rPr>
                <w:sz w:val="20"/>
                <w:szCs w:val="20"/>
                <w:color w:val="auto"/>
              </w:rPr>
            </w:pPr>
            <w:r>
              <w:rPr>
                <w:rFonts w:ascii="Arial" w:cs="Arial" w:eastAsia="Arial" w:hAnsi="Arial"/>
                <w:sz w:val="11"/>
                <w:szCs w:val="11"/>
                <w:b w:val="1"/>
                <w:bCs w:val="1"/>
                <w:color w:val="003551"/>
              </w:rPr>
              <w:t>Number</w:t>
            </w:r>
          </w:p>
        </w:tc>
        <w:tc>
          <w:tcPr>
            <w:tcW w:w="800" w:type="dxa"/>
            <w:vAlign w:val="bottom"/>
            <w:shd w:val="clear" w:color="auto" w:fill="77C483"/>
          </w:tcPr>
          <w:p>
            <w:pPr>
              <w:spacing w:after="0"/>
              <w:rPr>
                <w:sz w:val="9"/>
                <w:szCs w:val="9"/>
                <w:color w:val="auto"/>
              </w:rPr>
            </w:pPr>
          </w:p>
        </w:tc>
        <w:tc>
          <w:tcPr>
            <w:tcW w:w="680" w:type="dxa"/>
            <w:vAlign w:val="bottom"/>
            <w:vMerge w:val="restart"/>
            <w:shd w:val="clear" w:color="auto" w:fill="77C483"/>
          </w:tcPr>
          <w:p>
            <w:pPr>
              <w:ind w:left="60"/>
              <w:spacing w:after="0"/>
              <w:rPr>
                <w:sz w:val="20"/>
                <w:szCs w:val="20"/>
                <w:color w:val="auto"/>
              </w:rPr>
            </w:pPr>
            <w:r>
              <w:rPr>
                <w:rFonts w:ascii="Arial" w:cs="Arial" w:eastAsia="Arial" w:hAnsi="Arial"/>
                <w:sz w:val="11"/>
                <w:szCs w:val="11"/>
                <w:b w:val="1"/>
                <w:bCs w:val="1"/>
                <w:color w:val="003551"/>
              </w:rPr>
              <w:t>Unearned</w:t>
            </w:r>
          </w:p>
        </w:tc>
        <w:tc>
          <w:tcPr>
            <w:tcW w:w="860" w:type="dxa"/>
            <w:vAlign w:val="bottom"/>
            <w:shd w:val="clear" w:color="auto" w:fill="77C483"/>
          </w:tcPr>
          <w:p>
            <w:pPr>
              <w:ind w:left="40"/>
              <w:spacing w:after="0" w:line="110" w:lineRule="exact"/>
              <w:rPr>
                <w:sz w:val="20"/>
                <w:szCs w:val="20"/>
                <w:color w:val="auto"/>
              </w:rPr>
            </w:pPr>
            <w:r>
              <w:rPr>
                <w:rFonts w:ascii="Arial" w:cs="Arial" w:eastAsia="Arial" w:hAnsi="Arial"/>
                <w:sz w:val="11"/>
                <w:szCs w:val="11"/>
                <w:b w:val="1"/>
                <w:bCs w:val="1"/>
                <w:color w:val="003551"/>
              </w:rPr>
              <w:t>Value</w:t>
            </w:r>
          </w:p>
        </w:tc>
        <w:tc>
          <w:tcPr>
            <w:tcW w:w="0" w:type="dxa"/>
            <w:vAlign w:val="bottom"/>
          </w:tcPr>
          <w:p>
            <w:pPr>
              <w:spacing w:after="0"/>
              <w:rPr>
                <w:sz w:val="1"/>
                <w:szCs w:val="1"/>
                <w:color w:val="auto"/>
              </w:rPr>
            </w:pPr>
          </w:p>
        </w:tc>
      </w:tr>
      <w:tr>
        <w:trPr>
          <w:trHeight w:val="39"/>
        </w:trPr>
        <w:tc>
          <w:tcPr>
            <w:tcW w:w="740" w:type="dxa"/>
            <w:vAlign w:val="bottom"/>
            <w:shd w:val="clear" w:color="auto" w:fill="77C483"/>
          </w:tcPr>
          <w:p>
            <w:pPr>
              <w:spacing w:after="0"/>
              <w:rPr>
                <w:sz w:val="3"/>
                <w:szCs w:val="3"/>
                <w:color w:val="auto"/>
              </w:rPr>
            </w:pPr>
          </w:p>
        </w:tc>
        <w:tc>
          <w:tcPr>
            <w:tcW w:w="1140" w:type="dxa"/>
            <w:vAlign w:val="bottom"/>
            <w:shd w:val="clear" w:color="auto" w:fill="77C483"/>
          </w:tcPr>
          <w:p>
            <w:pPr>
              <w:spacing w:after="0"/>
              <w:rPr>
                <w:sz w:val="3"/>
                <w:szCs w:val="3"/>
                <w:color w:val="auto"/>
              </w:rPr>
            </w:pPr>
          </w:p>
        </w:tc>
        <w:tc>
          <w:tcPr>
            <w:tcW w:w="700" w:type="dxa"/>
            <w:vAlign w:val="bottom"/>
            <w:shd w:val="clear" w:color="auto" w:fill="77C483"/>
          </w:tcPr>
          <w:p>
            <w:pPr>
              <w:spacing w:after="0"/>
              <w:rPr>
                <w:sz w:val="3"/>
                <w:szCs w:val="3"/>
                <w:color w:val="auto"/>
              </w:rPr>
            </w:pPr>
          </w:p>
        </w:tc>
        <w:tc>
          <w:tcPr>
            <w:tcW w:w="800" w:type="dxa"/>
            <w:vAlign w:val="bottom"/>
            <w:shd w:val="clear" w:color="auto" w:fill="77C483"/>
          </w:tcPr>
          <w:p>
            <w:pPr>
              <w:spacing w:after="0"/>
              <w:rPr>
                <w:sz w:val="3"/>
                <w:szCs w:val="3"/>
                <w:color w:val="auto"/>
              </w:rPr>
            </w:pPr>
          </w:p>
        </w:tc>
        <w:tc>
          <w:tcPr>
            <w:tcW w:w="740" w:type="dxa"/>
            <w:vAlign w:val="bottom"/>
            <w:shd w:val="clear" w:color="auto" w:fill="77C483"/>
          </w:tcPr>
          <w:p>
            <w:pPr>
              <w:spacing w:after="0"/>
              <w:rPr>
                <w:sz w:val="3"/>
                <w:szCs w:val="3"/>
                <w:color w:val="auto"/>
              </w:rPr>
            </w:pPr>
          </w:p>
        </w:tc>
        <w:tc>
          <w:tcPr>
            <w:tcW w:w="520" w:type="dxa"/>
            <w:vAlign w:val="bottom"/>
            <w:shd w:val="clear" w:color="auto" w:fill="77C483"/>
          </w:tcPr>
          <w:p>
            <w:pPr>
              <w:spacing w:after="0"/>
              <w:rPr>
                <w:sz w:val="3"/>
                <w:szCs w:val="3"/>
                <w:color w:val="auto"/>
              </w:rPr>
            </w:pPr>
          </w:p>
        </w:tc>
        <w:tc>
          <w:tcPr>
            <w:tcW w:w="660" w:type="dxa"/>
            <w:vAlign w:val="bottom"/>
            <w:shd w:val="clear" w:color="auto" w:fill="77C483"/>
          </w:tcPr>
          <w:p>
            <w:pPr>
              <w:spacing w:after="0"/>
              <w:rPr>
                <w:sz w:val="3"/>
                <w:szCs w:val="3"/>
                <w:color w:val="auto"/>
              </w:rPr>
            </w:pPr>
          </w:p>
        </w:tc>
        <w:tc>
          <w:tcPr>
            <w:tcW w:w="600" w:type="dxa"/>
            <w:vAlign w:val="bottom"/>
            <w:vMerge w:val="continue"/>
            <w:shd w:val="clear" w:color="auto" w:fill="77C483"/>
          </w:tcPr>
          <w:p>
            <w:pPr>
              <w:spacing w:after="0"/>
              <w:rPr>
                <w:sz w:val="3"/>
                <w:szCs w:val="3"/>
                <w:color w:val="auto"/>
              </w:rPr>
            </w:pPr>
          </w:p>
        </w:tc>
        <w:tc>
          <w:tcPr>
            <w:tcW w:w="800" w:type="dxa"/>
            <w:vAlign w:val="bottom"/>
            <w:shd w:val="clear" w:color="auto" w:fill="77C483"/>
          </w:tcPr>
          <w:p>
            <w:pPr>
              <w:spacing w:after="0"/>
              <w:rPr>
                <w:sz w:val="3"/>
                <w:szCs w:val="3"/>
                <w:color w:val="auto"/>
              </w:rPr>
            </w:pPr>
          </w:p>
        </w:tc>
        <w:tc>
          <w:tcPr>
            <w:tcW w:w="680" w:type="dxa"/>
            <w:vAlign w:val="bottom"/>
            <w:vMerge w:val="continue"/>
            <w:shd w:val="clear" w:color="auto" w:fill="77C483"/>
          </w:tcPr>
          <w:p>
            <w:pPr>
              <w:spacing w:after="0"/>
              <w:rPr>
                <w:sz w:val="3"/>
                <w:szCs w:val="3"/>
                <w:color w:val="auto"/>
              </w:rPr>
            </w:pPr>
          </w:p>
        </w:tc>
        <w:tc>
          <w:tcPr>
            <w:tcW w:w="860" w:type="dxa"/>
            <w:vAlign w:val="bottom"/>
            <w:vMerge w:val="restart"/>
            <w:shd w:val="clear" w:color="auto" w:fill="77C483"/>
          </w:tcPr>
          <w:p>
            <w:pPr>
              <w:ind w:left="40"/>
              <w:spacing w:after="0"/>
              <w:rPr>
                <w:sz w:val="20"/>
                <w:szCs w:val="20"/>
                <w:color w:val="auto"/>
              </w:rPr>
            </w:pPr>
            <w:r>
              <w:rPr>
                <w:rFonts w:ascii="Arial" w:cs="Arial" w:eastAsia="Arial" w:hAnsi="Arial"/>
                <w:sz w:val="11"/>
                <w:szCs w:val="11"/>
                <w:b w:val="1"/>
                <w:bCs w:val="1"/>
                <w:color w:val="003551"/>
              </w:rPr>
              <w:t>of Unearned</w:t>
            </w:r>
          </w:p>
        </w:tc>
        <w:tc>
          <w:tcPr>
            <w:tcW w:w="0" w:type="dxa"/>
            <w:vAlign w:val="bottom"/>
          </w:tcPr>
          <w:p>
            <w:pPr>
              <w:spacing w:after="0" w:line="20" w:lineRule="exact"/>
              <w:rPr>
                <w:sz w:val="1"/>
                <w:szCs w:val="1"/>
                <w:color w:val="auto"/>
              </w:rPr>
            </w:pPr>
          </w:p>
        </w:tc>
      </w:tr>
      <w:tr>
        <w:trPr>
          <w:trHeight w:val="92"/>
        </w:trPr>
        <w:tc>
          <w:tcPr>
            <w:tcW w:w="740" w:type="dxa"/>
            <w:vAlign w:val="bottom"/>
            <w:shd w:val="clear" w:color="auto" w:fill="77C483"/>
          </w:tcPr>
          <w:p>
            <w:pPr>
              <w:spacing w:after="0"/>
              <w:rPr>
                <w:sz w:val="7"/>
                <w:szCs w:val="7"/>
                <w:color w:val="auto"/>
              </w:rPr>
            </w:pPr>
          </w:p>
        </w:tc>
        <w:tc>
          <w:tcPr>
            <w:tcW w:w="1140" w:type="dxa"/>
            <w:vAlign w:val="bottom"/>
            <w:shd w:val="clear" w:color="auto" w:fill="77C483"/>
          </w:tcPr>
          <w:p>
            <w:pPr>
              <w:spacing w:after="0"/>
              <w:rPr>
                <w:sz w:val="7"/>
                <w:szCs w:val="7"/>
                <w:color w:val="auto"/>
              </w:rPr>
            </w:pPr>
          </w:p>
        </w:tc>
        <w:tc>
          <w:tcPr>
            <w:tcW w:w="700" w:type="dxa"/>
            <w:vAlign w:val="bottom"/>
            <w:shd w:val="clear" w:color="auto" w:fill="77C483"/>
          </w:tcPr>
          <w:p>
            <w:pPr>
              <w:spacing w:after="0"/>
              <w:rPr>
                <w:sz w:val="7"/>
                <w:szCs w:val="7"/>
                <w:color w:val="auto"/>
              </w:rPr>
            </w:pPr>
          </w:p>
        </w:tc>
        <w:tc>
          <w:tcPr>
            <w:tcW w:w="800" w:type="dxa"/>
            <w:vAlign w:val="bottom"/>
            <w:shd w:val="clear" w:color="auto" w:fill="77C483"/>
          </w:tcPr>
          <w:p>
            <w:pPr>
              <w:spacing w:after="0"/>
              <w:rPr>
                <w:sz w:val="7"/>
                <w:szCs w:val="7"/>
                <w:color w:val="auto"/>
              </w:rPr>
            </w:pPr>
          </w:p>
        </w:tc>
        <w:tc>
          <w:tcPr>
            <w:tcW w:w="740" w:type="dxa"/>
            <w:vAlign w:val="bottom"/>
            <w:shd w:val="clear" w:color="auto" w:fill="77C483"/>
          </w:tcPr>
          <w:p>
            <w:pPr>
              <w:spacing w:after="0"/>
              <w:rPr>
                <w:sz w:val="7"/>
                <w:szCs w:val="7"/>
                <w:color w:val="auto"/>
              </w:rPr>
            </w:pPr>
          </w:p>
        </w:tc>
        <w:tc>
          <w:tcPr>
            <w:tcW w:w="520" w:type="dxa"/>
            <w:vAlign w:val="bottom"/>
            <w:shd w:val="clear" w:color="auto" w:fill="77C483"/>
          </w:tcPr>
          <w:p>
            <w:pPr>
              <w:spacing w:after="0"/>
              <w:rPr>
                <w:sz w:val="7"/>
                <w:szCs w:val="7"/>
                <w:color w:val="auto"/>
              </w:rPr>
            </w:pPr>
          </w:p>
        </w:tc>
        <w:tc>
          <w:tcPr>
            <w:tcW w:w="660" w:type="dxa"/>
            <w:vAlign w:val="bottom"/>
            <w:shd w:val="clear" w:color="auto" w:fill="77C483"/>
          </w:tcPr>
          <w:p>
            <w:pPr>
              <w:spacing w:after="0"/>
              <w:rPr>
                <w:sz w:val="7"/>
                <w:szCs w:val="7"/>
                <w:color w:val="auto"/>
              </w:rPr>
            </w:pPr>
          </w:p>
        </w:tc>
        <w:tc>
          <w:tcPr>
            <w:tcW w:w="600" w:type="dxa"/>
            <w:vAlign w:val="bottom"/>
            <w:vMerge w:val="restart"/>
            <w:shd w:val="clear" w:color="auto" w:fill="77C483"/>
          </w:tcPr>
          <w:p>
            <w:pPr>
              <w:ind w:left="40"/>
              <w:spacing w:after="0"/>
              <w:rPr>
                <w:sz w:val="20"/>
                <w:szCs w:val="20"/>
                <w:color w:val="auto"/>
              </w:rPr>
            </w:pPr>
            <w:r>
              <w:rPr>
                <w:rFonts w:ascii="Arial" w:cs="Arial" w:eastAsia="Arial" w:hAnsi="Arial"/>
                <w:sz w:val="11"/>
                <w:szCs w:val="11"/>
                <w:b w:val="1"/>
                <w:bCs w:val="1"/>
                <w:color w:val="003551"/>
              </w:rPr>
              <w:t>of</w:t>
            </w:r>
          </w:p>
        </w:tc>
        <w:tc>
          <w:tcPr>
            <w:tcW w:w="800" w:type="dxa"/>
            <w:vAlign w:val="bottom"/>
            <w:vMerge w:val="restart"/>
            <w:shd w:val="clear" w:color="auto" w:fill="77C483"/>
          </w:tcPr>
          <w:p>
            <w:pPr>
              <w:ind w:left="40"/>
              <w:spacing w:after="0"/>
              <w:rPr>
                <w:sz w:val="20"/>
                <w:szCs w:val="20"/>
                <w:color w:val="auto"/>
              </w:rPr>
            </w:pPr>
            <w:r>
              <w:rPr>
                <w:rFonts w:ascii="Arial" w:cs="Arial" w:eastAsia="Arial" w:hAnsi="Arial"/>
                <w:sz w:val="11"/>
                <w:szCs w:val="11"/>
                <w:b w:val="1"/>
                <w:bCs w:val="1"/>
                <w:color w:val="003551"/>
              </w:rPr>
              <w:t>Market Value</w:t>
            </w:r>
          </w:p>
        </w:tc>
        <w:tc>
          <w:tcPr>
            <w:tcW w:w="680" w:type="dxa"/>
            <w:vAlign w:val="bottom"/>
            <w:vMerge w:val="restart"/>
            <w:shd w:val="clear" w:color="auto" w:fill="77C483"/>
          </w:tcPr>
          <w:p>
            <w:pPr>
              <w:ind w:left="60"/>
              <w:spacing w:after="0"/>
              <w:rPr>
                <w:sz w:val="20"/>
                <w:szCs w:val="20"/>
                <w:color w:val="auto"/>
              </w:rPr>
            </w:pPr>
            <w:r>
              <w:rPr>
                <w:rFonts w:ascii="Arial" w:cs="Arial" w:eastAsia="Arial" w:hAnsi="Arial"/>
                <w:sz w:val="11"/>
                <w:szCs w:val="11"/>
                <w:b w:val="1"/>
                <w:bCs w:val="1"/>
                <w:color w:val="003551"/>
              </w:rPr>
              <w:t>Shares,</w:t>
            </w:r>
          </w:p>
        </w:tc>
        <w:tc>
          <w:tcPr>
            <w:tcW w:w="860" w:type="dxa"/>
            <w:vAlign w:val="bottom"/>
            <w:vMerge w:val="continue"/>
            <w:shd w:val="clear" w:color="auto" w:fill="77C483"/>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740" w:type="dxa"/>
            <w:vAlign w:val="bottom"/>
            <w:shd w:val="clear" w:color="auto" w:fill="77C483"/>
          </w:tcPr>
          <w:p>
            <w:pPr>
              <w:spacing w:after="0"/>
              <w:rPr>
                <w:sz w:val="3"/>
                <w:szCs w:val="3"/>
                <w:color w:val="auto"/>
              </w:rPr>
            </w:pPr>
          </w:p>
        </w:tc>
        <w:tc>
          <w:tcPr>
            <w:tcW w:w="1140" w:type="dxa"/>
            <w:vAlign w:val="bottom"/>
            <w:shd w:val="clear" w:color="auto" w:fill="77C483"/>
          </w:tcPr>
          <w:p>
            <w:pPr>
              <w:spacing w:after="0"/>
              <w:rPr>
                <w:sz w:val="3"/>
                <w:szCs w:val="3"/>
                <w:color w:val="auto"/>
              </w:rPr>
            </w:pPr>
          </w:p>
        </w:tc>
        <w:tc>
          <w:tcPr>
            <w:tcW w:w="700" w:type="dxa"/>
            <w:vAlign w:val="bottom"/>
            <w:shd w:val="clear" w:color="auto" w:fill="77C483"/>
          </w:tcPr>
          <w:p>
            <w:pPr>
              <w:spacing w:after="0"/>
              <w:rPr>
                <w:sz w:val="3"/>
                <w:szCs w:val="3"/>
                <w:color w:val="auto"/>
              </w:rPr>
            </w:pPr>
          </w:p>
        </w:tc>
        <w:tc>
          <w:tcPr>
            <w:tcW w:w="800" w:type="dxa"/>
            <w:vAlign w:val="bottom"/>
            <w:shd w:val="clear" w:color="auto" w:fill="77C483"/>
          </w:tcPr>
          <w:p>
            <w:pPr>
              <w:spacing w:after="0"/>
              <w:rPr>
                <w:sz w:val="3"/>
                <w:szCs w:val="3"/>
                <w:color w:val="auto"/>
              </w:rPr>
            </w:pPr>
          </w:p>
        </w:tc>
        <w:tc>
          <w:tcPr>
            <w:tcW w:w="740" w:type="dxa"/>
            <w:vAlign w:val="bottom"/>
            <w:shd w:val="clear" w:color="auto" w:fill="77C483"/>
          </w:tcPr>
          <w:p>
            <w:pPr>
              <w:spacing w:after="0"/>
              <w:rPr>
                <w:sz w:val="3"/>
                <w:szCs w:val="3"/>
                <w:color w:val="auto"/>
              </w:rPr>
            </w:pPr>
          </w:p>
        </w:tc>
        <w:tc>
          <w:tcPr>
            <w:tcW w:w="520" w:type="dxa"/>
            <w:vAlign w:val="bottom"/>
            <w:shd w:val="clear" w:color="auto" w:fill="77C483"/>
          </w:tcPr>
          <w:p>
            <w:pPr>
              <w:spacing w:after="0"/>
              <w:rPr>
                <w:sz w:val="3"/>
                <w:szCs w:val="3"/>
                <w:color w:val="auto"/>
              </w:rPr>
            </w:pPr>
          </w:p>
        </w:tc>
        <w:tc>
          <w:tcPr>
            <w:tcW w:w="660" w:type="dxa"/>
            <w:vAlign w:val="bottom"/>
            <w:shd w:val="clear" w:color="auto" w:fill="77C483"/>
          </w:tcPr>
          <w:p>
            <w:pPr>
              <w:spacing w:after="0"/>
              <w:rPr>
                <w:sz w:val="3"/>
                <w:szCs w:val="3"/>
                <w:color w:val="auto"/>
              </w:rPr>
            </w:pPr>
          </w:p>
        </w:tc>
        <w:tc>
          <w:tcPr>
            <w:tcW w:w="600" w:type="dxa"/>
            <w:vAlign w:val="bottom"/>
            <w:vMerge w:val="continue"/>
            <w:shd w:val="clear" w:color="auto" w:fill="77C483"/>
          </w:tcPr>
          <w:p>
            <w:pPr>
              <w:spacing w:after="0"/>
              <w:rPr>
                <w:sz w:val="3"/>
                <w:szCs w:val="3"/>
                <w:color w:val="auto"/>
              </w:rPr>
            </w:pPr>
          </w:p>
        </w:tc>
        <w:tc>
          <w:tcPr>
            <w:tcW w:w="800" w:type="dxa"/>
            <w:vAlign w:val="bottom"/>
            <w:vMerge w:val="continue"/>
            <w:shd w:val="clear" w:color="auto" w:fill="77C483"/>
          </w:tcPr>
          <w:p>
            <w:pPr>
              <w:spacing w:after="0"/>
              <w:rPr>
                <w:sz w:val="3"/>
                <w:szCs w:val="3"/>
                <w:color w:val="auto"/>
              </w:rPr>
            </w:pPr>
          </w:p>
        </w:tc>
        <w:tc>
          <w:tcPr>
            <w:tcW w:w="680" w:type="dxa"/>
            <w:vAlign w:val="bottom"/>
            <w:vMerge w:val="continue"/>
            <w:shd w:val="clear" w:color="auto" w:fill="77C483"/>
          </w:tcPr>
          <w:p>
            <w:pPr>
              <w:spacing w:after="0"/>
              <w:rPr>
                <w:sz w:val="3"/>
                <w:szCs w:val="3"/>
                <w:color w:val="auto"/>
              </w:rPr>
            </w:pPr>
          </w:p>
        </w:tc>
        <w:tc>
          <w:tcPr>
            <w:tcW w:w="860" w:type="dxa"/>
            <w:vAlign w:val="bottom"/>
            <w:vMerge w:val="restart"/>
            <w:shd w:val="clear" w:color="auto" w:fill="77C483"/>
          </w:tcPr>
          <w:p>
            <w:pPr>
              <w:ind w:left="40"/>
              <w:spacing w:after="0"/>
              <w:rPr>
                <w:sz w:val="20"/>
                <w:szCs w:val="20"/>
                <w:color w:val="auto"/>
              </w:rPr>
            </w:pPr>
            <w:r>
              <w:rPr>
                <w:rFonts w:ascii="Arial" w:cs="Arial" w:eastAsia="Arial" w:hAnsi="Arial"/>
                <w:sz w:val="11"/>
                <w:szCs w:val="11"/>
                <w:b w:val="1"/>
                <w:bCs w:val="1"/>
                <w:color w:val="003551"/>
              </w:rPr>
              <w:t>Shares,</w:t>
            </w:r>
          </w:p>
        </w:tc>
        <w:tc>
          <w:tcPr>
            <w:tcW w:w="0" w:type="dxa"/>
            <w:vAlign w:val="bottom"/>
          </w:tcPr>
          <w:p>
            <w:pPr>
              <w:spacing w:after="0" w:line="20" w:lineRule="exact"/>
              <w:rPr>
                <w:sz w:val="1"/>
                <w:szCs w:val="1"/>
                <w:color w:val="auto"/>
              </w:rPr>
            </w:pPr>
          </w:p>
        </w:tc>
      </w:tr>
      <w:tr>
        <w:trPr>
          <w:trHeight w:val="92"/>
        </w:trPr>
        <w:tc>
          <w:tcPr>
            <w:tcW w:w="740" w:type="dxa"/>
            <w:vAlign w:val="bottom"/>
            <w:shd w:val="clear" w:color="auto" w:fill="77C483"/>
          </w:tcPr>
          <w:p>
            <w:pPr>
              <w:spacing w:after="0"/>
              <w:rPr>
                <w:sz w:val="7"/>
                <w:szCs w:val="7"/>
                <w:color w:val="auto"/>
              </w:rPr>
            </w:pPr>
          </w:p>
        </w:tc>
        <w:tc>
          <w:tcPr>
            <w:tcW w:w="1140" w:type="dxa"/>
            <w:vAlign w:val="bottom"/>
            <w:shd w:val="clear" w:color="auto" w:fill="77C483"/>
          </w:tcPr>
          <w:p>
            <w:pPr>
              <w:spacing w:after="0"/>
              <w:rPr>
                <w:sz w:val="7"/>
                <w:szCs w:val="7"/>
                <w:color w:val="auto"/>
              </w:rPr>
            </w:pPr>
          </w:p>
        </w:tc>
        <w:tc>
          <w:tcPr>
            <w:tcW w:w="700" w:type="dxa"/>
            <w:vAlign w:val="bottom"/>
            <w:vMerge w:val="restart"/>
            <w:shd w:val="clear" w:color="auto" w:fill="77C483"/>
          </w:tcPr>
          <w:p>
            <w:pPr>
              <w:ind w:left="20"/>
              <w:spacing w:after="0"/>
              <w:rPr>
                <w:sz w:val="20"/>
                <w:szCs w:val="20"/>
                <w:color w:val="auto"/>
              </w:rPr>
            </w:pPr>
            <w:r>
              <w:rPr>
                <w:rFonts w:ascii="Arial" w:cs="Arial" w:eastAsia="Arial" w:hAnsi="Arial"/>
                <w:sz w:val="11"/>
                <w:szCs w:val="11"/>
                <w:b w:val="1"/>
                <w:bCs w:val="1"/>
                <w:color w:val="003551"/>
              </w:rPr>
              <w:t>Number of</w:t>
            </w:r>
          </w:p>
        </w:tc>
        <w:tc>
          <w:tcPr>
            <w:tcW w:w="800" w:type="dxa"/>
            <w:vAlign w:val="bottom"/>
            <w:vMerge w:val="restart"/>
            <w:shd w:val="clear" w:color="auto" w:fill="77C483"/>
          </w:tcPr>
          <w:p>
            <w:pPr>
              <w:ind w:left="60"/>
              <w:spacing w:after="0"/>
              <w:rPr>
                <w:sz w:val="20"/>
                <w:szCs w:val="20"/>
                <w:color w:val="auto"/>
              </w:rPr>
            </w:pPr>
            <w:r>
              <w:rPr>
                <w:rFonts w:ascii="Arial" w:cs="Arial" w:eastAsia="Arial" w:hAnsi="Arial"/>
                <w:sz w:val="11"/>
                <w:szCs w:val="11"/>
                <w:b w:val="1"/>
                <w:bCs w:val="1"/>
                <w:color w:val="003551"/>
              </w:rPr>
              <w:t>Number of</w:t>
            </w:r>
          </w:p>
        </w:tc>
        <w:tc>
          <w:tcPr>
            <w:tcW w:w="740" w:type="dxa"/>
            <w:vAlign w:val="bottom"/>
            <w:vMerge w:val="restart"/>
            <w:shd w:val="clear" w:color="auto" w:fill="77C483"/>
          </w:tcPr>
          <w:p>
            <w:pPr>
              <w:ind w:left="80"/>
              <w:spacing w:after="0"/>
              <w:rPr>
                <w:sz w:val="20"/>
                <w:szCs w:val="20"/>
                <w:color w:val="auto"/>
              </w:rPr>
            </w:pPr>
            <w:r>
              <w:rPr>
                <w:rFonts w:ascii="Arial" w:cs="Arial" w:eastAsia="Arial" w:hAnsi="Arial"/>
                <w:sz w:val="11"/>
                <w:szCs w:val="11"/>
                <w:b w:val="1"/>
                <w:bCs w:val="1"/>
                <w:color w:val="003551"/>
              </w:rPr>
              <w:t>Number of</w:t>
            </w:r>
          </w:p>
        </w:tc>
        <w:tc>
          <w:tcPr>
            <w:tcW w:w="520" w:type="dxa"/>
            <w:vAlign w:val="bottom"/>
            <w:shd w:val="clear" w:color="auto" w:fill="77C483"/>
          </w:tcPr>
          <w:p>
            <w:pPr>
              <w:spacing w:after="0"/>
              <w:rPr>
                <w:sz w:val="7"/>
                <w:szCs w:val="7"/>
                <w:color w:val="auto"/>
              </w:rPr>
            </w:pPr>
          </w:p>
        </w:tc>
        <w:tc>
          <w:tcPr>
            <w:tcW w:w="660" w:type="dxa"/>
            <w:vAlign w:val="bottom"/>
            <w:shd w:val="clear" w:color="auto" w:fill="77C483"/>
          </w:tcPr>
          <w:p>
            <w:pPr>
              <w:spacing w:after="0"/>
              <w:rPr>
                <w:sz w:val="7"/>
                <w:szCs w:val="7"/>
                <w:color w:val="auto"/>
              </w:rPr>
            </w:pPr>
          </w:p>
        </w:tc>
        <w:tc>
          <w:tcPr>
            <w:tcW w:w="600" w:type="dxa"/>
            <w:vAlign w:val="bottom"/>
            <w:vMerge w:val="restart"/>
            <w:shd w:val="clear" w:color="auto" w:fill="77C483"/>
          </w:tcPr>
          <w:p>
            <w:pPr>
              <w:ind w:left="40"/>
              <w:spacing w:after="0"/>
              <w:rPr>
                <w:sz w:val="20"/>
                <w:szCs w:val="20"/>
                <w:color w:val="auto"/>
              </w:rPr>
            </w:pPr>
            <w:r>
              <w:rPr>
                <w:rFonts w:ascii="Arial" w:cs="Arial" w:eastAsia="Arial" w:hAnsi="Arial"/>
                <w:sz w:val="11"/>
                <w:szCs w:val="11"/>
                <w:b w:val="1"/>
                <w:bCs w:val="1"/>
                <w:color w:val="003551"/>
              </w:rPr>
              <w:t>Shares or</w:t>
            </w:r>
          </w:p>
        </w:tc>
        <w:tc>
          <w:tcPr>
            <w:tcW w:w="800" w:type="dxa"/>
            <w:vAlign w:val="bottom"/>
            <w:vMerge w:val="restart"/>
            <w:shd w:val="clear" w:color="auto" w:fill="77C483"/>
          </w:tcPr>
          <w:p>
            <w:pPr>
              <w:ind w:left="40"/>
              <w:spacing w:after="0"/>
              <w:rPr>
                <w:sz w:val="20"/>
                <w:szCs w:val="20"/>
                <w:color w:val="auto"/>
              </w:rPr>
            </w:pPr>
            <w:r>
              <w:rPr>
                <w:rFonts w:ascii="Arial" w:cs="Arial" w:eastAsia="Arial" w:hAnsi="Arial"/>
                <w:sz w:val="11"/>
                <w:szCs w:val="11"/>
                <w:b w:val="1"/>
                <w:bCs w:val="1"/>
                <w:color w:val="003551"/>
              </w:rPr>
              <w:t>of Shares or</w:t>
            </w:r>
          </w:p>
        </w:tc>
        <w:tc>
          <w:tcPr>
            <w:tcW w:w="680" w:type="dxa"/>
            <w:vAlign w:val="bottom"/>
            <w:vMerge w:val="restart"/>
            <w:shd w:val="clear" w:color="auto" w:fill="77C483"/>
          </w:tcPr>
          <w:p>
            <w:pPr>
              <w:ind w:left="60"/>
              <w:spacing w:after="0"/>
              <w:rPr>
                <w:sz w:val="20"/>
                <w:szCs w:val="20"/>
                <w:color w:val="auto"/>
              </w:rPr>
            </w:pPr>
            <w:r>
              <w:rPr>
                <w:rFonts w:ascii="Arial" w:cs="Arial" w:eastAsia="Arial" w:hAnsi="Arial"/>
                <w:sz w:val="11"/>
                <w:szCs w:val="11"/>
                <w:b w:val="1"/>
                <w:bCs w:val="1"/>
                <w:color w:val="003551"/>
              </w:rPr>
              <w:t>Units or</w:t>
            </w:r>
          </w:p>
        </w:tc>
        <w:tc>
          <w:tcPr>
            <w:tcW w:w="860" w:type="dxa"/>
            <w:vAlign w:val="bottom"/>
            <w:vMerge w:val="continue"/>
            <w:shd w:val="clear" w:color="auto" w:fill="77C483"/>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740" w:type="dxa"/>
            <w:vAlign w:val="bottom"/>
            <w:shd w:val="clear" w:color="auto" w:fill="77C483"/>
          </w:tcPr>
          <w:p>
            <w:pPr>
              <w:spacing w:after="0"/>
              <w:rPr>
                <w:sz w:val="3"/>
                <w:szCs w:val="3"/>
                <w:color w:val="auto"/>
              </w:rPr>
            </w:pPr>
          </w:p>
        </w:tc>
        <w:tc>
          <w:tcPr>
            <w:tcW w:w="1140" w:type="dxa"/>
            <w:vAlign w:val="bottom"/>
            <w:shd w:val="clear" w:color="auto" w:fill="77C483"/>
          </w:tcPr>
          <w:p>
            <w:pPr>
              <w:spacing w:after="0"/>
              <w:rPr>
                <w:sz w:val="3"/>
                <w:szCs w:val="3"/>
                <w:color w:val="auto"/>
              </w:rPr>
            </w:pPr>
          </w:p>
        </w:tc>
        <w:tc>
          <w:tcPr>
            <w:tcW w:w="700" w:type="dxa"/>
            <w:vAlign w:val="bottom"/>
            <w:vMerge w:val="continue"/>
            <w:shd w:val="clear" w:color="auto" w:fill="77C483"/>
          </w:tcPr>
          <w:p>
            <w:pPr>
              <w:spacing w:after="0"/>
              <w:rPr>
                <w:sz w:val="3"/>
                <w:szCs w:val="3"/>
                <w:color w:val="auto"/>
              </w:rPr>
            </w:pPr>
          </w:p>
        </w:tc>
        <w:tc>
          <w:tcPr>
            <w:tcW w:w="800" w:type="dxa"/>
            <w:vAlign w:val="bottom"/>
            <w:vMerge w:val="continue"/>
            <w:shd w:val="clear" w:color="auto" w:fill="77C483"/>
          </w:tcPr>
          <w:p>
            <w:pPr>
              <w:spacing w:after="0"/>
              <w:rPr>
                <w:sz w:val="3"/>
                <w:szCs w:val="3"/>
                <w:color w:val="auto"/>
              </w:rPr>
            </w:pPr>
          </w:p>
        </w:tc>
        <w:tc>
          <w:tcPr>
            <w:tcW w:w="740" w:type="dxa"/>
            <w:vAlign w:val="bottom"/>
            <w:vMerge w:val="continue"/>
            <w:shd w:val="clear" w:color="auto" w:fill="77C483"/>
          </w:tcPr>
          <w:p>
            <w:pPr>
              <w:spacing w:after="0"/>
              <w:rPr>
                <w:sz w:val="3"/>
                <w:szCs w:val="3"/>
                <w:color w:val="auto"/>
              </w:rPr>
            </w:pPr>
          </w:p>
        </w:tc>
        <w:tc>
          <w:tcPr>
            <w:tcW w:w="520" w:type="dxa"/>
            <w:vAlign w:val="bottom"/>
            <w:shd w:val="clear" w:color="auto" w:fill="77C483"/>
          </w:tcPr>
          <w:p>
            <w:pPr>
              <w:spacing w:after="0"/>
              <w:rPr>
                <w:sz w:val="3"/>
                <w:szCs w:val="3"/>
                <w:color w:val="auto"/>
              </w:rPr>
            </w:pPr>
          </w:p>
        </w:tc>
        <w:tc>
          <w:tcPr>
            <w:tcW w:w="660" w:type="dxa"/>
            <w:vAlign w:val="bottom"/>
            <w:shd w:val="clear" w:color="auto" w:fill="77C483"/>
          </w:tcPr>
          <w:p>
            <w:pPr>
              <w:spacing w:after="0"/>
              <w:rPr>
                <w:sz w:val="3"/>
                <w:szCs w:val="3"/>
                <w:color w:val="auto"/>
              </w:rPr>
            </w:pPr>
          </w:p>
        </w:tc>
        <w:tc>
          <w:tcPr>
            <w:tcW w:w="600" w:type="dxa"/>
            <w:vAlign w:val="bottom"/>
            <w:vMerge w:val="continue"/>
            <w:shd w:val="clear" w:color="auto" w:fill="77C483"/>
          </w:tcPr>
          <w:p>
            <w:pPr>
              <w:spacing w:after="0"/>
              <w:rPr>
                <w:sz w:val="3"/>
                <w:szCs w:val="3"/>
                <w:color w:val="auto"/>
              </w:rPr>
            </w:pPr>
          </w:p>
        </w:tc>
        <w:tc>
          <w:tcPr>
            <w:tcW w:w="800" w:type="dxa"/>
            <w:vAlign w:val="bottom"/>
            <w:vMerge w:val="continue"/>
            <w:shd w:val="clear" w:color="auto" w:fill="77C483"/>
          </w:tcPr>
          <w:p>
            <w:pPr>
              <w:spacing w:after="0"/>
              <w:rPr>
                <w:sz w:val="3"/>
                <w:szCs w:val="3"/>
                <w:color w:val="auto"/>
              </w:rPr>
            </w:pPr>
          </w:p>
        </w:tc>
        <w:tc>
          <w:tcPr>
            <w:tcW w:w="680" w:type="dxa"/>
            <w:vAlign w:val="bottom"/>
            <w:vMerge w:val="continue"/>
            <w:shd w:val="clear" w:color="auto" w:fill="77C483"/>
          </w:tcPr>
          <w:p>
            <w:pPr>
              <w:spacing w:after="0"/>
              <w:rPr>
                <w:sz w:val="3"/>
                <w:szCs w:val="3"/>
                <w:color w:val="auto"/>
              </w:rPr>
            </w:pPr>
          </w:p>
        </w:tc>
        <w:tc>
          <w:tcPr>
            <w:tcW w:w="860" w:type="dxa"/>
            <w:vAlign w:val="bottom"/>
            <w:vMerge w:val="restart"/>
            <w:shd w:val="clear" w:color="auto" w:fill="77C483"/>
          </w:tcPr>
          <w:p>
            <w:pPr>
              <w:ind w:left="40"/>
              <w:spacing w:after="0"/>
              <w:rPr>
                <w:sz w:val="20"/>
                <w:szCs w:val="20"/>
                <w:color w:val="auto"/>
              </w:rPr>
            </w:pPr>
            <w:r>
              <w:rPr>
                <w:rFonts w:ascii="Arial" w:cs="Arial" w:eastAsia="Arial" w:hAnsi="Arial"/>
                <w:sz w:val="11"/>
                <w:szCs w:val="11"/>
                <w:b w:val="1"/>
                <w:bCs w:val="1"/>
                <w:color w:val="003551"/>
              </w:rPr>
              <w:t>Units</w:t>
            </w:r>
          </w:p>
        </w:tc>
        <w:tc>
          <w:tcPr>
            <w:tcW w:w="0" w:type="dxa"/>
            <w:vAlign w:val="bottom"/>
          </w:tcPr>
          <w:p>
            <w:pPr>
              <w:spacing w:after="0" w:line="20" w:lineRule="exact"/>
              <w:rPr>
                <w:sz w:val="1"/>
                <w:szCs w:val="1"/>
                <w:color w:val="auto"/>
              </w:rPr>
            </w:pPr>
          </w:p>
        </w:tc>
      </w:tr>
      <w:tr>
        <w:trPr>
          <w:trHeight w:val="92"/>
        </w:trPr>
        <w:tc>
          <w:tcPr>
            <w:tcW w:w="740" w:type="dxa"/>
            <w:vAlign w:val="bottom"/>
            <w:shd w:val="clear" w:color="auto" w:fill="77C483"/>
          </w:tcPr>
          <w:p>
            <w:pPr>
              <w:spacing w:after="0"/>
              <w:rPr>
                <w:sz w:val="7"/>
                <w:szCs w:val="7"/>
                <w:color w:val="auto"/>
              </w:rPr>
            </w:pPr>
          </w:p>
        </w:tc>
        <w:tc>
          <w:tcPr>
            <w:tcW w:w="1140" w:type="dxa"/>
            <w:vAlign w:val="bottom"/>
            <w:shd w:val="clear" w:color="auto" w:fill="77C483"/>
          </w:tcPr>
          <w:p>
            <w:pPr>
              <w:spacing w:after="0"/>
              <w:rPr>
                <w:sz w:val="7"/>
                <w:szCs w:val="7"/>
                <w:color w:val="auto"/>
              </w:rPr>
            </w:pPr>
          </w:p>
        </w:tc>
        <w:tc>
          <w:tcPr>
            <w:tcW w:w="700" w:type="dxa"/>
            <w:vAlign w:val="bottom"/>
            <w:vMerge w:val="restart"/>
            <w:shd w:val="clear" w:color="auto" w:fill="77C483"/>
          </w:tcPr>
          <w:p>
            <w:pPr>
              <w:ind w:left="20"/>
              <w:spacing w:after="0"/>
              <w:rPr>
                <w:sz w:val="20"/>
                <w:szCs w:val="20"/>
                <w:color w:val="auto"/>
              </w:rPr>
            </w:pPr>
            <w:r>
              <w:rPr>
                <w:rFonts w:ascii="Arial" w:cs="Arial" w:eastAsia="Arial" w:hAnsi="Arial"/>
                <w:sz w:val="11"/>
                <w:szCs w:val="11"/>
                <w:b w:val="1"/>
                <w:bCs w:val="1"/>
                <w:color w:val="003551"/>
              </w:rPr>
              <w:t>Securities</w:t>
            </w:r>
          </w:p>
        </w:tc>
        <w:tc>
          <w:tcPr>
            <w:tcW w:w="800" w:type="dxa"/>
            <w:vAlign w:val="bottom"/>
            <w:vMerge w:val="restart"/>
            <w:shd w:val="clear" w:color="auto" w:fill="77C483"/>
          </w:tcPr>
          <w:p>
            <w:pPr>
              <w:ind w:left="60"/>
              <w:spacing w:after="0"/>
              <w:rPr>
                <w:sz w:val="20"/>
                <w:szCs w:val="20"/>
                <w:color w:val="auto"/>
              </w:rPr>
            </w:pPr>
            <w:r>
              <w:rPr>
                <w:rFonts w:ascii="Arial" w:cs="Arial" w:eastAsia="Arial" w:hAnsi="Arial"/>
                <w:sz w:val="11"/>
                <w:szCs w:val="11"/>
                <w:b w:val="1"/>
                <w:bCs w:val="1"/>
                <w:color w:val="003551"/>
              </w:rPr>
              <w:t>Securities</w:t>
            </w:r>
          </w:p>
        </w:tc>
        <w:tc>
          <w:tcPr>
            <w:tcW w:w="740" w:type="dxa"/>
            <w:vAlign w:val="bottom"/>
            <w:vMerge w:val="restart"/>
            <w:shd w:val="clear" w:color="auto" w:fill="77C483"/>
          </w:tcPr>
          <w:p>
            <w:pPr>
              <w:ind w:left="80"/>
              <w:spacing w:after="0"/>
              <w:rPr>
                <w:sz w:val="20"/>
                <w:szCs w:val="20"/>
                <w:color w:val="auto"/>
              </w:rPr>
            </w:pPr>
            <w:r>
              <w:rPr>
                <w:rFonts w:ascii="Arial" w:cs="Arial" w:eastAsia="Arial" w:hAnsi="Arial"/>
                <w:sz w:val="11"/>
                <w:szCs w:val="11"/>
                <w:b w:val="1"/>
                <w:bCs w:val="1"/>
                <w:color w:val="003551"/>
              </w:rPr>
              <w:t>Securities</w:t>
            </w:r>
          </w:p>
        </w:tc>
        <w:tc>
          <w:tcPr>
            <w:tcW w:w="520" w:type="dxa"/>
            <w:vAlign w:val="bottom"/>
            <w:shd w:val="clear" w:color="auto" w:fill="77C483"/>
          </w:tcPr>
          <w:p>
            <w:pPr>
              <w:spacing w:after="0"/>
              <w:rPr>
                <w:sz w:val="7"/>
                <w:szCs w:val="7"/>
                <w:color w:val="auto"/>
              </w:rPr>
            </w:pPr>
          </w:p>
        </w:tc>
        <w:tc>
          <w:tcPr>
            <w:tcW w:w="660" w:type="dxa"/>
            <w:vAlign w:val="bottom"/>
            <w:shd w:val="clear" w:color="auto" w:fill="77C483"/>
          </w:tcPr>
          <w:p>
            <w:pPr>
              <w:spacing w:after="0"/>
              <w:rPr>
                <w:sz w:val="7"/>
                <w:szCs w:val="7"/>
                <w:color w:val="auto"/>
              </w:rPr>
            </w:pPr>
          </w:p>
        </w:tc>
        <w:tc>
          <w:tcPr>
            <w:tcW w:w="600" w:type="dxa"/>
            <w:vAlign w:val="bottom"/>
            <w:vMerge w:val="restart"/>
            <w:shd w:val="clear" w:color="auto" w:fill="77C483"/>
          </w:tcPr>
          <w:p>
            <w:pPr>
              <w:ind w:left="40"/>
              <w:spacing w:after="0"/>
              <w:rPr>
                <w:sz w:val="20"/>
                <w:szCs w:val="20"/>
                <w:color w:val="auto"/>
              </w:rPr>
            </w:pPr>
            <w:r>
              <w:rPr>
                <w:rFonts w:ascii="Arial" w:cs="Arial" w:eastAsia="Arial" w:hAnsi="Arial"/>
                <w:sz w:val="11"/>
                <w:szCs w:val="11"/>
                <w:b w:val="1"/>
                <w:bCs w:val="1"/>
                <w:color w:val="003551"/>
              </w:rPr>
              <w:t>Units of</w:t>
            </w:r>
          </w:p>
        </w:tc>
        <w:tc>
          <w:tcPr>
            <w:tcW w:w="800" w:type="dxa"/>
            <w:vAlign w:val="bottom"/>
            <w:vMerge w:val="restart"/>
            <w:shd w:val="clear" w:color="auto" w:fill="77C483"/>
          </w:tcPr>
          <w:p>
            <w:pPr>
              <w:ind w:left="40"/>
              <w:spacing w:after="0"/>
              <w:rPr>
                <w:sz w:val="20"/>
                <w:szCs w:val="20"/>
                <w:color w:val="auto"/>
              </w:rPr>
            </w:pPr>
            <w:r>
              <w:rPr>
                <w:rFonts w:ascii="Arial" w:cs="Arial" w:eastAsia="Arial" w:hAnsi="Arial"/>
                <w:sz w:val="11"/>
                <w:szCs w:val="11"/>
                <w:b w:val="1"/>
                <w:bCs w:val="1"/>
                <w:color w:val="003551"/>
              </w:rPr>
              <w:t>Units of</w:t>
            </w:r>
          </w:p>
        </w:tc>
        <w:tc>
          <w:tcPr>
            <w:tcW w:w="680" w:type="dxa"/>
            <w:vAlign w:val="bottom"/>
            <w:vMerge w:val="restart"/>
            <w:shd w:val="clear" w:color="auto" w:fill="77C483"/>
          </w:tcPr>
          <w:p>
            <w:pPr>
              <w:ind w:left="60"/>
              <w:spacing w:after="0"/>
              <w:rPr>
                <w:sz w:val="20"/>
                <w:szCs w:val="20"/>
                <w:color w:val="auto"/>
              </w:rPr>
            </w:pPr>
            <w:r>
              <w:rPr>
                <w:rFonts w:ascii="Arial" w:cs="Arial" w:eastAsia="Arial" w:hAnsi="Arial"/>
                <w:sz w:val="11"/>
                <w:szCs w:val="11"/>
                <w:b w:val="1"/>
                <w:bCs w:val="1"/>
                <w:color w:val="003551"/>
              </w:rPr>
              <w:t>Other</w:t>
            </w:r>
          </w:p>
        </w:tc>
        <w:tc>
          <w:tcPr>
            <w:tcW w:w="860" w:type="dxa"/>
            <w:vAlign w:val="bottom"/>
            <w:vMerge w:val="continue"/>
            <w:shd w:val="clear" w:color="auto" w:fill="77C483"/>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740" w:type="dxa"/>
            <w:vAlign w:val="bottom"/>
            <w:shd w:val="clear" w:color="auto" w:fill="77C483"/>
          </w:tcPr>
          <w:p>
            <w:pPr>
              <w:spacing w:after="0"/>
              <w:rPr>
                <w:sz w:val="3"/>
                <w:szCs w:val="3"/>
                <w:color w:val="auto"/>
              </w:rPr>
            </w:pPr>
          </w:p>
        </w:tc>
        <w:tc>
          <w:tcPr>
            <w:tcW w:w="1140" w:type="dxa"/>
            <w:vAlign w:val="bottom"/>
            <w:shd w:val="clear" w:color="auto" w:fill="77C483"/>
          </w:tcPr>
          <w:p>
            <w:pPr>
              <w:spacing w:after="0"/>
              <w:rPr>
                <w:sz w:val="3"/>
                <w:szCs w:val="3"/>
                <w:color w:val="auto"/>
              </w:rPr>
            </w:pPr>
          </w:p>
        </w:tc>
        <w:tc>
          <w:tcPr>
            <w:tcW w:w="700" w:type="dxa"/>
            <w:vAlign w:val="bottom"/>
            <w:vMerge w:val="continue"/>
            <w:shd w:val="clear" w:color="auto" w:fill="77C483"/>
          </w:tcPr>
          <w:p>
            <w:pPr>
              <w:spacing w:after="0"/>
              <w:rPr>
                <w:sz w:val="3"/>
                <w:szCs w:val="3"/>
                <w:color w:val="auto"/>
              </w:rPr>
            </w:pPr>
          </w:p>
        </w:tc>
        <w:tc>
          <w:tcPr>
            <w:tcW w:w="800" w:type="dxa"/>
            <w:vAlign w:val="bottom"/>
            <w:vMerge w:val="continue"/>
            <w:shd w:val="clear" w:color="auto" w:fill="77C483"/>
          </w:tcPr>
          <w:p>
            <w:pPr>
              <w:spacing w:after="0"/>
              <w:rPr>
                <w:sz w:val="3"/>
                <w:szCs w:val="3"/>
                <w:color w:val="auto"/>
              </w:rPr>
            </w:pPr>
          </w:p>
        </w:tc>
        <w:tc>
          <w:tcPr>
            <w:tcW w:w="740" w:type="dxa"/>
            <w:vAlign w:val="bottom"/>
            <w:vMerge w:val="continue"/>
            <w:shd w:val="clear" w:color="auto" w:fill="77C483"/>
          </w:tcPr>
          <w:p>
            <w:pPr>
              <w:spacing w:after="0"/>
              <w:rPr>
                <w:sz w:val="3"/>
                <w:szCs w:val="3"/>
                <w:color w:val="auto"/>
              </w:rPr>
            </w:pPr>
          </w:p>
        </w:tc>
        <w:tc>
          <w:tcPr>
            <w:tcW w:w="520" w:type="dxa"/>
            <w:vAlign w:val="bottom"/>
            <w:shd w:val="clear" w:color="auto" w:fill="77C483"/>
          </w:tcPr>
          <w:p>
            <w:pPr>
              <w:spacing w:after="0"/>
              <w:rPr>
                <w:sz w:val="3"/>
                <w:szCs w:val="3"/>
                <w:color w:val="auto"/>
              </w:rPr>
            </w:pPr>
          </w:p>
        </w:tc>
        <w:tc>
          <w:tcPr>
            <w:tcW w:w="660" w:type="dxa"/>
            <w:vAlign w:val="bottom"/>
            <w:shd w:val="clear" w:color="auto" w:fill="77C483"/>
          </w:tcPr>
          <w:p>
            <w:pPr>
              <w:spacing w:after="0"/>
              <w:rPr>
                <w:sz w:val="3"/>
                <w:szCs w:val="3"/>
                <w:color w:val="auto"/>
              </w:rPr>
            </w:pPr>
          </w:p>
        </w:tc>
        <w:tc>
          <w:tcPr>
            <w:tcW w:w="600" w:type="dxa"/>
            <w:vAlign w:val="bottom"/>
            <w:vMerge w:val="continue"/>
            <w:shd w:val="clear" w:color="auto" w:fill="77C483"/>
          </w:tcPr>
          <w:p>
            <w:pPr>
              <w:spacing w:after="0"/>
              <w:rPr>
                <w:sz w:val="3"/>
                <w:szCs w:val="3"/>
                <w:color w:val="auto"/>
              </w:rPr>
            </w:pPr>
          </w:p>
        </w:tc>
        <w:tc>
          <w:tcPr>
            <w:tcW w:w="800" w:type="dxa"/>
            <w:vAlign w:val="bottom"/>
            <w:vMerge w:val="continue"/>
            <w:shd w:val="clear" w:color="auto" w:fill="77C483"/>
          </w:tcPr>
          <w:p>
            <w:pPr>
              <w:spacing w:after="0"/>
              <w:rPr>
                <w:sz w:val="3"/>
                <w:szCs w:val="3"/>
                <w:color w:val="auto"/>
              </w:rPr>
            </w:pPr>
          </w:p>
        </w:tc>
        <w:tc>
          <w:tcPr>
            <w:tcW w:w="680" w:type="dxa"/>
            <w:vAlign w:val="bottom"/>
            <w:vMerge w:val="continue"/>
            <w:shd w:val="clear" w:color="auto" w:fill="77C483"/>
          </w:tcPr>
          <w:p>
            <w:pPr>
              <w:spacing w:after="0"/>
              <w:rPr>
                <w:sz w:val="3"/>
                <w:szCs w:val="3"/>
                <w:color w:val="auto"/>
              </w:rPr>
            </w:pPr>
          </w:p>
        </w:tc>
        <w:tc>
          <w:tcPr>
            <w:tcW w:w="860" w:type="dxa"/>
            <w:vAlign w:val="bottom"/>
            <w:vMerge w:val="restart"/>
            <w:shd w:val="clear" w:color="auto" w:fill="77C483"/>
          </w:tcPr>
          <w:p>
            <w:pPr>
              <w:ind w:left="40"/>
              <w:spacing w:after="0"/>
              <w:rPr>
                <w:sz w:val="20"/>
                <w:szCs w:val="20"/>
                <w:color w:val="auto"/>
              </w:rPr>
            </w:pPr>
            <w:r>
              <w:rPr>
                <w:rFonts w:ascii="Arial" w:cs="Arial" w:eastAsia="Arial" w:hAnsi="Arial"/>
                <w:sz w:val="11"/>
                <w:szCs w:val="11"/>
                <w:b w:val="1"/>
                <w:bCs w:val="1"/>
                <w:color w:val="003551"/>
              </w:rPr>
              <w:t>or Other</w:t>
            </w:r>
          </w:p>
        </w:tc>
        <w:tc>
          <w:tcPr>
            <w:tcW w:w="0" w:type="dxa"/>
            <w:vAlign w:val="bottom"/>
          </w:tcPr>
          <w:p>
            <w:pPr>
              <w:spacing w:after="0" w:line="20" w:lineRule="exact"/>
              <w:rPr>
                <w:sz w:val="1"/>
                <w:szCs w:val="1"/>
                <w:color w:val="auto"/>
              </w:rPr>
            </w:pPr>
          </w:p>
        </w:tc>
      </w:tr>
      <w:tr>
        <w:trPr>
          <w:trHeight w:val="92"/>
        </w:trPr>
        <w:tc>
          <w:tcPr>
            <w:tcW w:w="740" w:type="dxa"/>
            <w:vAlign w:val="bottom"/>
            <w:shd w:val="clear" w:color="auto" w:fill="77C483"/>
          </w:tcPr>
          <w:p>
            <w:pPr>
              <w:spacing w:after="0"/>
              <w:rPr>
                <w:sz w:val="7"/>
                <w:szCs w:val="7"/>
                <w:color w:val="auto"/>
              </w:rPr>
            </w:pPr>
          </w:p>
        </w:tc>
        <w:tc>
          <w:tcPr>
            <w:tcW w:w="1140" w:type="dxa"/>
            <w:vAlign w:val="bottom"/>
            <w:shd w:val="clear" w:color="auto" w:fill="77C483"/>
          </w:tcPr>
          <w:p>
            <w:pPr>
              <w:spacing w:after="0"/>
              <w:rPr>
                <w:sz w:val="7"/>
                <w:szCs w:val="7"/>
                <w:color w:val="auto"/>
              </w:rPr>
            </w:pPr>
          </w:p>
        </w:tc>
        <w:tc>
          <w:tcPr>
            <w:tcW w:w="700" w:type="dxa"/>
            <w:vAlign w:val="bottom"/>
            <w:vMerge w:val="restart"/>
            <w:shd w:val="clear" w:color="auto" w:fill="77C483"/>
          </w:tcPr>
          <w:p>
            <w:pPr>
              <w:ind w:left="20"/>
              <w:spacing w:after="0"/>
              <w:rPr>
                <w:sz w:val="20"/>
                <w:szCs w:val="20"/>
                <w:color w:val="auto"/>
              </w:rPr>
            </w:pPr>
            <w:r>
              <w:rPr>
                <w:rFonts w:ascii="Arial" w:cs="Arial" w:eastAsia="Arial" w:hAnsi="Arial"/>
                <w:sz w:val="11"/>
                <w:szCs w:val="11"/>
                <w:b w:val="1"/>
                <w:bCs w:val="1"/>
                <w:color w:val="003551"/>
              </w:rPr>
              <w:t>Underlying</w:t>
            </w:r>
          </w:p>
        </w:tc>
        <w:tc>
          <w:tcPr>
            <w:tcW w:w="800" w:type="dxa"/>
            <w:vAlign w:val="bottom"/>
            <w:vMerge w:val="restart"/>
            <w:shd w:val="clear" w:color="auto" w:fill="77C483"/>
          </w:tcPr>
          <w:p>
            <w:pPr>
              <w:ind w:left="60"/>
              <w:spacing w:after="0"/>
              <w:rPr>
                <w:sz w:val="20"/>
                <w:szCs w:val="20"/>
                <w:color w:val="auto"/>
              </w:rPr>
            </w:pPr>
            <w:r>
              <w:rPr>
                <w:rFonts w:ascii="Arial" w:cs="Arial" w:eastAsia="Arial" w:hAnsi="Arial"/>
                <w:sz w:val="11"/>
                <w:szCs w:val="11"/>
                <w:b w:val="1"/>
                <w:bCs w:val="1"/>
                <w:color w:val="003551"/>
              </w:rPr>
              <w:t>Underlying</w:t>
            </w:r>
          </w:p>
        </w:tc>
        <w:tc>
          <w:tcPr>
            <w:tcW w:w="740" w:type="dxa"/>
            <w:vAlign w:val="bottom"/>
            <w:vMerge w:val="restart"/>
            <w:shd w:val="clear" w:color="auto" w:fill="77C483"/>
          </w:tcPr>
          <w:p>
            <w:pPr>
              <w:ind w:left="80"/>
              <w:spacing w:after="0"/>
              <w:rPr>
                <w:sz w:val="20"/>
                <w:szCs w:val="20"/>
                <w:color w:val="auto"/>
              </w:rPr>
            </w:pPr>
            <w:r>
              <w:rPr>
                <w:rFonts w:ascii="Arial" w:cs="Arial" w:eastAsia="Arial" w:hAnsi="Arial"/>
                <w:sz w:val="11"/>
                <w:szCs w:val="11"/>
                <w:b w:val="1"/>
                <w:bCs w:val="1"/>
                <w:color w:val="003551"/>
              </w:rPr>
              <w:t>Underlying</w:t>
            </w:r>
          </w:p>
        </w:tc>
        <w:tc>
          <w:tcPr>
            <w:tcW w:w="520" w:type="dxa"/>
            <w:vAlign w:val="bottom"/>
            <w:shd w:val="clear" w:color="auto" w:fill="77C483"/>
          </w:tcPr>
          <w:p>
            <w:pPr>
              <w:spacing w:after="0"/>
              <w:rPr>
                <w:sz w:val="7"/>
                <w:szCs w:val="7"/>
                <w:color w:val="auto"/>
              </w:rPr>
            </w:pPr>
          </w:p>
        </w:tc>
        <w:tc>
          <w:tcPr>
            <w:tcW w:w="660" w:type="dxa"/>
            <w:vAlign w:val="bottom"/>
            <w:shd w:val="clear" w:color="auto" w:fill="77C483"/>
          </w:tcPr>
          <w:p>
            <w:pPr>
              <w:spacing w:after="0"/>
              <w:rPr>
                <w:sz w:val="7"/>
                <w:szCs w:val="7"/>
                <w:color w:val="auto"/>
              </w:rPr>
            </w:pPr>
          </w:p>
        </w:tc>
        <w:tc>
          <w:tcPr>
            <w:tcW w:w="600" w:type="dxa"/>
            <w:vAlign w:val="bottom"/>
            <w:vMerge w:val="restart"/>
            <w:shd w:val="clear" w:color="auto" w:fill="77C483"/>
          </w:tcPr>
          <w:p>
            <w:pPr>
              <w:ind w:left="40"/>
              <w:spacing w:after="0"/>
              <w:rPr>
                <w:sz w:val="20"/>
                <w:szCs w:val="20"/>
                <w:color w:val="auto"/>
              </w:rPr>
            </w:pPr>
            <w:r>
              <w:rPr>
                <w:rFonts w:ascii="Arial" w:cs="Arial" w:eastAsia="Arial" w:hAnsi="Arial"/>
                <w:sz w:val="11"/>
                <w:szCs w:val="11"/>
                <w:b w:val="1"/>
                <w:bCs w:val="1"/>
                <w:color w:val="003551"/>
              </w:rPr>
              <w:t>Stock</w:t>
            </w:r>
          </w:p>
        </w:tc>
        <w:tc>
          <w:tcPr>
            <w:tcW w:w="800" w:type="dxa"/>
            <w:vAlign w:val="bottom"/>
            <w:vMerge w:val="restart"/>
            <w:shd w:val="clear" w:color="auto" w:fill="77C483"/>
          </w:tcPr>
          <w:p>
            <w:pPr>
              <w:ind w:left="40"/>
              <w:spacing w:after="0"/>
              <w:rPr>
                <w:sz w:val="20"/>
                <w:szCs w:val="20"/>
                <w:color w:val="auto"/>
              </w:rPr>
            </w:pPr>
            <w:r>
              <w:rPr>
                <w:rFonts w:ascii="Arial" w:cs="Arial" w:eastAsia="Arial" w:hAnsi="Arial"/>
                <w:sz w:val="11"/>
                <w:szCs w:val="11"/>
                <w:b w:val="1"/>
                <w:bCs w:val="1"/>
                <w:color w:val="003551"/>
              </w:rPr>
              <w:t>Stock</w:t>
            </w:r>
          </w:p>
        </w:tc>
        <w:tc>
          <w:tcPr>
            <w:tcW w:w="680" w:type="dxa"/>
            <w:vAlign w:val="bottom"/>
            <w:vMerge w:val="restart"/>
            <w:shd w:val="clear" w:color="auto" w:fill="77C483"/>
          </w:tcPr>
          <w:p>
            <w:pPr>
              <w:ind w:left="60"/>
              <w:spacing w:after="0"/>
              <w:rPr>
                <w:sz w:val="20"/>
                <w:szCs w:val="20"/>
                <w:color w:val="auto"/>
              </w:rPr>
            </w:pPr>
            <w:r>
              <w:rPr>
                <w:rFonts w:ascii="Arial" w:cs="Arial" w:eastAsia="Arial" w:hAnsi="Arial"/>
                <w:sz w:val="11"/>
                <w:szCs w:val="11"/>
                <w:b w:val="1"/>
                <w:bCs w:val="1"/>
                <w:color w:val="003551"/>
              </w:rPr>
              <w:t>Rights</w:t>
            </w:r>
          </w:p>
        </w:tc>
        <w:tc>
          <w:tcPr>
            <w:tcW w:w="860" w:type="dxa"/>
            <w:vAlign w:val="bottom"/>
            <w:vMerge w:val="continue"/>
            <w:shd w:val="clear" w:color="auto" w:fill="77C483"/>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740" w:type="dxa"/>
            <w:vAlign w:val="bottom"/>
            <w:shd w:val="clear" w:color="auto" w:fill="77C483"/>
          </w:tcPr>
          <w:p>
            <w:pPr>
              <w:spacing w:after="0"/>
              <w:rPr>
                <w:sz w:val="3"/>
                <w:szCs w:val="3"/>
                <w:color w:val="auto"/>
              </w:rPr>
            </w:pPr>
          </w:p>
        </w:tc>
        <w:tc>
          <w:tcPr>
            <w:tcW w:w="1140" w:type="dxa"/>
            <w:vAlign w:val="bottom"/>
            <w:shd w:val="clear" w:color="auto" w:fill="77C483"/>
          </w:tcPr>
          <w:p>
            <w:pPr>
              <w:spacing w:after="0"/>
              <w:rPr>
                <w:sz w:val="3"/>
                <w:szCs w:val="3"/>
                <w:color w:val="auto"/>
              </w:rPr>
            </w:pPr>
          </w:p>
        </w:tc>
        <w:tc>
          <w:tcPr>
            <w:tcW w:w="700" w:type="dxa"/>
            <w:vAlign w:val="bottom"/>
            <w:vMerge w:val="continue"/>
            <w:shd w:val="clear" w:color="auto" w:fill="77C483"/>
          </w:tcPr>
          <w:p>
            <w:pPr>
              <w:spacing w:after="0"/>
              <w:rPr>
                <w:sz w:val="3"/>
                <w:szCs w:val="3"/>
                <w:color w:val="auto"/>
              </w:rPr>
            </w:pPr>
          </w:p>
        </w:tc>
        <w:tc>
          <w:tcPr>
            <w:tcW w:w="800" w:type="dxa"/>
            <w:vAlign w:val="bottom"/>
            <w:vMerge w:val="continue"/>
            <w:shd w:val="clear" w:color="auto" w:fill="77C483"/>
          </w:tcPr>
          <w:p>
            <w:pPr>
              <w:spacing w:after="0"/>
              <w:rPr>
                <w:sz w:val="3"/>
                <w:szCs w:val="3"/>
                <w:color w:val="auto"/>
              </w:rPr>
            </w:pPr>
          </w:p>
        </w:tc>
        <w:tc>
          <w:tcPr>
            <w:tcW w:w="740" w:type="dxa"/>
            <w:vAlign w:val="bottom"/>
            <w:vMerge w:val="continue"/>
            <w:shd w:val="clear" w:color="auto" w:fill="77C483"/>
          </w:tcPr>
          <w:p>
            <w:pPr>
              <w:spacing w:after="0"/>
              <w:rPr>
                <w:sz w:val="3"/>
                <w:szCs w:val="3"/>
                <w:color w:val="auto"/>
              </w:rPr>
            </w:pPr>
          </w:p>
        </w:tc>
        <w:tc>
          <w:tcPr>
            <w:tcW w:w="520" w:type="dxa"/>
            <w:vAlign w:val="bottom"/>
            <w:shd w:val="clear" w:color="auto" w:fill="77C483"/>
          </w:tcPr>
          <w:p>
            <w:pPr>
              <w:spacing w:after="0"/>
              <w:rPr>
                <w:sz w:val="3"/>
                <w:szCs w:val="3"/>
                <w:color w:val="auto"/>
              </w:rPr>
            </w:pPr>
          </w:p>
        </w:tc>
        <w:tc>
          <w:tcPr>
            <w:tcW w:w="660" w:type="dxa"/>
            <w:vAlign w:val="bottom"/>
            <w:shd w:val="clear" w:color="auto" w:fill="77C483"/>
          </w:tcPr>
          <w:p>
            <w:pPr>
              <w:spacing w:after="0"/>
              <w:rPr>
                <w:sz w:val="3"/>
                <w:szCs w:val="3"/>
                <w:color w:val="auto"/>
              </w:rPr>
            </w:pPr>
          </w:p>
        </w:tc>
        <w:tc>
          <w:tcPr>
            <w:tcW w:w="600" w:type="dxa"/>
            <w:vAlign w:val="bottom"/>
            <w:vMerge w:val="continue"/>
            <w:shd w:val="clear" w:color="auto" w:fill="77C483"/>
          </w:tcPr>
          <w:p>
            <w:pPr>
              <w:spacing w:after="0"/>
              <w:rPr>
                <w:sz w:val="3"/>
                <w:szCs w:val="3"/>
                <w:color w:val="auto"/>
              </w:rPr>
            </w:pPr>
          </w:p>
        </w:tc>
        <w:tc>
          <w:tcPr>
            <w:tcW w:w="800" w:type="dxa"/>
            <w:vAlign w:val="bottom"/>
            <w:vMerge w:val="continue"/>
            <w:shd w:val="clear" w:color="auto" w:fill="77C483"/>
          </w:tcPr>
          <w:p>
            <w:pPr>
              <w:spacing w:after="0"/>
              <w:rPr>
                <w:sz w:val="3"/>
                <w:szCs w:val="3"/>
                <w:color w:val="auto"/>
              </w:rPr>
            </w:pPr>
          </w:p>
        </w:tc>
        <w:tc>
          <w:tcPr>
            <w:tcW w:w="680" w:type="dxa"/>
            <w:vAlign w:val="bottom"/>
            <w:vMerge w:val="continue"/>
            <w:shd w:val="clear" w:color="auto" w:fill="77C483"/>
          </w:tcPr>
          <w:p>
            <w:pPr>
              <w:spacing w:after="0"/>
              <w:rPr>
                <w:sz w:val="3"/>
                <w:szCs w:val="3"/>
                <w:color w:val="auto"/>
              </w:rPr>
            </w:pPr>
          </w:p>
        </w:tc>
        <w:tc>
          <w:tcPr>
            <w:tcW w:w="860" w:type="dxa"/>
            <w:vAlign w:val="bottom"/>
            <w:vMerge w:val="restart"/>
            <w:shd w:val="clear" w:color="auto" w:fill="77C483"/>
          </w:tcPr>
          <w:p>
            <w:pPr>
              <w:ind w:left="40"/>
              <w:spacing w:after="0"/>
              <w:rPr>
                <w:sz w:val="20"/>
                <w:szCs w:val="20"/>
                <w:color w:val="auto"/>
              </w:rPr>
            </w:pPr>
            <w:r>
              <w:rPr>
                <w:rFonts w:ascii="Arial" w:cs="Arial" w:eastAsia="Arial" w:hAnsi="Arial"/>
                <w:sz w:val="11"/>
                <w:szCs w:val="11"/>
                <w:b w:val="1"/>
                <w:bCs w:val="1"/>
                <w:color w:val="003551"/>
              </w:rPr>
              <w:t>Rights That</w:t>
            </w:r>
          </w:p>
        </w:tc>
        <w:tc>
          <w:tcPr>
            <w:tcW w:w="0" w:type="dxa"/>
            <w:vAlign w:val="bottom"/>
          </w:tcPr>
          <w:p>
            <w:pPr>
              <w:spacing w:after="0" w:line="20" w:lineRule="exact"/>
              <w:rPr>
                <w:sz w:val="1"/>
                <w:szCs w:val="1"/>
                <w:color w:val="auto"/>
              </w:rPr>
            </w:pPr>
          </w:p>
        </w:tc>
      </w:tr>
      <w:tr>
        <w:trPr>
          <w:trHeight w:val="92"/>
        </w:trPr>
        <w:tc>
          <w:tcPr>
            <w:tcW w:w="740" w:type="dxa"/>
            <w:vAlign w:val="bottom"/>
            <w:shd w:val="clear" w:color="auto" w:fill="77C483"/>
          </w:tcPr>
          <w:p>
            <w:pPr>
              <w:spacing w:after="0"/>
              <w:rPr>
                <w:sz w:val="7"/>
                <w:szCs w:val="7"/>
                <w:color w:val="auto"/>
              </w:rPr>
            </w:pPr>
          </w:p>
        </w:tc>
        <w:tc>
          <w:tcPr>
            <w:tcW w:w="1140" w:type="dxa"/>
            <w:vAlign w:val="bottom"/>
            <w:shd w:val="clear" w:color="auto" w:fill="77C483"/>
          </w:tcPr>
          <w:p>
            <w:pPr>
              <w:spacing w:after="0"/>
              <w:rPr>
                <w:sz w:val="7"/>
                <w:szCs w:val="7"/>
                <w:color w:val="auto"/>
              </w:rPr>
            </w:pPr>
          </w:p>
        </w:tc>
        <w:tc>
          <w:tcPr>
            <w:tcW w:w="1500" w:type="dxa"/>
            <w:vAlign w:val="bottom"/>
            <w:gridSpan w:val="2"/>
            <w:vMerge w:val="restart"/>
            <w:shd w:val="clear" w:color="auto" w:fill="77C483"/>
          </w:tcPr>
          <w:p>
            <w:pPr>
              <w:ind w:left="20"/>
              <w:spacing w:after="0"/>
              <w:rPr>
                <w:sz w:val="20"/>
                <w:szCs w:val="20"/>
                <w:color w:val="auto"/>
              </w:rPr>
            </w:pPr>
            <w:r>
              <w:rPr>
                <w:rFonts w:ascii="Arial" w:cs="Arial" w:eastAsia="Arial" w:hAnsi="Arial"/>
                <w:sz w:val="11"/>
                <w:szCs w:val="11"/>
                <w:b w:val="1"/>
                <w:bCs w:val="1"/>
                <w:color w:val="003551"/>
              </w:rPr>
              <w:t>Unexercised Unexercised</w:t>
            </w:r>
          </w:p>
        </w:tc>
        <w:tc>
          <w:tcPr>
            <w:tcW w:w="1260" w:type="dxa"/>
            <w:vAlign w:val="bottom"/>
            <w:gridSpan w:val="2"/>
            <w:vMerge w:val="restart"/>
            <w:shd w:val="clear" w:color="auto" w:fill="77C483"/>
          </w:tcPr>
          <w:p>
            <w:pPr>
              <w:ind w:left="80"/>
              <w:spacing w:after="0"/>
              <w:rPr>
                <w:sz w:val="20"/>
                <w:szCs w:val="20"/>
                <w:color w:val="auto"/>
              </w:rPr>
            </w:pPr>
            <w:r>
              <w:rPr>
                <w:rFonts w:ascii="Arial" w:cs="Arial" w:eastAsia="Arial" w:hAnsi="Arial"/>
                <w:sz w:val="11"/>
                <w:szCs w:val="11"/>
                <w:b w:val="1"/>
                <w:bCs w:val="1"/>
                <w:color w:val="003551"/>
              </w:rPr>
              <w:t>Unexercised Option</w:t>
            </w:r>
          </w:p>
        </w:tc>
        <w:tc>
          <w:tcPr>
            <w:tcW w:w="660" w:type="dxa"/>
            <w:vAlign w:val="bottom"/>
            <w:shd w:val="clear" w:color="auto" w:fill="77C483"/>
          </w:tcPr>
          <w:p>
            <w:pPr>
              <w:spacing w:after="0"/>
              <w:rPr>
                <w:sz w:val="7"/>
                <w:szCs w:val="7"/>
                <w:color w:val="auto"/>
              </w:rPr>
            </w:pPr>
          </w:p>
        </w:tc>
        <w:tc>
          <w:tcPr>
            <w:tcW w:w="600" w:type="dxa"/>
            <w:vAlign w:val="bottom"/>
            <w:vMerge w:val="restart"/>
            <w:shd w:val="clear" w:color="auto" w:fill="77C483"/>
          </w:tcPr>
          <w:p>
            <w:pPr>
              <w:ind w:left="40"/>
              <w:spacing w:after="0"/>
              <w:rPr>
                <w:sz w:val="20"/>
                <w:szCs w:val="20"/>
                <w:color w:val="auto"/>
              </w:rPr>
            </w:pPr>
            <w:r>
              <w:rPr>
                <w:rFonts w:ascii="Arial" w:cs="Arial" w:eastAsia="Arial" w:hAnsi="Arial"/>
                <w:sz w:val="11"/>
                <w:szCs w:val="11"/>
                <w:b w:val="1"/>
                <w:bCs w:val="1"/>
                <w:color w:val="003551"/>
              </w:rPr>
              <w:t>That</w:t>
            </w:r>
          </w:p>
        </w:tc>
        <w:tc>
          <w:tcPr>
            <w:tcW w:w="800" w:type="dxa"/>
            <w:vAlign w:val="bottom"/>
            <w:vMerge w:val="restart"/>
            <w:shd w:val="clear" w:color="auto" w:fill="77C483"/>
          </w:tcPr>
          <w:p>
            <w:pPr>
              <w:ind w:left="40"/>
              <w:spacing w:after="0"/>
              <w:rPr>
                <w:sz w:val="20"/>
                <w:szCs w:val="20"/>
                <w:color w:val="auto"/>
              </w:rPr>
            </w:pPr>
            <w:r>
              <w:rPr>
                <w:rFonts w:ascii="Arial" w:cs="Arial" w:eastAsia="Arial" w:hAnsi="Arial"/>
                <w:sz w:val="11"/>
                <w:szCs w:val="11"/>
                <w:b w:val="1"/>
                <w:bCs w:val="1"/>
                <w:color w:val="003551"/>
              </w:rPr>
              <w:t>That Have</w:t>
            </w:r>
          </w:p>
        </w:tc>
        <w:tc>
          <w:tcPr>
            <w:tcW w:w="680" w:type="dxa"/>
            <w:vAlign w:val="bottom"/>
            <w:vMerge w:val="restart"/>
            <w:shd w:val="clear" w:color="auto" w:fill="77C483"/>
          </w:tcPr>
          <w:p>
            <w:pPr>
              <w:ind w:left="60"/>
              <w:spacing w:after="0"/>
              <w:rPr>
                <w:sz w:val="20"/>
                <w:szCs w:val="20"/>
                <w:color w:val="auto"/>
              </w:rPr>
            </w:pPr>
            <w:r>
              <w:rPr>
                <w:rFonts w:ascii="Arial" w:cs="Arial" w:eastAsia="Arial" w:hAnsi="Arial"/>
                <w:sz w:val="11"/>
                <w:szCs w:val="11"/>
                <w:b w:val="1"/>
                <w:bCs w:val="1"/>
                <w:color w:val="003551"/>
              </w:rPr>
              <w:t>That</w:t>
            </w:r>
          </w:p>
        </w:tc>
        <w:tc>
          <w:tcPr>
            <w:tcW w:w="860" w:type="dxa"/>
            <w:vAlign w:val="bottom"/>
            <w:vMerge w:val="continue"/>
            <w:shd w:val="clear" w:color="auto" w:fill="77C483"/>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740" w:type="dxa"/>
            <w:vAlign w:val="bottom"/>
            <w:shd w:val="clear" w:color="auto" w:fill="77C483"/>
          </w:tcPr>
          <w:p>
            <w:pPr>
              <w:spacing w:after="0"/>
              <w:rPr>
                <w:sz w:val="3"/>
                <w:szCs w:val="3"/>
                <w:color w:val="auto"/>
              </w:rPr>
            </w:pPr>
          </w:p>
        </w:tc>
        <w:tc>
          <w:tcPr>
            <w:tcW w:w="1140" w:type="dxa"/>
            <w:vAlign w:val="bottom"/>
            <w:shd w:val="clear" w:color="auto" w:fill="77C483"/>
          </w:tcPr>
          <w:p>
            <w:pPr>
              <w:spacing w:after="0"/>
              <w:rPr>
                <w:sz w:val="3"/>
                <w:szCs w:val="3"/>
                <w:color w:val="auto"/>
              </w:rPr>
            </w:pPr>
          </w:p>
        </w:tc>
        <w:tc>
          <w:tcPr>
            <w:tcW w:w="1500" w:type="dxa"/>
            <w:vAlign w:val="bottom"/>
            <w:gridSpan w:val="2"/>
            <w:vMerge w:val="continue"/>
            <w:shd w:val="clear" w:color="auto" w:fill="77C483"/>
          </w:tcPr>
          <w:p>
            <w:pPr>
              <w:spacing w:after="0"/>
              <w:rPr>
                <w:sz w:val="3"/>
                <w:szCs w:val="3"/>
                <w:color w:val="auto"/>
              </w:rPr>
            </w:pPr>
          </w:p>
        </w:tc>
        <w:tc>
          <w:tcPr>
            <w:tcW w:w="1260" w:type="dxa"/>
            <w:vAlign w:val="bottom"/>
            <w:gridSpan w:val="2"/>
            <w:vMerge w:val="continue"/>
            <w:shd w:val="clear" w:color="auto" w:fill="77C483"/>
          </w:tcPr>
          <w:p>
            <w:pPr>
              <w:spacing w:after="0"/>
              <w:rPr>
                <w:sz w:val="3"/>
                <w:szCs w:val="3"/>
                <w:color w:val="auto"/>
              </w:rPr>
            </w:pPr>
          </w:p>
        </w:tc>
        <w:tc>
          <w:tcPr>
            <w:tcW w:w="660" w:type="dxa"/>
            <w:vAlign w:val="bottom"/>
            <w:shd w:val="clear" w:color="auto" w:fill="77C483"/>
          </w:tcPr>
          <w:p>
            <w:pPr>
              <w:spacing w:after="0"/>
              <w:rPr>
                <w:sz w:val="3"/>
                <w:szCs w:val="3"/>
                <w:color w:val="auto"/>
              </w:rPr>
            </w:pPr>
          </w:p>
        </w:tc>
        <w:tc>
          <w:tcPr>
            <w:tcW w:w="600" w:type="dxa"/>
            <w:vAlign w:val="bottom"/>
            <w:vMerge w:val="continue"/>
            <w:shd w:val="clear" w:color="auto" w:fill="77C483"/>
          </w:tcPr>
          <w:p>
            <w:pPr>
              <w:spacing w:after="0"/>
              <w:rPr>
                <w:sz w:val="3"/>
                <w:szCs w:val="3"/>
                <w:color w:val="auto"/>
              </w:rPr>
            </w:pPr>
          </w:p>
        </w:tc>
        <w:tc>
          <w:tcPr>
            <w:tcW w:w="800" w:type="dxa"/>
            <w:vAlign w:val="bottom"/>
            <w:vMerge w:val="continue"/>
            <w:shd w:val="clear" w:color="auto" w:fill="77C483"/>
          </w:tcPr>
          <w:p>
            <w:pPr>
              <w:spacing w:after="0"/>
              <w:rPr>
                <w:sz w:val="3"/>
                <w:szCs w:val="3"/>
                <w:color w:val="auto"/>
              </w:rPr>
            </w:pPr>
          </w:p>
        </w:tc>
        <w:tc>
          <w:tcPr>
            <w:tcW w:w="680" w:type="dxa"/>
            <w:vAlign w:val="bottom"/>
            <w:vMerge w:val="continue"/>
            <w:shd w:val="clear" w:color="auto" w:fill="77C483"/>
          </w:tcPr>
          <w:p>
            <w:pPr>
              <w:spacing w:after="0"/>
              <w:rPr>
                <w:sz w:val="3"/>
                <w:szCs w:val="3"/>
                <w:color w:val="auto"/>
              </w:rPr>
            </w:pPr>
          </w:p>
        </w:tc>
        <w:tc>
          <w:tcPr>
            <w:tcW w:w="860" w:type="dxa"/>
            <w:vAlign w:val="bottom"/>
            <w:vMerge w:val="restart"/>
            <w:shd w:val="clear" w:color="auto" w:fill="77C483"/>
          </w:tcPr>
          <w:p>
            <w:pPr>
              <w:ind w:left="40"/>
              <w:spacing w:after="0"/>
              <w:rPr>
                <w:sz w:val="20"/>
                <w:szCs w:val="20"/>
                <w:color w:val="auto"/>
              </w:rPr>
            </w:pPr>
            <w:r>
              <w:rPr>
                <w:rFonts w:ascii="Arial" w:cs="Arial" w:eastAsia="Arial" w:hAnsi="Arial"/>
                <w:sz w:val="11"/>
                <w:szCs w:val="11"/>
                <w:b w:val="1"/>
                <w:bCs w:val="1"/>
                <w:color w:val="003551"/>
              </w:rPr>
              <w:t>Have Not</w:t>
            </w:r>
          </w:p>
        </w:tc>
        <w:tc>
          <w:tcPr>
            <w:tcW w:w="0" w:type="dxa"/>
            <w:vAlign w:val="bottom"/>
          </w:tcPr>
          <w:p>
            <w:pPr>
              <w:spacing w:after="0" w:line="20" w:lineRule="exact"/>
              <w:rPr>
                <w:sz w:val="1"/>
                <w:szCs w:val="1"/>
                <w:color w:val="auto"/>
              </w:rPr>
            </w:pPr>
          </w:p>
        </w:tc>
      </w:tr>
      <w:tr>
        <w:trPr>
          <w:trHeight w:val="98"/>
        </w:trPr>
        <w:tc>
          <w:tcPr>
            <w:tcW w:w="740" w:type="dxa"/>
            <w:vAlign w:val="bottom"/>
            <w:shd w:val="clear" w:color="auto" w:fill="77C483"/>
          </w:tcPr>
          <w:p>
            <w:pPr>
              <w:spacing w:after="0"/>
              <w:rPr>
                <w:sz w:val="8"/>
                <w:szCs w:val="8"/>
                <w:color w:val="auto"/>
              </w:rPr>
            </w:pPr>
          </w:p>
        </w:tc>
        <w:tc>
          <w:tcPr>
            <w:tcW w:w="1140" w:type="dxa"/>
            <w:vAlign w:val="bottom"/>
            <w:vMerge w:val="restart"/>
            <w:shd w:val="clear" w:color="auto" w:fill="77C483"/>
          </w:tcPr>
          <w:p>
            <w:pPr>
              <w:ind w:left="40"/>
              <w:spacing w:after="0"/>
              <w:rPr>
                <w:sz w:val="20"/>
                <w:szCs w:val="20"/>
                <w:color w:val="auto"/>
              </w:rPr>
            </w:pPr>
            <w:r>
              <w:rPr>
                <w:rFonts w:ascii="Arial" w:cs="Arial" w:eastAsia="Arial" w:hAnsi="Arial"/>
                <w:sz w:val="11"/>
                <w:szCs w:val="11"/>
                <w:b w:val="1"/>
                <w:bCs w:val="1"/>
                <w:color w:val="003551"/>
              </w:rPr>
              <w:t>Option/Stock</w:t>
            </w:r>
          </w:p>
        </w:tc>
        <w:tc>
          <w:tcPr>
            <w:tcW w:w="700" w:type="dxa"/>
            <w:vAlign w:val="bottom"/>
            <w:vMerge w:val="restart"/>
            <w:shd w:val="clear" w:color="auto" w:fill="77C483"/>
          </w:tcPr>
          <w:p>
            <w:pPr>
              <w:ind w:left="20"/>
              <w:spacing w:after="0"/>
              <w:rPr>
                <w:sz w:val="20"/>
                <w:szCs w:val="20"/>
                <w:color w:val="auto"/>
              </w:rPr>
            </w:pPr>
            <w:r>
              <w:rPr>
                <w:rFonts w:ascii="Arial" w:cs="Arial" w:eastAsia="Arial" w:hAnsi="Arial"/>
                <w:sz w:val="11"/>
                <w:szCs w:val="11"/>
                <w:b w:val="1"/>
                <w:bCs w:val="1"/>
                <w:color w:val="003551"/>
              </w:rPr>
              <w:t>Options –</w:t>
            </w:r>
          </w:p>
        </w:tc>
        <w:tc>
          <w:tcPr>
            <w:tcW w:w="800" w:type="dxa"/>
            <w:vAlign w:val="bottom"/>
            <w:vMerge w:val="restart"/>
            <w:shd w:val="clear" w:color="auto" w:fill="77C483"/>
          </w:tcPr>
          <w:p>
            <w:pPr>
              <w:ind w:left="60"/>
              <w:spacing w:after="0"/>
              <w:rPr>
                <w:sz w:val="20"/>
                <w:szCs w:val="20"/>
                <w:color w:val="auto"/>
              </w:rPr>
            </w:pPr>
            <w:r>
              <w:rPr>
                <w:rFonts w:ascii="Arial" w:cs="Arial" w:eastAsia="Arial" w:hAnsi="Arial"/>
                <w:sz w:val="11"/>
                <w:szCs w:val="11"/>
                <w:b w:val="1"/>
                <w:bCs w:val="1"/>
                <w:color w:val="003551"/>
              </w:rPr>
              <w:t>Options –</w:t>
            </w:r>
          </w:p>
        </w:tc>
        <w:tc>
          <w:tcPr>
            <w:tcW w:w="740" w:type="dxa"/>
            <w:vAlign w:val="bottom"/>
            <w:vMerge w:val="restart"/>
            <w:shd w:val="clear" w:color="auto" w:fill="77C483"/>
          </w:tcPr>
          <w:p>
            <w:pPr>
              <w:ind w:left="80"/>
              <w:spacing w:after="0"/>
              <w:rPr>
                <w:sz w:val="20"/>
                <w:szCs w:val="20"/>
                <w:color w:val="auto"/>
              </w:rPr>
            </w:pPr>
            <w:r>
              <w:rPr>
                <w:rFonts w:ascii="Arial" w:cs="Arial" w:eastAsia="Arial" w:hAnsi="Arial"/>
                <w:sz w:val="11"/>
                <w:szCs w:val="11"/>
                <w:b w:val="1"/>
                <w:bCs w:val="1"/>
                <w:color w:val="003551"/>
              </w:rPr>
              <w:t>Unearned</w:t>
            </w:r>
          </w:p>
        </w:tc>
        <w:tc>
          <w:tcPr>
            <w:tcW w:w="1180" w:type="dxa"/>
            <w:vAlign w:val="bottom"/>
            <w:gridSpan w:val="2"/>
            <w:vMerge w:val="restart"/>
            <w:shd w:val="clear" w:color="auto" w:fill="77C483"/>
          </w:tcPr>
          <w:p>
            <w:pPr>
              <w:ind w:left="80"/>
              <w:spacing w:after="0"/>
              <w:rPr>
                <w:sz w:val="20"/>
                <w:szCs w:val="20"/>
                <w:color w:val="auto"/>
              </w:rPr>
            </w:pPr>
            <w:r>
              <w:rPr>
                <w:rFonts w:ascii="Arial" w:cs="Arial" w:eastAsia="Arial" w:hAnsi="Arial"/>
                <w:sz w:val="11"/>
                <w:szCs w:val="11"/>
                <w:b w:val="1"/>
                <w:bCs w:val="1"/>
                <w:color w:val="003551"/>
              </w:rPr>
              <w:t>Exercise Option</w:t>
            </w:r>
          </w:p>
        </w:tc>
        <w:tc>
          <w:tcPr>
            <w:tcW w:w="600" w:type="dxa"/>
            <w:vAlign w:val="bottom"/>
            <w:vMerge w:val="restart"/>
            <w:shd w:val="clear" w:color="auto" w:fill="77C483"/>
          </w:tcPr>
          <w:p>
            <w:pPr>
              <w:ind w:left="40"/>
              <w:spacing w:after="0"/>
              <w:rPr>
                <w:sz w:val="20"/>
                <w:szCs w:val="20"/>
                <w:color w:val="auto"/>
              </w:rPr>
            </w:pPr>
            <w:r>
              <w:rPr>
                <w:rFonts w:ascii="Arial" w:cs="Arial" w:eastAsia="Arial" w:hAnsi="Arial"/>
                <w:sz w:val="11"/>
                <w:szCs w:val="11"/>
                <w:b w:val="1"/>
                <w:bCs w:val="1"/>
                <w:color w:val="003551"/>
              </w:rPr>
              <w:t>Have Not</w:t>
            </w:r>
          </w:p>
        </w:tc>
        <w:tc>
          <w:tcPr>
            <w:tcW w:w="800" w:type="dxa"/>
            <w:vAlign w:val="bottom"/>
            <w:vMerge w:val="restart"/>
            <w:shd w:val="clear" w:color="auto" w:fill="77C483"/>
          </w:tcPr>
          <w:p>
            <w:pPr>
              <w:ind w:left="40"/>
              <w:spacing w:after="0"/>
              <w:rPr>
                <w:sz w:val="20"/>
                <w:szCs w:val="20"/>
                <w:color w:val="auto"/>
              </w:rPr>
            </w:pPr>
            <w:r>
              <w:rPr>
                <w:rFonts w:ascii="Arial" w:cs="Arial" w:eastAsia="Arial" w:hAnsi="Arial"/>
                <w:sz w:val="11"/>
                <w:szCs w:val="11"/>
                <w:b w:val="1"/>
                <w:bCs w:val="1"/>
                <w:color w:val="003551"/>
              </w:rPr>
              <w:t>Not</w:t>
            </w:r>
          </w:p>
        </w:tc>
        <w:tc>
          <w:tcPr>
            <w:tcW w:w="680" w:type="dxa"/>
            <w:vAlign w:val="bottom"/>
            <w:vMerge w:val="restart"/>
            <w:shd w:val="clear" w:color="auto" w:fill="77C483"/>
          </w:tcPr>
          <w:p>
            <w:pPr>
              <w:ind w:left="60"/>
              <w:spacing w:after="0"/>
              <w:rPr>
                <w:sz w:val="20"/>
                <w:szCs w:val="20"/>
                <w:color w:val="auto"/>
              </w:rPr>
            </w:pPr>
            <w:r>
              <w:rPr>
                <w:rFonts w:ascii="Arial" w:cs="Arial" w:eastAsia="Arial" w:hAnsi="Arial"/>
                <w:sz w:val="11"/>
                <w:szCs w:val="11"/>
                <w:b w:val="1"/>
                <w:bCs w:val="1"/>
                <w:color w:val="003551"/>
              </w:rPr>
              <w:t>Have Not</w:t>
            </w:r>
          </w:p>
        </w:tc>
        <w:tc>
          <w:tcPr>
            <w:tcW w:w="860" w:type="dxa"/>
            <w:vAlign w:val="bottom"/>
            <w:vMerge w:val="continue"/>
            <w:shd w:val="clear" w:color="auto" w:fill="77C483"/>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740" w:type="dxa"/>
            <w:vAlign w:val="bottom"/>
            <w:shd w:val="clear" w:color="auto" w:fill="77C483"/>
          </w:tcPr>
          <w:p>
            <w:pPr>
              <w:spacing w:after="0"/>
              <w:rPr>
                <w:sz w:val="2"/>
                <w:szCs w:val="2"/>
                <w:color w:val="auto"/>
              </w:rPr>
            </w:pPr>
          </w:p>
        </w:tc>
        <w:tc>
          <w:tcPr>
            <w:tcW w:w="1140" w:type="dxa"/>
            <w:vAlign w:val="bottom"/>
            <w:vMerge w:val="continue"/>
            <w:shd w:val="clear" w:color="auto" w:fill="77C483"/>
          </w:tcPr>
          <w:p>
            <w:pPr>
              <w:spacing w:after="0"/>
              <w:rPr>
                <w:sz w:val="2"/>
                <w:szCs w:val="2"/>
                <w:color w:val="auto"/>
              </w:rPr>
            </w:pPr>
          </w:p>
        </w:tc>
        <w:tc>
          <w:tcPr>
            <w:tcW w:w="700" w:type="dxa"/>
            <w:vAlign w:val="bottom"/>
            <w:vMerge w:val="continue"/>
            <w:shd w:val="clear" w:color="auto" w:fill="77C483"/>
          </w:tcPr>
          <w:p>
            <w:pPr>
              <w:spacing w:after="0"/>
              <w:rPr>
                <w:sz w:val="2"/>
                <w:szCs w:val="2"/>
                <w:color w:val="auto"/>
              </w:rPr>
            </w:pPr>
          </w:p>
        </w:tc>
        <w:tc>
          <w:tcPr>
            <w:tcW w:w="800" w:type="dxa"/>
            <w:vAlign w:val="bottom"/>
            <w:vMerge w:val="continue"/>
            <w:shd w:val="clear" w:color="auto" w:fill="77C483"/>
          </w:tcPr>
          <w:p>
            <w:pPr>
              <w:spacing w:after="0"/>
              <w:rPr>
                <w:sz w:val="2"/>
                <w:szCs w:val="2"/>
                <w:color w:val="auto"/>
              </w:rPr>
            </w:pPr>
          </w:p>
        </w:tc>
        <w:tc>
          <w:tcPr>
            <w:tcW w:w="740" w:type="dxa"/>
            <w:vAlign w:val="bottom"/>
            <w:vMerge w:val="continue"/>
            <w:shd w:val="clear" w:color="auto" w:fill="77C483"/>
          </w:tcPr>
          <w:p>
            <w:pPr>
              <w:spacing w:after="0"/>
              <w:rPr>
                <w:sz w:val="2"/>
                <w:szCs w:val="2"/>
                <w:color w:val="auto"/>
              </w:rPr>
            </w:pPr>
          </w:p>
        </w:tc>
        <w:tc>
          <w:tcPr>
            <w:tcW w:w="1180" w:type="dxa"/>
            <w:vAlign w:val="bottom"/>
            <w:gridSpan w:val="2"/>
            <w:vMerge w:val="continue"/>
            <w:shd w:val="clear" w:color="auto" w:fill="77C483"/>
          </w:tcPr>
          <w:p>
            <w:pPr>
              <w:spacing w:after="0"/>
              <w:rPr>
                <w:sz w:val="2"/>
                <w:szCs w:val="2"/>
                <w:color w:val="auto"/>
              </w:rPr>
            </w:pPr>
          </w:p>
        </w:tc>
        <w:tc>
          <w:tcPr>
            <w:tcW w:w="600" w:type="dxa"/>
            <w:vAlign w:val="bottom"/>
            <w:vMerge w:val="continue"/>
            <w:shd w:val="clear" w:color="auto" w:fill="77C483"/>
          </w:tcPr>
          <w:p>
            <w:pPr>
              <w:spacing w:after="0"/>
              <w:rPr>
                <w:sz w:val="2"/>
                <w:szCs w:val="2"/>
                <w:color w:val="auto"/>
              </w:rPr>
            </w:pPr>
          </w:p>
        </w:tc>
        <w:tc>
          <w:tcPr>
            <w:tcW w:w="800" w:type="dxa"/>
            <w:vAlign w:val="bottom"/>
            <w:vMerge w:val="continue"/>
            <w:shd w:val="clear" w:color="auto" w:fill="77C483"/>
          </w:tcPr>
          <w:p>
            <w:pPr>
              <w:spacing w:after="0"/>
              <w:rPr>
                <w:sz w:val="2"/>
                <w:szCs w:val="2"/>
                <w:color w:val="auto"/>
              </w:rPr>
            </w:pPr>
          </w:p>
        </w:tc>
        <w:tc>
          <w:tcPr>
            <w:tcW w:w="680" w:type="dxa"/>
            <w:vAlign w:val="bottom"/>
            <w:vMerge w:val="continue"/>
            <w:shd w:val="clear" w:color="auto" w:fill="77C483"/>
          </w:tcPr>
          <w:p>
            <w:pPr>
              <w:spacing w:after="0"/>
              <w:rPr>
                <w:sz w:val="2"/>
                <w:szCs w:val="2"/>
                <w:color w:val="auto"/>
              </w:rPr>
            </w:pPr>
          </w:p>
        </w:tc>
        <w:tc>
          <w:tcPr>
            <w:tcW w:w="860" w:type="dxa"/>
            <w:vAlign w:val="bottom"/>
            <w:vMerge w:val="restart"/>
            <w:shd w:val="clear" w:color="auto" w:fill="77C483"/>
          </w:tcPr>
          <w:p>
            <w:pPr>
              <w:ind w:left="40"/>
              <w:spacing w:after="0" w:line="164" w:lineRule="exact"/>
              <w:rPr>
                <w:sz w:val="20"/>
                <w:szCs w:val="20"/>
                <w:color w:val="auto"/>
              </w:rPr>
            </w:pPr>
            <w:r>
              <w:rPr>
                <w:rFonts w:ascii="Arial" w:cs="Arial" w:eastAsia="Arial" w:hAnsi="Arial"/>
                <w:sz w:val="11"/>
                <w:szCs w:val="11"/>
                <w:b w:val="1"/>
                <w:bCs w:val="1"/>
                <w:color w:val="003551"/>
              </w:rPr>
              <w:t>Vested</w:t>
            </w:r>
            <w:r>
              <w:rPr>
                <w:rFonts w:ascii="Arial" w:cs="Arial" w:eastAsia="Arial" w:hAnsi="Arial"/>
                <w:sz w:val="18"/>
                <w:szCs w:val="18"/>
                <w:b w:val="1"/>
                <w:bCs w:val="1"/>
                <w:color w:val="003551"/>
                <w:vertAlign w:val="superscript"/>
              </w:rPr>
              <w:t>(1)</w:t>
            </w:r>
          </w:p>
        </w:tc>
        <w:tc>
          <w:tcPr>
            <w:tcW w:w="0" w:type="dxa"/>
            <w:vAlign w:val="bottom"/>
          </w:tcPr>
          <w:p>
            <w:pPr>
              <w:spacing w:after="0" w:line="20" w:lineRule="exact"/>
              <w:rPr>
                <w:sz w:val="1"/>
                <w:szCs w:val="1"/>
                <w:color w:val="auto"/>
              </w:rPr>
            </w:pPr>
          </w:p>
        </w:tc>
      </w:tr>
      <w:tr>
        <w:trPr>
          <w:trHeight w:val="131"/>
        </w:trPr>
        <w:tc>
          <w:tcPr>
            <w:tcW w:w="740" w:type="dxa"/>
            <w:vAlign w:val="bottom"/>
            <w:shd w:val="clear" w:color="auto" w:fill="77C483"/>
          </w:tcPr>
          <w:p>
            <w:pPr>
              <w:spacing w:after="0"/>
              <w:rPr>
                <w:sz w:val="11"/>
                <w:szCs w:val="11"/>
                <w:color w:val="auto"/>
              </w:rPr>
            </w:pPr>
          </w:p>
        </w:tc>
        <w:tc>
          <w:tcPr>
            <w:tcW w:w="1140" w:type="dxa"/>
            <w:vAlign w:val="bottom"/>
            <w:shd w:val="clear" w:color="auto" w:fill="77C483"/>
          </w:tcPr>
          <w:p>
            <w:pPr>
              <w:ind w:left="40"/>
              <w:spacing w:after="0"/>
              <w:rPr>
                <w:sz w:val="20"/>
                <w:szCs w:val="20"/>
                <w:color w:val="auto"/>
              </w:rPr>
            </w:pPr>
            <w:r>
              <w:rPr>
                <w:rFonts w:ascii="Arial" w:cs="Arial" w:eastAsia="Arial" w:hAnsi="Arial"/>
                <w:sz w:val="11"/>
                <w:szCs w:val="11"/>
                <w:b w:val="1"/>
                <w:bCs w:val="1"/>
                <w:color w:val="003551"/>
              </w:rPr>
              <w:t>Award</w:t>
            </w:r>
          </w:p>
        </w:tc>
        <w:tc>
          <w:tcPr>
            <w:tcW w:w="700" w:type="dxa"/>
            <w:vAlign w:val="bottom"/>
            <w:shd w:val="clear" w:color="auto" w:fill="77C483"/>
          </w:tcPr>
          <w:p>
            <w:pPr>
              <w:ind w:left="20"/>
              <w:spacing w:after="0"/>
              <w:rPr>
                <w:sz w:val="20"/>
                <w:szCs w:val="20"/>
                <w:color w:val="auto"/>
              </w:rPr>
            </w:pPr>
            <w:r>
              <w:rPr>
                <w:rFonts w:ascii="Arial" w:cs="Arial" w:eastAsia="Arial" w:hAnsi="Arial"/>
                <w:sz w:val="11"/>
                <w:szCs w:val="11"/>
                <w:b w:val="1"/>
                <w:bCs w:val="1"/>
                <w:color w:val="003551"/>
              </w:rPr>
              <w:t>Exercisable</w:t>
            </w:r>
          </w:p>
        </w:tc>
        <w:tc>
          <w:tcPr>
            <w:tcW w:w="1540" w:type="dxa"/>
            <w:vAlign w:val="bottom"/>
            <w:gridSpan w:val="2"/>
            <w:shd w:val="clear" w:color="auto" w:fill="77C483"/>
          </w:tcPr>
          <w:p>
            <w:pPr>
              <w:ind w:left="60"/>
              <w:spacing w:after="0"/>
              <w:rPr>
                <w:sz w:val="20"/>
                <w:szCs w:val="20"/>
                <w:color w:val="auto"/>
              </w:rPr>
            </w:pPr>
            <w:r>
              <w:rPr>
                <w:rFonts w:ascii="Arial" w:cs="Arial" w:eastAsia="Arial" w:hAnsi="Arial"/>
                <w:sz w:val="11"/>
                <w:szCs w:val="11"/>
                <w:b w:val="1"/>
                <w:bCs w:val="1"/>
                <w:color w:val="003551"/>
              </w:rPr>
              <w:t>Unexercisable Options</w:t>
            </w:r>
          </w:p>
        </w:tc>
        <w:tc>
          <w:tcPr>
            <w:tcW w:w="520" w:type="dxa"/>
            <w:vAlign w:val="bottom"/>
            <w:shd w:val="clear" w:color="auto" w:fill="77C483"/>
          </w:tcPr>
          <w:p>
            <w:pPr>
              <w:ind w:left="80"/>
              <w:spacing w:after="0"/>
              <w:rPr>
                <w:sz w:val="20"/>
                <w:szCs w:val="20"/>
                <w:color w:val="auto"/>
              </w:rPr>
            </w:pPr>
            <w:r>
              <w:rPr>
                <w:rFonts w:ascii="Arial" w:cs="Arial" w:eastAsia="Arial" w:hAnsi="Arial"/>
                <w:sz w:val="11"/>
                <w:szCs w:val="11"/>
                <w:b w:val="1"/>
                <w:bCs w:val="1"/>
                <w:color w:val="003551"/>
              </w:rPr>
              <w:t>Price</w:t>
            </w:r>
          </w:p>
        </w:tc>
        <w:tc>
          <w:tcPr>
            <w:tcW w:w="660" w:type="dxa"/>
            <w:vAlign w:val="bottom"/>
            <w:shd w:val="clear" w:color="auto" w:fill="77C483"/>
          </w:tcPr>
          <w:p>
            <w:pPr>
              <w:ind w:left="80"/>
              <w:spacing w:after="0"/>
              <w:rPr>
                <w:sz w:val="20"/>
                <w:szCs w:val="20"/>
                <w:color w:val="auto"/>
              </w:rPr>
            </w:pPr>
            <w:r>
              <w:rPr>
                <w:rFonts w:ascii="Arial" w:cs="Arial" w:eastAsia="Arial" w:hAnsi="Arial"/>
                <w:sz w:val="11"/>
                <w:szCs w:val="11"/>
                <w:b w:val="1"/>
                <w:bCs w:val="1"/>
                <w:color w:val="003551"/>
              </w:rPr>
              <w:t>Expiration</w:t>
            </w:r>
          </w:p>
        </w:tc>
        <w:tc>
          <w:tcPr>
            <w:tcW w:w="600" w:type="dxa"/>
            <w:vAlign w:val="bottom"/>
            <w:shd w:val="clear" w:color="auto" w:fill="77C483"/>
          </w:tcPr>
          <w:p>
            <w:pPr>
              <w:ind w:left="40"/>
              <w:spacing w:after="0"/>
              <w:rPr>
                <w:sz w:val="20"/>
                <w:szCs w:val="20"/>
                <w:color w:val="auto"/>
              </w:rPr>
            </w:pPr>
            <w:r>
              <w:rPr>
                <w:rFonts w:ascii="Arial" w:cs="Arial" w:eastAsia="Arial" w:hAnsi="Arial"/>
                <w:sz w:val="11"/>
                <w:szCs w:val="11"/>
                <w:b w:val="1"/>
                <w:bCs w:val="1"/>
                <w:color w:val="003551"/>
              </w:rPr>
              <w:t>Vested</w:t>
            </w:r>
          </w:p>
        </w:tc>
        <w:tc>
          <w:tcPr>
            <w:tcW w:w="800" w:type="dxa"/>
            <w:vAlign w:val="bottom"/>
            <w:shd w:val="clear" w:color="auto" w:fill="77C483"/>
          </w:tcPr>
          <w:p>
            <w:pPr>
              <w:ind w:left="40"/>
              <w:spacing w:after="0"/>
              <w:rPr>
                <w:sz w:val="20"/>
                <w:szCs w:val="20"/>
                <w:color w:val="auto"/>
              </w:rPr>
            </w:pPr>
            <w:r>
              <w:rPr>
                <w:rFonts w:ascii="Arial" w:cs="Arial" w:eastAsia="Arial" w:hAnsi="Arial"/>
                <w:sz w:val="11"/>
                <w:szCs w:val="11"/>
                <w:b w:val="1"/>
                <w:bCs w:val="1"/>
                <w:color w:val="003551"/>
              </w:rPr>
              <w:t>Vested</w:t>
            </w:r>
          </w:p>
        </w:tc>
        <w:tc>
          <w:tcPr>
            <w:tcW w:w="680" w:type="dxa"/>
            <w:vAlign w:val="bottom"/>
            <w:shd w:val="clear" w:color="auto" w:fill="77C483"/>
          </w:tcPr>
          <w:p>
            <w:pPr>
              <w:ind w:left="60"/>
              <w:spacing w:after="0"/>
              <w:rPr>
                <w:sz w:val="20"/>
                <w:szCs w:val="20"/>
                <w:color w:val="auto"/>
              </w:rPr>
            </w:pPr>
            <w:r>
              <w:rPr>
                <w:rFonts w:ascii="Arial" w:cs="Arial" w:eastAsia="Arial" w:hAnsi="Arial"/>
                <w:sz w:val="11"/>
                <w:szCs w:val="11"/>
                <w:b w:val="1"/>
                <w:bCs w:val="1"/>
                <w:color w:val="003551"/>
              </w:rPr>
              <w:t>Vested</w:t>
            </w:r>
          </w:p>
        </w:tc>
        <w:tc>
          <w:tcPr>
            <w:tcW w:w="860" w:type="dxa"/>
            <w:vAlign w:val="bottom"/>
            <w:vMerge w:val="continue"/>
            <w:shd w:val="clear" w:color="auto" w:fill="77C483"/>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40" w:type="dxa"/>
            <w:vAlign w:val="bottom"/>
            <w:tcBorders>
              <w:bottom w:val="single" w:sz="8" w:color="003551"/>
            </w:tcBorders>
            <w:shd w:val="clear" w:color="auto" w:fill="77C483"/>
          </w:tcPr>
          <w:p>
            <w:pPr>
              <w:ind w:left="160"/>
              <w:spacing w:after="0"/>
              <w:rPr>
                <w:sz w:val="20"/>
                <w:szCs w:val="20"/>
                <w:color w:val="auto"/>
              </w:rPr>
            </w:pPr>
            <w:r>
              <w:rPr>
                <w:rFonts w:ascii="Arial" w:cs="Arial" w:eastAsia="Arial" w:hAnsi="Arial"/>
                <w:sz w:val="11"/>
                <w:szCs w:val="11"/>
                <w:b w:val="1"/>
                <w:bCs w:val="1"/>
                <w:color w:val="003551"/>
              </w:rPr>
              <w:t>Name</w:t>
            </w:r>
          </w:p>
        </w:tc>
        <w:tc>
          <w:tcPr>
            <w:tcW w:w="1140" w:type="dxa"/>
            <w:vAlign w:val="bottom"/>
            <w:tcBorders>
              <w:bottom w:val="single" w:sz="8" w:color="003551"/>
            </w:tcBorders>
            <w:shd w:val="clear" w:color="auto" w:fill="77C483"/>
          </w:tcPr>
          <w:p>
            <w:pPr>
              <w:ind w:left="40"/>
              <w:spacing w:after="0"/>
              <w:rPr>
                <w:sz w:val="20"/>
                <w:szCs w:val="20"/>
                <w:color w:val="auto"/>
              </w:rPr>
            </w:pPr>
            <w:r>
              <w:rPr>
                <w:rFonts w:ascii="Arial" w:cs="Arial" w:eastAsia="Arial" w:hAnsi="Arial"/>
                <w:sz w:val="11"/>
                <w:szCs w:val="11"/>
                <w:b w:val="1"/>
                <w:bCs w:val="1"/>
                <w:color w:val="003551"/>
              </w:rPr>
              <w:t>Grant Date</w:t>
            </w:r>
          </w:p>
        </w:tc>
        <w:tc>
          <w:tcPr>
            <w:tcW w:w="700" w:type="dxa"/>
            <w:vAlign w:val="bottom"/>
            <w:tcBorders>
              <w:bottom w:val="single" w:sz="8" w:color="003551"/>
            </w:tcBorders>
            <w:shd w:val="clear" w:color="auto" w:fill="77C483"/>
          </w:tcPr>
          <w:p>
            <w:pPr>
              <w:ind w:left="20"/>
              <w:spacing w:after="0"/>
              <w:rPr>
                <w:sz w:val="20"/>
                <w:szCs w:val="20"/>
                <w:color w:val="auto"/>
              </w:rPr>
            </w:pPr>
            <w:r>
              <w:rPr>
                <w:rFonts w:ascii="Arial" w:cs="Arial" w:eastAsia="Arial" w:hAnsi="Arial"/>
                <w:sz w:val="11"/>
                <w:szCs w:val="11"/>
                <w:b w:val="1"/>
                <w:bCs w:val="1"/>
                <w:color w:val="003551"/>
              </w:rPr>
              <w:t>(#)</w:t>
            </w:r>
          </w:p>
        </w:tc>
        <w:tc>
          <w:tcPr>
            <w:tcW w:w="800" w:type="dxa"/>
            <w:vAlign w:val="bottom"/>
            <w:tcBorders>
              <w:bottom w:val="single" w:sz="8" w:color="003551"/>
            </w:tcBorders>
            <w:shd w:val="clear" w:color="auto" w:fill="77C483"/>
          </w:tcPr>
          <w:p>
            <w:pPr>
              <w:ind w:left="60"/>
              <w:spacing w:after="0"/>
              <w:rPr>
                <w:sz w:val="20"/>
                <w:szCs w:val="20"/>
                <w:color w:val="auto"/>
              </w:rPr>
            </w:pPr>
            <w:r>
              <w:rPr>
                <w:rFonts w:ascii="Arial" w:cs="Arial" w:eastAsia="Arial" w:hAnsi="Arial"/>
                <w:sz w:val="11"/>
                <w:szCs w:val="11"/>
                <w:b w:val="1"/>
                <w:bCs w:val="1"/>
                <w:color w:val="003551"/>
              </w:rPr>
              <w:t>(#)</w:t>
            </w:r>
          </w:p>
        </w:tc>
        <w:tc>
          <w:tcPr>
            <w:tcW w:w="740" w:type="dxa"/>
            <w:vAlign w:val="bottom"/>
            <w:tcBorders>
              <w:bottom w:val="single" w:sz="8" w:color="003551"/>
            </w:tcBorders>
            <w:shd w:val="clear" w:color="auto" w:fill="77C483"/>
          </w:tcPr>
          <w:p>
            <w:pPr>
              <w:ind w:left="80"/>
              <w:spacing w:after="0"/>
              <w:rPr>
                <w:sz w:val="20"/>
                <w:szCs w:val="20"/>
                <w:color w:val="auto"/>
              </w:rPr>
            </w:pPr>
            <w:r>
              <w:rPr>
                <w:rFonts w:ascii="Arial" w:cs="Arial" w:eastAsia="Arial" w:hAnsi="Arial"/>
                <w:sz w:val="11"/>
                <w:szCs w:val="11"/>
                <w:b w:val="1"/>
                <w:bCs w:val="1"/>
                <w:color w:val="003551"/>
              </w:rPr>
              <w:t>(#)</w:t>
            </w:r>
          </w:p>
        </w:tc>
        <w:tc>
          <w:tcPr>
            <w:tcW w:w="520" w:type="dxa"/>
            <w:vAlign w:val="bottom"/>
            <w:tcBorders>
              <w:bottom w:val="single" w:sz="8" w:color="003551"/>
            </w:tcBorders>
            <w:shd w:val="clear" w:color="auto" w:fill="77C483"/>
          </w:tcPr>
          <w:p>
            <w:pPr>
              <w:ind w:left="80"/>
              <w:spacing w:after="0"/>
              <w:rPr>
                <w:sz w:val="20"/>
                <w:szCs w:val="20"/>
                <w:color w:val="auto"/>
              </w:rPr>
            </w:pPr>
            <w:r>
              <w:rPr>
                <w:rFonts w:ascii="Arial" w:cs="Arial" w:eastAsia="Arial" w:hAnsi="Arial"/>
                <w:sz w:val="11"/>
                <w:szCs w:val="11"/>
                <w:b w:val="1"/>
                <w:bCs w:val="1"/>
                <w:color w:val="003551"/>
              </w:rPr>
              <w:t>($)</w:t>
            </w:r>
          </w:p>
        </w:tc>
        <w:tc>
          <w:tcPr>
            <w:tcW w:w="660" w:type="dxa"/>
            <w:vAlign w:val="bottom"/>
            <w:tcBorders>
              <w:bottom w:val="single" w:sz="8" w:color="003551"/>
            </w:tcBorders>
            <w:shd w:val="clear" w:color="auto" w:fill="77C483"/>
          </w:tcPr>
          <w:p>
            <w:pPr>
              <w:ind w:left="80"/>
              <w:spacing w:after="0"/>
              <w:rPr>
                <w:sz w:val="20"/>
                <w:szCs w:val="20"/>
                <w:color w:val="auto"/>
              </w:rPr>
            </w:pPr>
            <w:r>
              <w:rPr>
                <w:rFonts w:ascii="Arial" w:cs="Arial" w:eastAsia="Arial" w:hAnsi="Arial"/>
                <w:sz w:val="11"/>
                <w:szCs w:val="11"/>
                <w:b w:val="1"/>
                <w:bCs w:val="1"/>
                <w:color w:val="003551"/>
              </w:rPr>
              <w:t>Date</w:t>
            </w:r>
          </w:p>
        </w:tc>
        <w:tc>
          <w:tcPr>
            <w:tcW w:w="600" w:type="dxa"/>
            <w:vAlign w:val="bottom"/>
            <w:tcBorders>
              <w:bottom w:val="single" w:sz="8" w:color="003551"/>
            </w:tcBorders>
            <w:shd w:val="clear" w:color="auto" w:fill="77C483"/>
          </w:tcPr>
          <w:p>
            <w:pPr>
              <w:ind w:left="40"/>
              <w:spacing w:after="0"/>
              <w:rPr>
                <w:sz w:val="20"/>
                <w:szCs w:val="20"/>
                <w:color w:val="auto"/>
              </w:rPr>
            </w:pPr>
            <w:r>
              <w:rPr>
                <w:rFonts w:ascii="Arial" w:cs="Arial" w:eastAsia="Arial" w:hAnsi="Arial"/>
                <w:sz w:val="11"/>
                <w:szCs w:val="11"/>
                <w:b w:val="1"/>
                <w:bCs w:val="1"/>
                <w:color w:val="003551"/>
              </w:rPr>
              <w:t>(#)</w:t>
            </w:r>
          </w:p>
        </w:tc>
        <w:tc>
          <w:tcPr>
            <w:tcW w:w="800" w:type="dxa"/>
            <w:vAlign w:val="bottom"/>
            <w:tcBorders>
              <w:bottom w:val="single" w:sz="8" w:color="003551"/>
            </w:tcBorders>
            <w:shd w:val="clear" w:color="auto" w:fill="77C483"/>
          </w:tcPr>
          <w:p>
            <w:pPr>
              <w:ind w:left="40"/>
              <w:spacing w:after="0"/>
              <w:rPr>
                <w:sz w:val="20"/>
                <w:szCs w:val="20"/>
                <w:color w:val="auto"/>
              </w:rPr>
            </w:pPr>
            <w:r>
              <w:rPr>
                <w:rFonts w:ascii="Arial" w:cs="Arial" w:eastAsia="Arial" w:hAnsi="Arial"/>
                <w:sz w:val="11"/>
                <w:szCs w:val="11"/>
                <w:b w:val="1"/>
                <w:bCs w:val="1"/>
                <w:color w:val="003551"/>
              </w:rPr>
              <w:t>($)</w:t>
            </w:r>
          </w:p>
        </w:tc>
        <w:tc>
          <w:tcPr>
            <w:tcW w:w="680" w:type="dxa"/>
            <w:vAlign w:val="bottom"/>
            <w:tcBorders>
              <w:bottom w:val="single" w:sz="8" w:color="003551"/>
            </w:tcBorders>
            <w:shd w:val="clear" w:color="auto" w:fill="77C483"/>
          </w:tcPr>
          <w:p>
            <w:pPr>
              <w:ind w:left="60"/>
              <w:spacing w:after="0"/>
              <w:rPr>
                <w:sz w:val="20"/>
                <w:szCs w:val="20"/>
                <w:color w:val="auto"/>
              </w:rPr>
            </w:pPr>
            <w:r>
              <w:rPr>
                <w:rFonts w:ascii="Arial" w:cs="Arial" w:eastAsia="Arial" w:hAnsi="Arial"/>
                <w:sz w:val="11"/>
                <w:szCs w:val="11"/>
                <w:b w:val="1"/>
                <w:bCs w:val="1"/>
                <w:color w:val="003551"/>
              </w:rPr>
              <w:t>(#)</w:t>
            </w:r>
          </w:p>
        </w:tc>
        <w:tc>
          <w:tcPr>
            <w:tcW w:w="860" w:type="dxa"/>
            <w:vAlign w:val="bottom"/>
            <w:tcBorders>
              <w:bottom w:val="single" w:sz="8" w:color="003551"/>
            </w:tcBorders>
            <w:shd w:val="clear" w:color="auto" w:fill="77C483"/>
          </w:tcPr>
          <w:p>
            <w:pPr>
              <w:ind w:left="40"/>
              <w:spacing w:after="0"/>
              <w:rPr>
                <w:sz w:val="20"/>
                <w:szCs w:val="20"/>
                <w:color w:val="auto"/>
              </w:rPr>
            </w:pPr>
            <w:r>
              <w:rPr>
                <w:rFonts w:ascii="Arial" w:cs="Arial" w:eastAsia="Arial" w:hAnsi="Arial"/>
                <w:sz w:val="11"/>
                <w:szCs w:val="11"/>
                <w:b w:val="1"/>
                <w:bCs w:val="1"/>
                <w:color w:val="003551"/>
              </w:rPr>
              <w:t>($)</w:t>
            </w:r>
          </w:p>
        </w:tc>
        <w:tc>
          <w:tcPr>
            <w:tcW w:w="0" w:type="dxa"/>
            <w:vAlign w:val="bottom"/>
          </w:tcPr>
          <w:p>
            <w:pPr>
              <w:spacing w:after="0"/>
              <w:rPr>
                <w:sz w:val="1"/>
                <w:szCs w:val="1"/>
                <w:color w:val="auto"/>
              </w:rPr>
            </w:pPr>
          </w:p>
        </w:tc>
      </w:tr>
    </w:tbl>
    <w:p>
      <w:pPr>
        <w:spacing w:after="0" w:line="37" w:lineRule="exact"/>
        <w:rPr>
          <w:sz w:val="20"/>
          <w:szCs w:val="20"/>
          <w:color w:val="auto"/>
        </w:rPr>
      </w:pPr>
    </w:p>
    <w:p>
      <w:pPr>
        <w:sectPr>
          <w:pgSz w:w="11900" w:h="16838" w:orient="portrait"/>
          <w:cols w:equalWidth="0" w:num="1">
            <w:col w:w="9900"/>
          </w:cols>
          <w:pgMar w:left="740" w:top="115"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100"/>
        <w:spacing w:after="0"/>
        <w:rPr>
          <w:sz w:val="20"/>
          <w:szCs w:val="20"/>
          <w:color w:val="auto"/>
        </w:rPr>
      </w:pPr>
      <w:r>
        <w:rPr>
          <w:rFonts w:ascii="Arial" w:cs="Arial" w:eastAsia="Arial" w:hAnsi="Arial"/>
          <w:sz w:val="11"/>
          <w:szCs w:val="11"/>
          <w:b w:val="1"/>
          <w:bCs w:val="1"/>
          <w:color w:val="003551"/>
        </w:rPr>
        <w:t>William</w:t>
      </w:r>
    </w:p>
    <w:p>
      <w:pPr>
        <w:spacing w:after="0" w:line="15" w:lineRule="exact"/>
        <w:rPr>
          <w:sz w:val="20"/>
          <w:szCs w:val="20"/>
          <w:color w:val="auto"/>
        </w:rPr>
      </w:pPr>
    </w:p>
    <w:p>
      <w:pPr>
        <w:ind w:left="1100"/>
        <w:spacing w:after="0"/>
        <w:rPr>
          <w:sz w:val="20"/>
          <w:szCs w:val="20"/>
          <w:color w:val="auto"/>
        </w:rPr>
      </w:pPr>
      <w:r>
        <w:rPr>
          <w:rFonts w:ascii="Arial" w:cs="Arial" w:eastAsia="Arial" w:hAnsi="Arial"/>
          <w:sz w:val="11"/>
          <w:szCs w:val="11"/>
          <w:b w:val="1"/>
          <w:bCs w:val="1"/>
          <w:color w:val="003551"/>
        </w:rPr>
        <w:t>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766445</wp:posOffset>
            </wp:positionV>
            <wp:extent cx="4660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660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100"/>
        <w:spacing w:after="0"/>
        <w:rPr>
          <w:sz w:val="20"/>
          <w:szCs w:val="20"/>
          <w:color w:val="auto"/>
        </w:rPr>
      </w:pPr>
      <w:r>
        <w:rPr>
          <w:rFonts w:ascii="Arial" w:cs="Arial" w:eastAsia="Arial" w:hAnsi="Arial"/>
          <w:sz w:val="11"/>
          <w:szCs w:val="11"/>
          <w:b w:val="1"/>
          <w:bCs w:val="1"/>
          <w:color w:val="003551"/>
        </w:rPr>
        <w:t>Daniel</w:t>
      </w:r>
    </w:p>
    <w:p>
      <w:pPr>
        <w:spacing w:after="0" w:line="15" w:lineRule="exact"/>
        <w:rPr>
          <w:sz w:val="20"/>
          <w:szCs w:val="20"/>
          <w:color w:val="auto"/>
        </w:rPr>
      </w:pPr>
    </w:p>
    <w:p>
      <w:pPr>
        <w:ind w:left="1100"/>
        <w:spacing w:after="0"/>
        <w:rPr>
          <w:sz w:val="20"/>
          <w:szCs w:val="20"/>
          <w:color w:val="auto"/>
        </w:rPr>
      </w:pPr>
      <w:r>
        <w:rPr>
          <w:rFonts w:ascii="Arial" w:cs="Arial" w:eastAsia="Arial" w:hAnsi="Arial"/>
          <w:sz w:val="11"/>
          <w:szCs w:val="11"/>
          <w:b w:val="1"/>
          <w:bCs w:val="1"/>
          <w:color w:val="003551"/>
        </w:rPr>
        <w:t>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766445</wp:posOffset>
            </wp:positionV>
            <wp:extent cx="4660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660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100"/>
        <w:spacing w:after="0"/>
        <w:rPr>
          <w:sz w:val="20"/>
          <w:szCs w:val="20"/>
          <w:color w:val="auto"/>
        </w:rPr>
      </w:pPr>
      <w:r>
        <w:rPr>
          <w:rFonts w:ascii="Arial" w:cs="Arial" w:eastAsia="Arial" w:hAnsi="Arial"/>
          <w:sz w:val="11"/>
          <w:szCs w:val="11"/>
          <w:b w:val="1"/>
          <w:bCs w:val="1"/>
          <w:color w:val="003551"/>
        </w:rPr>
        <w:t>Belinda</w:t>
      </w:r>
    </w:p>
    <w:p>
      <w:pPr>
        <w:spacing w:after="0" w:line="15" w:lineRule="exact"/>
        <w:rPr>
          <w:sz w:val="20"/>
          <w:szCs w:val="20"/>
          <w:color w:val="auto"/>
        </w:rPr>
      </w:pPr>
    </w:p>
    <w:p>
      <w:pPr>
        <w:ind w:left="1100"/>
        <w:spacing w:after="0"/>
        <w:rPr>
          <w:sz w:val="20"/>
          <w:szCs w:val="20"/>
          <w:color w:val="auto"/>
        </w:rPr>
      </w:pPr>
      <w:r>
        <w:rPr>
          <w:rFonts w:ascii="Arial" w:cs="Arial" w:eastAsia="Arial" w:hAnsi="Arial"/>
          <w:sz w:val="11"/>
          <w:szCs w:val="11"/>
          <w:b w:val="1"/>
          <w:bCs w:val="1"/>
          <w:color w:val="003551"/>
        </w:rPr>
        <w:t>Nucifora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840" w:type="dxa"/>
            <w:vAlign w:val="bottom"/>
          </w:tcPr>
          <w:p>
            <w:pPr>
              <w:spacing w:after="0"/>
              <w:rPr>
                <w:sz w:val="20"/>
                <w:szCs w:val="20"/>
                <w:color w:val="auto"/>
              </w:rPr>
            </w:pPr>
            <w:r>
              <w:rPr>
                <w:rFonts w:ascii="Arial" w:cs="Arial" w:eastAsia="Arial" w:hAnsi="Arial"/>
                <w:sz w:val="11"/>
                <w:szCs w:val="11"/>
                <w:color w:val="003551"/>
              </w:rPr>
              <w:t>1/20/21</w:t>
            </w:r>
            <w:r>
              <w:rPr>
                <w:rFonts w:ascii="Arial" w:cs="Arial" w:eastAsia="Arial" w:hAnsi="Arial"/>
                <w:sz w:val="18"/>
                <w:szCs w:val="18"/>
                <w:color w:val="003551"/>
                <w:vertAlign w:val="superscript"/>
              </w:rPr>
              <w:t>(2)</w:t>
            </w:r>
          </w:p>
        </w:tc>
        <w:tc>
          <w:tcPr>
            <w:tcW w:w="900" w:type="dxa"/>
            <w:vAlign w:val="bottom"/>
          </w:tcPr>
          <w:p>
            <w:pPr>
              <w:ind w:left="280"/>
              <w:spacing w:after="0"/>
              <w:rPr>
                <w:sz w:val="20"/>
                <w:szCs w:val="20"/>
                <w:color w:val="auto"/>
              </w:rPr>
            </w:pPr>
            <w:r>
              <w:rPr>
                <w:rFonts w:ascii="Arial" w:cs="Arial" w:eastAsia="Arial" w:hAnsi="Arial"/>
                <w:sz w:val="11"/>
                <w:szCs w:val="11"/>
                <w:color w:val="003551"/>
              </w:rPr>
              <w:t>1,000,000</w:t>
            </w:r>
          </w:p>
        </w:tc>
        <w:tc>
          <w:tcPr>
            <w:tcW w:w="580" w:type="dxa"/>
            <w:vAlign w:val="bottom"/>
          </w:tcPr>
          <w:p>
            <w:pPr>
              <w:ind w:left="120"/>
              <w:spacing w:after="0"/>
              <w:rPr>
                <w:sz w:val="20"/>
                <w:szCs w:val="20"/>
                <w:color w:val="auto"/>
              </w:rPr>
            </w:pPr>
            <w:r>
              <w:rPr>
                <w:rFonts w:ascii="Arial" w:cs="Arial" w:eastAsia="Arial" w:hAnsi="Arial"/>
                <w:sz w:val="11"/>
                <w:szCs w:val="11"/>
                <w:color w:val="003551"/>
              </w:rPr>
              <w:t>—</w:t>
            </w:r>
          </w:p>
        </w:tc>
        <w:tc>
          <w:tcPr>
            <w:tcW w:w="980" w:type="dxa"/>
            <w:vAlign w:val="bottom"/>
          </w:tcPr>
          <w:p>
            <w:pPr>
              <w:ind w:left="360"/>
              <w:spacing w:after="0"/>
              <w:rPr>
                <w:sz w:val="20"/>
                <w:szCs w:val="20"/>
                <w:color w:val="auto"/>
              </w:rPr>
            </w:pPr>
            <w:r>
              <w:rPr>
                <w:rFonts w:ascii="Arial" w:cs="Arial" w:eastAsia="Arial" w:hAnsi="Arial"/>
                <w:sz w:val="11"/>
                <w:szCs w:val="11"/>
                <w:color w:val="003551"/>
              </w:rPr>
              <w:t>—</w:t>
            </w:r>
          </w:p>
        </w:tc>
        <w:tc>
          <w:tcPr>
            <w:tcW w:w="520" w:type="dxa"/>
            <w:vAlign w:val="bottom"/>
          </w:tcPr>
          <w:p>
            <w:pPr>
              <w:ind w:left="120"/>
              <w:spacing w:after="0"/>
              <w:rPr>
                <w:sz w:val="20"/>
                <w:szCs w:val="20"/>
                <w:color w:val="auto"/>
              </w:rPr>
            </w:pPr>
            <w:r>
              <w:rPr>
                <w:rFonts w:ascii="Arial" w:cs="Arial" w:eastAsia="Arial" w:hAnsi="Arial"/>
                <w:sz w:val="11"/>
                <w:szCs w:val="11"/>
                <w:color w:val="003551"/>
              </w:rPr>
              <w:t>$3.27</w:t>
            </w:r>
          </w:p>
        </w:tc>
        <w:tc>
          <w:tcPr>
            <w:tcW w:w="640" w:type="dxa"/>
            <w:vAlign w:val="bottom"/>
          </w:tcPr>
          <w:p>
            <w:pPr>
              <w:ind w:left="120"/>
              <w:spacing w:after="0"/>
              <w:rPr>
                <w:sz w:val="20"/>
                <w:szCs w:val="20"/>
                <w:color w:val="auto"/>
              </w:rPr>
            </w:pPr>
            <w:r>
              <w:rPr>
                <w:rFonts w:ascii="Arial" w:cs="Arial" w:eastAsia="Arial" w:hAnsi="Arial"/>
                <w:sz w:val="11"/>
                <w:szCs w:val="11"/>
                <w:color w:val="003551"/>
              </w:rPr>
              <w:t>12/20/25</w:t>
            </w:r>
          </w:p>
        </w:tc>
        <w:tc>
          <w:tcPr>
            <w:tcW w:w="660" w:type="dxa"/>
            <w:vAlign w:val="bottom"/>
          </w:tcPr>
          <w:p>
            <w:pPr>
              <w:ind w:left="100"/>
              <w:spacing w:after="0"/>
              <w:rPr>
                <w:sz w:val="20"/>
                <w:szCs w:val="20"/>
                <w:color w:val="auto"/>
              </w:rPr>
            </w:pPr>
            <w:r>
              <w:rPr>
                <w:rFonts w:ascii="Arial" w:cs="Arial" w:eastAsia="Arial" w:hAnsi="Arial"/>
                <w:sz w:val="11"/>
                <w:szCs w:val="11"/>
                <w:color w:val="003551"/>
              </w:rPr>
              <w:t>—</w:t>
            </w:r>
          </w:p>
        </w:tc>
        <w:tc>
          <w:tcPr>
            <w:tcW w:w="780" w:type="dxa"/>
            <w:vAlign w:val="bottom"/>
          </w:tcPr>
          <w:p>
            <w:pPr>
              <w:ind w:left="40"/>
              <w:spacing w:after="0"/>
              <w:rPr>
                <w:sz w:val="20"/>
                <w:szCs w:val="20"/>
                <w:color w:val="auto"/>
              </w:rPr>
            </w:pPr>
            <w:r>
              <w:rPr>
                <w:rFonts w:ascii="Arial" w:cs="Arial" w:eastAsia="Arial" w:hAnsi="Arial"/>
                <w:sz w:val="11"/>
                <w:szCs w:val="11"/>
                <w:color w:val="003551"/>
              </w:rPr>
              <w:t>—</w:t>
            </w:r>
          </w:p>
        </w:tc>
        <w:tc>
          <w:tcPr>
            <w:tcW w:w="660" w:type="dxa"/>
            <w:vAlign w:val="bottom"/>
          </w:tcPr>
          <w:p>
            <w:pPr>
              <w:ind w:left="80"/>
              <w:spacing w:after="0"/>
              <w:rPr>
                <w:sz w:val="20"/>
                <w:szCs w:val="20"/>
                <w:color w:val="auto"/>
              </w:rPr>
            </w:pPr>
            <w:r>
              <w:rPr>
                <w:rFonts w:ascii="Arial" w:cs="Arial" w:eastAsia="Arial" w:hAnsi="Arial"/>
                <w:sz w:val="11"/>
                <w:szCs w:val="11"/>
                <w:color w:val="003551"/>
              </w:rPr>
              <w:t>—</w:t>
            </w:r>
          </w:p>
        </w:tc>
        <w:tc>
          <w:tcPr>
            <w:tcW w:w="700" w:type="dxa"/>
            <w:vAlign w:val="bottom"/>
          </w:tcPr>
          <w:p>
            <w:pPr>
              <w:spacing w:after="0"/>
              <w:rPr>
                <w:sz w:val="21"/>
                <w:szCs w:val="21"/>
                <w:color w:val="auto"/>
              </w:rPr>
            </w:pPr>
          </w:p>
        </w:tc>
      </w:tr>
      <w:tr>
        <w:trPr>
          <w:trHeight w:val="223"/>
        </w:trPr>
        <w:tc>
          <w:tcPr>
            <w:tcW w:w="840" w:type="dxa"/>
            <w:vAlign w:val="bottom"/>
          </w:tcPr>
          <w:p>
            <w:pPr>
              <w:spacing w:after="0"/>
              <w:rPr>
                <w:sz w:val="20"/>
                <w:szCs w:val="20"/>
                <w:color w:val="auto"/>
              </w:rPr>
            </w:pPr>
            <w:r>
              <w:rPr>
                <w:rFonts w:ascii="Arial" w:cs="Arial" w:eastAsia="Arial" w:hAnsi="Arial"/>
                <w:sz w:val="11"/>
                <w:szCs w:val="11"/>
                <w:color w:val="003551"/>
              </w:rPr>
              <w:t>9/14/21</w:t>
            </w:r>
            <w:r>
              <w:rPr>
                <w:rFonts w:ascii="Arial" w:cs="Arial" w:eastAsia="Arial" w:hAnsi="Arial"/>
                <w:sz w:val="18"/>
                <w:szCs w:val="18"/>
                <w:color w:val="003551"/>
                <w:vertAlign w:val="superscript"/>
              </w:rPr>
              <w:t>(3)</w:t>
            </w:r>
          </w:p>
        </w:tc>
        <w:tc>
          <w:tcPr>
            <w:tcW w:w="900" w:type="dxa"/>
            <w:vAlign w:val="bottom"/>
          </w:tcPr>
          <w:p>
            <w:pPr>
              <w:ind w:left="280"/>
              <w:spacing w:after="0"/>
              <w:rPr>
                <w:sz w:val="20"/>
                <w:szCs w:val="20"/>
                <w:color w:val="auto"/>
              </w:rPr>
            </w:pPr>
            <w:r>
              <w:rPr>
                <w:rFonts w:ascii="Arial" w:cs="Arial" w:eastAsia="Arial" w:hAnsi="Arial"/>
                <w:sz w:val="11"/>
                <w:szCs w:val="11"/>
                <w:color w:val="003551"/>
              </w:rPr>
              <w:t>—</w:t>
            </w:r>
          </w:p>
        </w:tc>
        <w:tc>
          <w:tcPr>
            <w:tcW w:w="580" w:type="dxa"/>
            <w:vAlign w:val="bottom"/>
          </w:tcPr>
          <w:p>
            <w:pPr>
              <w:ind w:left="120"/>
              <w:spacing w:after="0"/>
              <w:rPr>
                <w:sz w:val="20"/>
                <w:szCs w:val="20"/>
                <w:color w:val="auto"/>
              </w:rPr>
            </w:pPr>
            <w:r>
              <w:rPr>
                <w:rFonts w:ascii="Arial" w:cs="Arial" w:eastAsia="Arial" w:hAnsi="Arial"/>
                <w:sz w:val="11"/>
                <w:szCs w:val="11"/>
                <w:color w:val="003551"/>
              </w:rPr>
              <w:t>—</w:t>
            </w:r>
          </w:p>
        </w:tc>
        <w:tc>
          <w:tcPr>
            <w:tcW w:w="980" w:type="dxa"/>
            <w:vAlign w:val="bottom"/>
          </w:tcPr>
          <w:p>
            <w:pPr>
              <w:ind w:left="360"/>
              <w:spacing w:after="0"/>
              <w:rPr>
                <w:sz w:val="20"/>
                <w:szCs w:val="20"/>
                <w:color w:val="auto"/>
              </w:rPr>
            </w:pPr>
            <w:r>
              <w:rPr>
                <w:rFonts w:ascii="Arial" w:cs="Arial" w:eastAsia="Arial" w:hAnsi="Arial"/>
                <w:sz w:val="11"/>
                <w:szCs w:val="11"/>
                <w:color w:val="003551"/>
              </w:rPr>
              <w:t>2,400,000</w:t>
            </w:r>
          </w:p>
        </w:tc>
        <w:tc>
          <w:tcPr>
            <w:tcW w:w="520" w:type="dxa"/>
            <w:vAlign w:val="bottom"/>
          </w:tcPr>
          <w:p>
            <w:pPr>
              <w:ind w:left="120"/>
              <w:spacing w:after="0"/>
              <w:rPr>
                <w:sz w:val="20"/>
                <w:szCs w:val="20"/>
                <w:color w:val="auto"/>
              </w:rPr>
            </w:pPr>
            <w:r>
              <w:rPr>
                <w:rFonts w:ascii="Arial" w:cs="Arial" w:eastAsia="Arial" w:hAnsi="Arial"/>
                <w:sz w:val="11"/>
                <w:szCs w:val="11"/>
                <w:color w:val="003551"/>
              </w:rPr>
              <w:t>$75</w:t>
            </w:r>
          </w:p>
        </w:tc>
        <w:tc>
          <w:tcPr>
            <w:tcW w:w="640" w:type="dxa"/>
            <w:vAlign w:val="bottom"/>
          </w:tcPr>
          <w:p>
            <w:pPr>
              <w:ind w:left="120"/>
              <w:spacing w:after="0"/>
              <w:rPr>
                <w:sz w:val="20"/>
                <w:szCs w:val="20"/>
                <w:color w:val="auto"/>
              </w:rPr>
            </w:pPr>
            <w:r>
              <w:rPr>
                <w:rFonts w:ascii="Arial" w:cs="Arial" w:eastAsia="Arial" w:hAnsi="Arial"/>
                <w:sz w:val="11"/>
                <w:szCs w:val="11"/>
                <w:color w:val="003551"/>
              </w:rPr>
              <w:t>8/18/33</w:t>
            </w:r>
          </w:p>
        </w:tc>
        <w:tc>
          <w:tcPr>
            <w:tcW w:w="660" w:type="dxa"/>
            <w:vAlign w:val="bottom"/>
          </w:tcPr>
          <w:p>
            <w:pPr>
              <w:ind w:left="100"/>
              <w:spacing w:after="0"/>
              <w:rPr>
                <w:sz w:val="20"/>
                <w:szCs w:val="20"/>
                <w:color w:val="auto"/>
              </w:rPr>
            </w:pPr>
            <w:r>
              <w:rPr>
                <w:rFonts w:ascii="Arial" w:cs="Arial" w:eastAsia="Arial" w:hAnsi="Arial"/>
                <w:sz w:val="11"/>
                <w:szCs w:val="11"/>
                <w:color w:val="003551"/>
              </w:rPr>
              <w:t>—</w:t>
            </w:r>
          </w:p>
        </w:tc>
        <w:tc>
          <w:tcPr>
            <w:tcW w:w="780" w:type="dxa"/>
            <w:vAlign w:val="bottom"/>
          </w:tcPr>
          <w:p>
            <w:pPr>
              <w:ind w:left="40"/>
              <w:spacing w:after="0"/>
              <w:rPr>
                <w:sz w:val="20"/>
                <w:szCs w:val="20"/>
                <w:color w:val="auto"/>
              </w:rPr>
            </w:pPr>
            <w:r>
              <w:rPr>
                <w:rFonts w:ascii="Arial" w:cs="Arial" w:eastAsia="Arial" w:hAnsi="Arial"/>
                <w:sz w:val="11"/>
                <w:szCs w:val="11"/>
                <w:color w:val="003551"/>
              </w:rPr>
              <w:t>—</w:t>
            </w:r>
          </w:p>
        </w:tc>
        <w:tc>
          <w:tcPr>
            <w:tcW w:w="660" w:type="dxa"/>
            <w:vAlign w:val="bottom"/>
          </w:tcPr>
          <w:p>
            <w:pPr>
              <w:ind w:left="80"/>
              <w:spacing w:after="0"/>
              <w:rPr>
                <w:sz w:val="20"/>
                <w:szCs w:val="20"/>
                <w:color w:val="auto"/>
              </w:rPr>
            </w:pPr>
            <w:r>
              <w:rPr>
                <w:rFonts w:ascii="Arial" w:cs="Arial" w:eastAsia="Arial" w:hAnsi="Arial"/>
                <w:sz w:val="11"/>
                <w:szCs w:val="11"/>
                <w:color w:val="003551"/>
              </w:rPr>
              <w:t>—</w:t>
            </w:r>
          </w:p>
        </w:tc>
        <w:tc>
          <w:tcPr>
            <w:tcW w:w="700" w:type="dxa"/>
            <w:vAlign w:val="bottom"/>
          </w:tcPr>
          <w:p>
            <w:pPr>
              <w:ind w:left="80"/>
              <w:spacing w:after="0"/>
              <w:rPr>
                <w:sz w:val="20"/>
                <w:szCs w:val="20"/>
                <w:color w:val="auto"/>
              </w:rPr>
            </w:pPr>
            <w:r>
              <w:rPr>
                <w:rFonts w:ascii="Arial" w:cs="Arial" w:eastAsia="Arial" w:hAnsi="Arial"/>
                <w:sz w:val="11"/>
                <w:szCs w:val="11"/>
                <w:color w:val="003551"/>
              </w:rPr>
              <w:t>—</w:t>
            </w:r>
          </w:p>
        </w:tc>
      </w:tr>
      <w:tr>
        <w:trPr>
          <w:trHeight w:val="223"/>
        </w:trPr>
        <w:tc>
          <w:tcPr>
            <w:tcW w:w="840" w:type="dxa"/>
            <w:vAlign w:val="bottom"/>
          </w:tcPr>
          <w:p>
            <w:pPr>
              <w:spacing w:after="0"/>
              <w:rPr>
                <w:sz w:val="20"/>
                <w:szCs w:val="20"/>
                <w:color w:val="auto"/>
              </w:rPr>
            </w:pPr>
            <w:r>
              <w:rPr>
                <w:rFonts w:ascii="Arial" w:cs="Arial" w:eastAsia="Arial" w:hAnsi="Arial"/>
                <w:sz w:val="11"/>
                <w:szCs w:val="11"/>
                <w:color w:val="003551"/>
              </w:rPr>
              <w:t>7/1/22</w:t>
            </w:r>
            <w:r>
              <w:rPr>
                <w:rFonts w:ascii="Arial" w:cs="Arial" w:eastAsia="Arial" w:hAnsi="Arial"/>
                <w:sz w:val="18"/>
                <w:szCs w:val="18"/>
                <w:color w:val="003551"/>
                <w:vertAlign w:val="superscript"/>
              </w:rPr>
              <w:t>(4)</w:t>
            </w:r>
          </w:p>
        </w:tc>
        <w:tc>
          <w:tcPr>
            <w:tcW w:w="900" w:type="dxa"/>
            <w:vAlign w:val="bottom"/>
          </w:tcPr>
          <w:p>
            <w:pPr>
              <w:ind w:left="280"/>
              <w:spacing w:after="0"/>
              <w:rPr>
                <w:sz w:val="20"/>
                <w:szCs w:val="20"/>
                <w:color w:val="auto"/>
              </w:rPr>
            </w:pPr>
            <w:r>
              <w:rPr>
                <w:rFonts w:ascii="Arial" w:cs="Arial" w:eastAsia="Arial" w:hAnsi="Arial"/>
                <w:sz w:val="11"/>
                <w:szCs w:val="11"/>
                <w:color w:val="003551"/>
              </w:rPr>
              <w:t>—</w:t>
            </w:r>
          </w:p>
        </w:tc>
        <w:tc>
          <w:tcPr>
            <w:tcW w:w="580" w:type="dxa"/>
            <w:vAlign w:val="bottom"/>
          </w:tcPr>
          <w:p>
            <w:pPr>
              <w:ind w:left="120"/>
              <w:spacing w:after="0"/>
              <w:rPr>
                <w:sz w:val="20"/>
                <w:szCs w:val="20"/>
                <w:color w:val="auto"/>
              </w:rPr>
            </w:pPr>
            <w:r>
              <w:rPr>
                <w:rFonts w:ascii="Arial" w:cs="Arial" w:eastAsia="Arial" w:hAnsi="Arial"/>
                <w:sz w:val="11"/>
                <w:szCs w:val="11"/>
                <w:color w:val="003551"/>
              </w:rPr>
              <w:t>—</w:t>
            </w:r>
          </w:p>
        </w:tc>
        <w:tc>
          <w:tcPr>
            <w:tcW w:w="980" w:type="dxa"/>
            <w:vAlign w:val="bottom"/>
          </w:tcPr>
          <w:p>
            <w:pPr>
              <w:ind w:left="360"/>
              <w:spacing w:after="0"/>
              <w:rPr>
                <w:sz w:val="20"/>
                <w:szCs w:val="20"/>
                <w:color w:val="auto"/>
              </w:rPr>
            </w:pPr>
            <w:r>
              <w:rPr>
                <w:rFonts w:ascii="Arial" w:cs="Arial" w:eastAsia="Arial" w:hAnsi="Arial"/>
                <w:sz w:val="11"/>
                <w:szCs w:val="11"/>
                <w:color w:val="003551"/>
              </w:rPr>
              <w:t>—</w:t>
            </w:r>
          </w:p>
        </w:tc>
        <w:tc>
          <w:tcPr>
            <w:tcW w:w="520" w:type="dxa"/>
            <w:vAlign w:val="bottom"/>
          </w:tcPr>
          <w:p>
            <w:pPr>
              <w:ind w:left="120"/>
              <w:spacing w:after="0"/>
              <w:rPr>
                <w:sz w:val="20"/>
                <w:szCs w:val="20"/>
                <w:color w:val="auto"/>
              </w:rPr>
            </w:pPr>
            <w:r>
              <w:rPr>
                <w:rFonts w:ascii="Arial" w:cs="Arial" w:eastAsia="Arial" w:hAnsi="Arial"/>
                <w:sz w:val="11"/>
                <w:szCs w:val="11"/>
                <w:color w:val="003551"/>
              </w:rPr>
              <w:t>—</w:t>
            </w:r>
          </w:p>
        </w:tc>
        <w:tc>
          <w:tcPr>
            <w:tcW w:w="640" w:type="dxa"/>
            <w:vAlign w:val="bottom"/>
          </w:tcPr>
          <w:p>
            <w:pPr>
              <w:ind w:left="120"/>
              <w:spacing w:after="0"/>
              <w:rPr>
                <w:sz w:val="20"/>
                <w:szCs w:val="20"/>
                <w:color w:val="auto"/>
              </w:rPr>
            </w:pPr>
            <w:r>
              <w:rPr>
                <w:rFonts w:ascii="Arial" w:cs="Arial" w:eastAsia="Arial" w:hAnsi="Arial"/>
                <w:sz w:val="11"/>
                <w:szCs w:val="11"/>
                <w:color w:val="003551"/>
              </w:rPr>
              <w:t>—</w:t>
            </w:r>
          </w:p>
        </w:tc>
        <w:tc>
          <w:tcPr>
            <w:tcW w:w="660" w:type="dxa"/>
            <w:vAlign w:val="bottom"/>
          </w:tcPr>
          <w:p>
            <w:pPr>
              <w:ind w:left="100"/>
              <w:spacing w:after="0"/>
              <w:rPr>
                <w:sz w:val="20"/>
                <w:szCs w:val="20"/>
                <w:color w:val="auto"/>
              </w:rPr>
            </w:pPr>
            <w:r>
              <w:rPr>
                <w:rFonts w:ascii="Arial" w:cs="Arial" w:eastAsia="Arial" w:hAnsi="Arial"/>
                <w:sz w:val="11"/>
                <w:szCs w:val="11"/>
                <w:color w:val="003551"/>
              </w:rPr>
              <w:t>489,009</w:t>
            </w:r>
          </w:p>
        </w:tc>
        <w:tc>
          <w:tcPr>
            <w:tcW w:w="780" w:type="dxa"/>
            <w:vAlign w:val="bottom"/>
          </w:tcPr>
          <w:p>
            <w:pPr>
              <w:ind w:left="40"/>
              <w:spacing w:after="0"/>
              <w:rPr>
                <w:sz w:val="20"/>
                <w:szCs w:val="20"/>
                <w:color w:val="auto"/>
              </w:rPr>
            </w:pPr>
            <w:r>
              <w:rPr>
                <w:rFonts w:ascii="Arial" w:cs="Arial" w:eastAsia="Arial" w:hAnsi="Arial"/>
                <w:sz w:val="11"/>
                <w:szCs w:val="11"/>
                <w:color w:val="003551"/>
              </w:rPr>
              <w:t>$7,124,861</w:t>
            </w:r>
          </w:p>
        </w:tc>
        <w:tc>
          <w:tcPr>
            <w:tcW w:w="660" w:type="dxa"/>
            <w:vAlign w:val="bottom"/>
          </w:tcPr>
          <w:p>
            <w:pPr>
              <w:ind w:left="80"/>
              <w:spacing w:after="0"/>
              <w:rPr>
                <w:sz w:val="20"/>
                <w:szCs w:val="20"/>
                <w:color w:val="auto"/>
              </w:rPr>
            </w:pPr>
            <w:r>
              <w:rPr>
                <w:rFonts w:ascii="Arial" w:cs="Arial" w:eastAsia="Arial" w:hAnsi="Arial"/>
                <w:sz w:val="11"/>
                <w:szCs w:val="11"/>
                <w:color w:val="003551"/>
              </w:rPr>
              <w:t>—</w:t>
            </w:r>
          </w:p>
        </w:tc>
        <w:tc>
          <w:tcPr>
            <w:tcW w:w="700" w:type="dxa"/>
            <w:vAlign w:val="bottom"/>
          </w:tcPr>
          <w:p>
            <w:pPr>
              <w:ind w:left="80"/>
              <w:spacing w:after="0"/>
              <w:rPr>
                <w:sz w:val="20"/>
                <w:szCs w:val="20"/>
                <w:color w:val="auto"/>
              </w:rPr>
            </w:pPr>
            <w:r>
              <w:rPr>
                <w:rFonts w:ascii="Arial" w:cs="Arial" w:eastAsia="Arial" w:hAnsi="Arial"/>
                <w:sz w:val="11"/>
                <w:szCs w:val="11"/>
                <w:color w:val="003551"/>
              </w:rPr>
              <w:t>—</w:t>
            </w:r>
          </w:p>
        </w:tc>
      </w:tr>
      <w:tr>
        <w:trPr>
          <w:trHeight w:val="223"/>
        </w:trPr>
        <w:tc>
          <w:tcPr>
            <w:tcW w:w="840" w:type="dxa"/>
            <w:vAlign w:val="bottom"/>
          </w:tcPr>
          <w:p>
            <w:pPr>
              <w:spacing w:after="0"/>
              <w:rPr>
                <w:sz w:val="20"/>
                <w:szCs w:val="20"/>
                <w:color w:val="auto"/>
              </w:rPr>
            </w:pPr>
            <w:r>
              <w:rPr>
                <w:rFonts w:ascii="Arial" w:cs="Arial" w:eastAsia="Arial" w:hAnsi="Arial"/>
                <w:sz w:val="11"/>
                <w:szCs w:val="11"/>
                <w:color w:val="003551"/>
              </w:rPr>
              <w:t>7/1/22</w:t>
            </w:r>
            <w:r>
              <w:rPr>
                <w:rFonts w:ascii="Arial" w:cs="Arial" w:eastAsia="Arial" w:hAnsi="Arial"/>
                <w:sz w:val="18"/>
                <w:szCs w:val="18"/>
                <w:color w:val="003551"/>
                <w:vertAlign w:val="superscript"/>
              </w:rPr>
              <w:t>(5)</w:t>
            </w:r>
          </w:p>
        </w:tc>
        <w:tc>
          <w:tcPr>
            <w:tcW w:w="900" w:type="dxa"/>
            <w:vAlign w:val="bottom"/>
          </w:tcPr>
          <w:p>
            <w:pPr>
              <w:ind w:left="280"/>
              <w:spacing w:after="0"/>
              <w:rPr>
                <w:sz w:val="20"/>
                <w:szCs w:val="20"/>
                <w:color w:val="auto"/>
              </w:rPr>
            </w:pPr>
            <w:r>
              <w:rPr>
                <w:rFonts w:ascii="Arial" w:cs="Arial" w:eastAsia="Arial" w:hAnsi="Arial"/>
                <w:sz w:val="11"/>
                <w:szCs w:val="11"/>
                <w:color w:val="003551"/>
              </w:rPr>
              <w:t>—</w:t>
            </w:r>
          </w:p>
        </w:tc>
        <w:tc>
          <w:tcPr>
            <w:tcW w:w="580" w:type="dxa"/>
            <w:vAlign w:val="bottom"/>
          </w:tcPr>
          <w:p>
            <w:pPr>
              <w:ind w:left="120"/>
              <w:spacing w:after="0"/>
              <w:rPr>
                <w:sz w:val="20"/>
                <w:szCs w:val="20"/>
                <w:color w:val="auto"/>
              </w:rPr>
            </w:pPr>
            <w:r>
              <w:rPr>
                <w:rFonts w:ascii="Arial" w:cs="Arial" w:eastAsia="Arial" w:hAnsi="Arial"/>
                <w:sz w:val="11"/>
                <w:szCs w:val="11"/>
                <w:color w:val="003551"/>
              </w:rPr>
              <w:t>—</w:t>
            </w:r>
          </w:p>
        </w:tc>
        <w:tc>
          <w:tcPr>
            <w:tcW w:w="980" w:type="dxa"/>
            <w:vAlign w:val="bottom"/>
          </w:tcPr>
          <w:p>
            <w:pPr>
              <w:ind w:left="360"/>
              <w:spacing w:after="0"/>
              <w:rPr>
                <w:sz w:val="20"/>
                <w:szCs w:val="20"/>
                <w:color w:val="auto"/>
              </w:rPr>
            </w:pPr>
            <w:r>
              <w:rPr>
                <w:rFonts w:ascii="Arial" w:cs="Arial" w:eastAsia="Arial" w:hAnsi="Arial"/>
                <w:sz w:val="11"/>
                <w:szCs w:val="11"/>
                <w:color w:val="003551"/>
              </w:rPr>
              <w:t>—</w:t>
            </w:r>
          </w:p>
        </w:tc>
        <w:tc>
          <w:tcPr>
            <w:tcW w:w="520" w:type="dxa"/>
            <w:vAlign w:val="bottom"/>
          </w:tcPr>
          <w:p>
            <w:pPr>
              <w:ind w:left="120"/>
              <w:spacing w:after="0"/>
              <w:rPr>
                <w:sz w:val="20"/>
                <w:szCs w:val="20"/>
                <w:color w:val="auto"/>
              </w:rPr>
            </w:pPr>
            <w:r>
              <w:rPr>
                <w:rFonts w:ascii="Arial" w:cs="Arial" w:eastAsia="Arial" w:hAnsi="Arial"/>
                <w:sz w:val="11"/>
                <w:szCs w:val="11"/>
                <w:color w:val="003551"/>
              </w:rPr>
              <w:t>—</w:t>
            </w:r>
          </w:p>
        </w:tc>
        <w:tc>
          <w:tcPr>
            <w:tcW w:w="640" w:type="dxa"/>
            <w:vAlign w:val="bottom"/>
          </w:tcPr>
          <w:p>
            <w:pPr>
              <w:ind w:left="120"/>
              <w:spacing w:after="0"/>
              <w:rPr>
                <w:sz w:val="20"/>
                <w:szCs w:val="20"/>
                <w:color w:val="auto"/>
              </w:rPr>
            </w:pPr>
            <w:r>
              <w:rPr>
                <w:rFonts w:ascii="Arial" w:cs="Arial" w:eastAsia="Arial" w:hAnsi="Arial"/>
                <w:sz w:val="11"/>
                <w:szCs w:val="11"/>
                <w:color w:val="003551"/>
              </w:rPr>
              <w:t>—</w:t>
            </w:r>
          </w:p>
        </w:tc>
        <w:tc>
          <w:tcPr>
            <w:tcW w:w="660" w:type="dxa"/>
            <w:vAlign w:val="bottom"/>
          </w:tcPr>
          <w:p>
            <w:pPr>
              <w:ind w:left="100"/>
              <w:spacing w:after="0"/>
              <w:rPr>
                <w:sz w:val="20"/>
                <w:szCs w:val="20"/>
                <w:color w:val="auto"/>
              </w:rPr>
            </w:pPr>
            <w:r>
              <w:rPr>
                <w:rFonts w:ascii="Arial" w:cs="Arial" w:eastAsia="Arial" w:hAnsi="Arial"/>
                <w:sz w:val="11"/>
                <w:szCs w:val="11"/>
                <w:color w:val="003551"/>
              </w:rPr>
              <w:t>—</w:t>
            </w:r>
          </w:p>
        </w:tc>
        <w:tc>
          <w:tcPr>
            <w:tcW w:w="780" w:type="dxa"/>
            <w:vAlign w:val="bottom"/>
          </w:tcPr>
          <w:p>
            <w:pPr>
              <w:ind w:left="40"/>
              <w:spacing w:after="0"/>
              <w:rPr>
                <w:sz w:val="20"/>
                <w:szCs w:val="20"/>
                <w:color w:val="auto"/>
              </w:rPr>
            </w:pPr>
            <w:r>
              <w:rPr>
                <w:rFonts w:ascii="Arial" w:cs="Arial" w:eastAsia="Arial" w:hAnsi="Arial"/>
                <w:sz w:val="11"/>
                <w:szCs w:val="11"/>
                <w:color w:val="003551"/>
              </w:rPr>
              <w:t>—</w:t>
            </w:r>
          </w:p>
        </w:tc>
        <w:tc>
          <w:tcPr>
            <w:tcW w:w="660" w:type="dxa"/>
            <w:vAlign w:val="bottom"/>
          </w:tcPr>
          <w:p>
            <w:pPr>
              <w:ind w:left="80"/>
              <w:spacing w:after="0"/>
              <w:rPr>
                <w:sz w:val="20"/>
                <w:szCs w:val="20"/>
                <w:color w:val="auto"/>
              </w:rPr>
            </w:pPr>
            <w:r>
              <w:rPr>
                <w:rFonts w:ascii="Arial" w:cs="Arial" w:eastAsia="Arial" w:hAnsi="Arial"/>
                <w:sz w:val="11"/>
                <w:szCs w:val="11"/>
                <w:color w:val="003551"/>
              </w:rPr>
              <w:t>45,844</w:t>
            </w:r>
          </w:p>
        </w:tc>
        <w:tc>
          <w:tcPr>
            <w:tcW w:w="700" w:type="dxa"/>
            <w:vAlign w:val="bottom"/>
          </w:tcPr>
          <w:p>
            <w:pPr>
              <w:ind w:left="80"/>
              <w:spacing w:after="0"/>
              <w:rPr>
                <w:sz w:val="20"/>
                <w:szCs w:val="20"/>
                <w:color w:val="auto"/>
              </w:rPr>
            </w:pPr>
            <w:r>
              <w:rPr>
                <w:rFonts w:ascii="Arial" w:cs="Arial" w:eastAsia="Arial" w:hAnsi="Arial"/>
                <w:sz w:val="11"/>
                <w:szCs w:val="11"/>
                <w:color w:val="003551"/>
              </w:rPr>
              <w:t>$667,947</w:t>
            </w:r>
          </w:p>
        </w:tc>
      </w:tr>
      <w:tr>
        <w:trPr>
          <w:trHeight w:val="223"/>
        </w:trPr>
        <w:tc>
          <w:tcPr>
            <w:tcW w:w="840" w:type="dxa"/>
            <w:vAlign w:val="bottom"/>
          </w:tcPr>
          <w:p>
            <w:pPr>
              <w:spacing w:after="0"/>
              <w:rPr>
                <w:sz w:val="20"/>
                <w:szCs w:val="20"/>
                <w:color w:val="auto"/>
              </w:rPr>
            </w:pPr>
            <w:r>
              <w:rPr>
                <w:rFonts w:ascii="Arial" w:cs="Arial" w:eastAsia="Arial" w:hAnsi="Arial"/>
                <w:sz w:val="11"/>
                <w:szCs w:val="11"/>
                <w:color w:val="003551"/>
              </w:rPr>
              <w:t>6/19/23</w:t>
            </w:r>
            <w:r>
              <w:rPr>
                <w:rFonts w:ascii="Arial" w:cs="Arial" w:eastAsia="Arial" w:hAnsi="Arial"/>
                <w:sz w:val="18"/>
                <w:szCs w:val="18"/>
                <w:color w:val="003551"/>
                <w:vertAlign w:val="superscript"/>
              </w:rPr>
              <w:t>(6)</w:t>
            </w:r>
          </w:p>
        </w:tc>
        <w:tc>
          <w:tcPr>
            <w:tcW w:w="900" w:type="dxa"/>
            <w:vAlign w:val="bottom"/>
          </w:tcPr>
          <w:p>
            <w:pPr>
              <w:ind w:left="280"/>
              <w:spacing w:after="0"/>
              <w:rPr>
                <w:sz w:val="20"/>
                <w:szCs w:val="20"/>
                <w:color w:val="auto"/>
              </w:rPr>
            </w:pPr>
            <w:r>
              <w:rPr>
                <w:rFonts w:ascii="Arial" w:cs="Arial" w:eastAsia="Arial" w:hAnsi="Arial"/>
                <w:sz w:val="11"/>
                <w:szCs w:val="11"/>
                <w:color w:val="003551"/>
              </w:rPr>
              <w:t>—</w:t>
            </w:r>
          </w:p>
        </w:tc>
        <w:tc>
          <w:tcPr>
            <w:tcW w:w="580" w:type="dxa"/>
            <w:vAlign w:val="bottom"/>
          </w:tcPr>
          <w:p>
            <w:pPr>
              <w:ind w:left="120"/>
              <w:spacing w:after="0"/>
              <w:rPr>
                <w:sz w:val="20"/>
                <w:szCs w:val="20"/>
                <w:color w:val="auto"/>
              </w:rPr>
            </w:pPr>
            <w:r>
              <w:rPr>
                <w:rFonts w:ascii="Arial" w:cs="Arial" w:eastAsia="Arial" w:hAnsi="Arial"/>
                <w:sz w:val="11"/>
                <w:szCs w:val="11"/>
                <w:color w:val="003551"/>
              </w:rPr>
              <w:t>—</w:t>
            </w:r>
          </w:p>
        </w:tc>
        <w:tc>
          <w:tcPr>
            <w:tcW w:w="980" w:type="dxa"/>
            <w:vAlign w:val="bottom"/>
          </w:tcPr>
          <w:p>
            <w:pPr>
              <w:ind w:left="360"/>
              <w:spacing w:after="0"/>
              <w:rPr>
                <w:sz w:val="20"/>
                <w:szCs w:val="20"/>
                <w:color w:val="auto"/>
              </w:rPr>
            </w:pPr>
            <w:r>
              <w:rPr>
                <w:rFonts w:ascii="Arial" w:cs="Arial" w:eastAsia="Arial" w:hAnsi="Arial"/>
                <w:sz w:val="11"/>
                <w:szCs w:val="11"/>
                <w:color w:val="003551"/>
              </w:rPr>
              <w:t>—</w:t>
            </w:r>
          </w:p>
        </w:tc>
        <w:tc>
          <w:tcPr>
            <w:tcW w:w="520" w:type="dxa"/>
            <w:vAlign w:val="bottom"/>
          </w:tcPr>
          <w:p>
            <w:pPr>
              <w:ind w:left="120"/>
              <w:spacing w:after="0"/>
              <w:rPr>
                <w:sz w:val="20"/>
                <w:szCs w:val="20"/>
                <w:color w:val="auto"/>
              </w:rPr>
            </w:pPr>
            <w:r>
              <w:rPr>
                <w:rFonts w:ascii="Arial" w:cs="Arial" w:eastAsia="Arial" w:hAnsi="Arial"/>
                <w:sz w:val="11"/>
                <w:szCs w:val="11"/>
                <w:color w:val="003551"/>
              </w:rPr>
              <w:t>—</w:t>
            </w:r>
          </w:p>
        </w:tc>
        <w:tc>
          <w:tcPr>
            <w:tcW w:w="640" w:type="dxa"/>
            <w:vAlign w:val="bottom"/>
          </w:tcPr>
          <w:p>
            <w:pPr>
              <w:ind w:left="120"/>
              <w:spacing w:after="0"/>
              <w:rPr>
                <w:sz w:val="20"/>
                <w:szCs w:val="20"/>
                <w:color w:val="auto"/>
              </w:rPr>
            </w:pPr>
            <w:r>
              <w:rPr>
                <w:rFonts w:ascii="Arial" w:cs="Arial" w:eastAsia="Arial" w:hAnsi="Arial"/>
                <w:sz w:val="11"/>
                <w:szCs w:val="11"/>
                <w:color w:val="003551"/>
              </w:rPr>
              <w:t>—</w:t>
            </w:r>
          </w:p>
        </w:tc>
        <w:tc>
          <w:tcPr>
            <w:tcW w:w="660" w:type="dxa"/>
            <w:vAlign w:val="bottom"/>
          </w:tcPr>
          <w:p>
            <w:pPr>
              <w:ind w:left="100"/>
              <w:spacing w:after="0"/>
              <w:rPr>
                <w:sz w:val="20"/>
                <w:szCs w:val="20"/>
                <w:color w:val="auto"/>
              </w:rPr>
            </w:pPr>
            <w:r>
              <w:rPr>
                <w:rFonts w:ascii="Arial" w:cs="Arial" w:eastAsia="Arial" w:hAnsi="Arial"/>
                <w:sz w:val="11"/>
                <w:szCs w:val="11"/>
                <w:color w:val="003551"/>
              </w:rPr>
              <w:t>475,444</w:t>
            </w:r>
          </w:p>
        </w:tc>
        <w:tc>
          <w:tcPr>
            <w:tcW w:w="780" w:type="dxa"/>
            <w:vAlign w:val="bottom"/>
          </w:tcPr>
          <w:p>
            <w:pPr>
              <w:ind w:left="40"/>
              <w:spacing w:after="0"/>
              <w:rPr>
                <w:sz w:val="20"/>
                <w:szCs w:val="20"/>
                <w:color w:val="auto"/>
              </w:rPr>
            </w:pPr>
            <w:r>
              <w:rPr>
                <w:rFonts w:ascii="Arial" w:cs="Arial" w:eastAsia="Arial" w:hAnsi="Arial"/>
                <w:sz w:val="11"/>
                <w:szCs w:val="11"/>
                <w:color w:val="003551"/>
              </w:rPr>
              <w:t>$6,927,219</w:t>
            </w:r>
          </w:p>
        </w:tc>
        <w:tc>
          <w:tcPr>
            <w:tcW w:w="660" w:type="dxa"/>
            <w:vAlign w:val="bottom"/>
          </w:tcPr>
          <w:p>
            <w:pPr>
              <w:ind w:left="80"/>
              <w:spacing w:after="0"/>
              <w:rPr>
                <w:sz w:val="20"/>
                <w:szCs w:val="20"/>
                <w:color w:val="auto"/>
              </w:rPr>
            </w:pPr>
            <w:r>
              <w:rPr>
                <w:rFonts w:ascii="Arial" w:cs="Arial" w:eastAsia="Arial" w:hAnsi="Arial"/>
                <w:sz w:val="11"/>
                <w:szCs w:val="11"/>
                <w:color w:val="003551"/>
              </w:rPr>
              <w:t>—</w:t>
            </w:r>
          </w:p>
        </w:tc>
        <w:tc>
          <w:tcPr>
            <w:tcW w:w="700" w:type="dxa"/>
            <w:vAlign w:val="bottom"/>
          </w:tcPr>
          <w:p>
            <w:pPr>
              <w:ind w:left="80"/>
              <w:spacing w:after="0"/>
              <w:rPr>
                <w:sz w:val="20"/>
                <w:szCs w:val="20"/>
                <w:color w:val="auto"/>
              </w:rPr>
            </w:pPr>
            <w:r>
              <w:rPr>
                <w:rFonts w:ascii="Arial" w:cs="Arial" w:eastAsia="Arial" w:hAnsi="Arial"/>
                <w:sz w:val="11"/>
                <w:szCs w:val="11"/>
                <w:color w:val="003551"/>
              </w:rPr>
              <w:t>—</w:t>
            </w:r>
          </w:p>
        </w:tc>
      </w:tr>
      <w:tr>
        <w:trPr>
          <w:trHeight w:val="223"/>
        </w:trPr>
        <w:tc>
          <w:tcPr>
            <w:tcW w:w="840" w:type="dxa"/>
            <w:vAlign w:val="bottom"/>
          </w:tcPr>
          <w:p>
            <w:pPr>
              <w:spacing w:after="0"/>
              <w:rPr>
                <w:sz w:val="20"/>
                <w:szCs w:val="20"/>
                <w:color w:val="auto"/>
              </w:rPr>
            </w:pPr>
            <w:r>
              <w:rPr>
                <w:rFonts w:ascii="Arial" w:cs="Arial" w:eastAsia="Arial" w:hAnsi="Arial"/>
                <w:sz w:val="11"/>
                <w:szCs w:val="11"/>
                <w:color w:val="003551"/>
              </w:rPr>
              <w:t>7/1/23</w:t>
            </w:r>
            <w:r>
              <w:rPr>
                <w:rFonts w:ascii="Arial" w:cs="Arial" w:eastAsia="Arial" w:hAnsi="Arial"/>
                <w:sz w:val="18"/>
                <w:szCs w:val="18"/>
                <w:color w:val="003551"/>
                <w:vertAlign w:val="superscript"/>
              </w:rPr>
              <w:t>(7)</w:t>
            </w:r>
          </w:p>
        </w:tc>
        <w:tc>
          <w:tcPr>
            <w:tcW w:w="900" w:type="dxa"/>
            <w:vAlign w:val="bottom"/>
          </w:tcPr>
          <w:p>
            <w:pPr>
              <w:ind w:left="280"/>
              <w:spacing w:after="0"/>
              <w:rPr>
                <w:sz w:val="20"/>
                <w:szCs w:val="20"/>
                <w:color w:val="auto"/>
              </w:rPr>
            </w:pPr>
            <w:r>
              <w:rPr>
                <w:rFonts w:ascii="Arial" w:cs="Arial" w:eastAsia="Arial" w:hAnsi="Arial"/>
                <w:sz w:val="11"/>
                <w:szCs w:val="11"/>
                <w:color w:val="003551"/>
              </w:rPr>
              <w:t>—</w:t>
            </w:r>
          </w:p>
        </w:tc>
        <w:tc>
          <w:tcPr>
            <w:tcW w:w="580" w:type="dxa"/>
            <w:vAlign w:val="bottom"/>
          </w:tcPr>
          <w:p>
            <w:pPr>
              <w:ind w:left="120"/>
              <w:spacing w:after="0"/>
              <w:rPr>
                <w:sz w:val="20"/>
                <w:szCs w:val="20"/>
                <w:color w:val="auto"/>
              </w:rPr>
            </w:pPr>
            <w:r>
              <w:rPr>
                <w:rFonts w:ascii="Arial" w:cs="Arial" w:eastAsia="Arial" w:hAnsi="Arial"/>
                <w:sz w:val="11"/>
                <w:szCs w:val="11"/>
                <w:color w:val="003551"/>
              </w:rPr>
              <w:t>—</w:t>
            </w:r>
          </w:p>
        </w:tc>
        <w:tc>
          <w:tcPr>
            <w:tcW w:w="980" w:type="dxa"/>
            <w:vAlign w:val="bottom"/>
          </w:tcPr>
          <w:p>
            <w:pPr>
              <w:ind w:left="360"/>
              <w:spacing w:after="0"/>
              <w:rPr>
                <w:sz w:val="20"/>
                <w:szCs w:val="20"/>
                <w:color w:val="auto"/>
              </w:rPr>
            </w:pPr>
            <w:r>
              <w:rPr>
                <w:rFonts w:ascii="Arial" w:cs="Arial" w:eastAsia="Arial" w:hAnsi="Arial"/>
                <w:sz w:val="11"/>
                <w:szCs w:val="11"/>
                <w:color w:val="003551"/>
              </w:rPr>
              <w:t>—</w:t>
            </w:r>
          </w:p>
        </w:tc>
        <w:tc>
          <w:tcPr>
            <w:tcW w:w="520" w:type="dxa"/>
            <w:vAlign w:val="bottom"/>
          </w:tcPr>
          <w:p>
            <w:pPr>
              <w:ind w:left="120"/>
              <w:spacing w:after="0"/>
              <w:rPr>
                <w:sz w:val="20"/>
                <w:szCs w:val="20"/>
                <w:color w:val="auto"/>
              </w:rPr>
            </w:pPr>
            <w:r>
              <w:rPr>
                <w:rFonts w:ascii="Arial" w:cs="Arial" w:eastAsia="Arial" w:hAnsi="Arial"/>
                <w:sz w:val="11"/>
                <w:szCs w:val="11"/>
                <w:color w:val="003551"/>
              </w:rPr>
              <w:t>—</w:t>
            </w:r>
          </w:p>
        </w:tc>
        <w:tc>
          <w:tcPr>
            <w:tcW w:w="640" w:type="dxa"/>
            <w:vAlign w:val="bottom"/>
          </w:tcPr>
          <w:p>
            <w:pPr>
              <w:ind w:left="120"/>
              <w:spacing w:after="0"/>
              <w:rPr>
                <w:sz w:val="20"/>
                <w:szCs w:val="20"/>
                <w:color w:val="auto"/>
              </w:rPr>
            </w:pPr>
            <w:r>
              <w:rPr>
                <w:rFonts w:ascii="Arial" w:cs="Arial" w:eastAsia="Arial" w:hAnsi="Arial"/>
                <w:sz w:val="11"/>
                <w:szCs w:val="11"/>
                <w:color w:val="003551"/>
              </w:rPr>
              <w:t>—</w:t>
            </w:r>
          </w:p>
        </w:tc>
        <w:tc>
          <w:tcPr>
            <w:tcW w:w="660" w:type="dxa"/>
            <w:vAlign w:val="bottom"/>
          </w:tcPr>
          <w:p>
            <w:pPr>
              <w:ind w:left="100"/>
              <w:spacing w:after="0"/>
              <w:rPr>
                <w:sz w:val="20"/>
                <w:szCs w:val="20"/>
                <w:color w:val="auto"/>
              </w:rPr>
            </w:pPr>
            <w:r>
              <w:rPr>
                <w:rFonts w:ascii="Arial" w:cs="Arial" w:eastAsia="Arial" w:hAnsi="Arial"/>
                <w:sz w:val="11"/>
                <w:szCs w:val="11"/>
                <w:color w:val="003551"/>
              </w:rPr>
              <w:t>271,546</w:t>
            </w:r>
          </w:p>
        </w:tc>
        <w:tc>
          <w:tcPr>
            <w:tcW w:w="780" w:type="dxa"/>
            <w:vAlign w:val="bottom"/>
          </w:tcPr>
          <w:p>
            <w:pPr>
              <w:ind w:left="40"/>
              <w:spacing w:after="0"/>
              <w:rPr>
                <w:sz w:val="20"/>
                <w:szCs w:val="20"/>
                <w:color w:val="auto"/>
              </w:rPr>
            </w:pPr>
            <w:r>
              <w:rPr>
                <w:rFonts w:ascii="Arial" w:cs="Arial" w:eastAsia="Arial" w:hAnsi="Arial"/>
                <w:sz w:val="11"/>
                <w:szCs w:val="11"/>
                <w:color w:val="003551"/>
              </w:rPr>
              <w:t>$3,956,425</w:t>
            </w:r>
          </w:p>
        </w:tc>
        <w:tc>
          <w:tcPr>
            <w:tcW w:w="660" w:type="dxa"/>
            <w:vAlign w:val="bottom"/>
          </w:tcPr>
          <w:p>
            <w:pPr>
              <w:ind w:left="80"/>
              <w:spacing w:after="0"/>
              <w:rPr>
                <w:sz w:val="20"/>
                <w:szCs w:val="20"/>
                <w:color w:val="auto"/>
              </w:rPr>
            </w:pPr>
            <w:r>
              <w:rPr>
                <w:rFonts w:ascii="Arial" w:cs="Arial" w:eastAsia="Arial" w:hAnsi="Arial"/>
                <w:sz w:val="11"/>
                <w:szCs w:val="11"/>
                <w:color w:val="003551"/>
              </w:rPr>
              <w:t>—</w:t>
            </w:r>
          </w:p>
        </w:tc>
        <w:tc>
          <w:tcPr>
            <w:tcW w:w="700" w:type="dxa"/>
            <w:vAlign w:val="bottom"/>
          </w:tcPr>
          <w:p>
            <w:pPr>
              <w:ind w:left="80"/>
              <w:spacing w:after="0"/>
              <w:rPr>
                <w:sz w:val="20"/>
                <w:szCs w:val="20"/>
                <w:color w:val="auto"/>
              </w:rPr>
            </w:pPr>
            <w:r>
              <w:rPr>
                <w:rFonts w:ascii="Arial" w:cs="Arial" w:eastAsia="Arial" w:hAnsi="Arial"/>
                <w:sz w:val="11"/>
                <w:szCs w:val="11"/>
                <w:color w:val="003551"/>
              </w:rPr>
              <w:t>—</w:t>
            </w:r>
          </w:p>
        </w:tc>
      </w:tr>
      <w:tr>
        <w:trPr>
          <w:trHeight w:val="223"/>
        </w:trPr>
        <w:tc>
          <w:tcPr>
            <w:tcW w:w="840" w:type="dxa"/>
            <w:vAlign w:val="bottom"/>
          </w:tcPr>
          <w:p>
            <w:pPr>
              <w:spacing w:after="0"/>
              <w:rPr>
                <w:sz w:val="20"/>
                <w:szCs w:val="20"/>
                <w:color w:val="auto"/>
              </w:rPr>
            </w:pPr>
            <w:r>
              <w:rPr>
                <w:rFonts w:ascii="Arial" w:cs="Arial" w:eastAsia="Arial" w:hAnsi="Arial"/>
                <w:sz w:val="11"/>
                <w:szCs w:val="11"/>
                <w:color w:val="003551"/>
              </w:rPr>
              <w:t>7/1/23</w:t>
            </w:r>
            <w:r>
              <w:rPr>
                <w:rFonts w:ascii="Arial" w:cs="Arial" w:eastAsia="Arial" w:hAnsi="Arial"/>
                <w:sz w:val="18"/>
                <w:szCs w:val="18"/>
                <w:color w:val="003551"/>
                <w:vertAlign w:val="superscript"/>
              </w:rPr>
              <w:t>(8)</w:t>
            </w:r>
          </w:p>
        </w:tc>
        <w:tc>
          <w:tcPr>
            <w:tcW w:w="900" w:type="dxa"/>
            <w:vAlign w:val="bottom"/>
          </w:tcPr>
          <w:p>
            <w:pPr>
              <w:ind w:left="280"/>
              <w:spacing w:after="0"/>
              <w:rPr>
                <w:sz w:val="20"/>
                <w:szCs w:val="20"/>
                <w:color w:val="auto"/>
              </w:rPr>
            </w:pPr>
            <w:r>
              <w:rPr>
                <w:rFonts w:ascii="Arial" w:cs="Arial" w:eastAsia="Arial" w:hAnsi="Arial"/>
                <w:sz w:val="11"/>
                <w:szCs w:val="11"/>
                <w:color w:val="003551"/>
              </w:rPr>
              <w:t>—</w:t>
            </w:r>
          </w:p>
        </w:tc>
        <w:tc>
          <w:tcPr>
            <w:tcW w:w="580" w:type="dxa"/>
            <w:vAlign w:val="bottom"/>
          </w:tcPr>
          <w:p>
            <w:pPr>
              <w:ind w:left="120"/>
              <w:spacing w:after="0"/>
              <w:rPr>
                <w:sz w:val="20"/>
                <w:szCs w:val="20"/>
                <w:color w:val="auto"/>
              </w:rPr>
            </w:pPr>
            <w:r>
              <w:rPr>
                <w:rFonts w:ascii="Arial" w:cs="Arial" w:eastAsia="Arial" w:hAnsi="Arial"/>
                <w:sz w:val="11"/>
                <w:szCs w:val="11"/>
                <w:color w:val="003551"/>
              </w:rPr>
              <w:t>—</w:t>
            </w:r>
          </w:p>
        </w:tc>
        <w:tc>
          <w:tcPr>
            <w:tcW w:w="980" w:type="dxa"/>
            <w:vAlign w:val="bottom"/>
          </w:tcPr>
          <w:p>
            <w:pPr>
              <w:ind w:left="360"/>
              <w:spacing w:after="0"/>
              <w:rPr>
                <w:sz w:val="20"/>
                <w:szCs w:val="20"/>
                <w:color w:val="auto"/>
              </w:rPr>
            </w:pPr>
            <w:r>
              <w:rPr>
                <w:rFonts w:ascii="Arial" w:cs="Arial" w:eastAsia="Arial" w:hAnsi="Arial"/>
                <w:sz w:val="11"/>
                <w:szCs w:val="11"/>
                <w:color w:val="003551"/>
              </w:rPr>
              <w:t>—</w:t>
            </w:r>
          </w:p>
        </w:tc>
        <w:tc>
          <w:tcPr>
            <w:tcW w:w="520" w:type="dxa"/>
            <w:vAlign w:val="bottom"/>
          </w:tcPr>
          <w:p>
            <w:pPr>
              <w:ind w:left="120"/>
              <w:spacing w:after="0"/>
              <w:rPr>
                <w:sz w:val="20"/>
                <w:szCs w:val="20"/>
                <w:color w:val="auto"/>
              </w:rPr>
            </w:pPr>
            <w:r>
              <w:rPr>
                <w:rFonts w:ascii="Arial" w:cs="Arial" w:eastAsia="Arial" w:hAnsi="Arial"/>
                <w:sz w:val="11"/>
                <w:szCs w:val="11"/>
                <w:color w:val="003551"/>
              </w:rPr>
              <w:t>—</w:t>
            </w:r>
          </w:p>
        </w:tc>
        <w:tc>
          <w:tcPr>
            <w:tcW w:w="640" w:type="dxa"/>
            <w:vAlign w:val="bottom"/>
          </w:tcPr>
          <w:p>
            <w:pPr>
              <w:ind w:left="120"/>
              <w:spacing w:after="0"/>
              <w:rPr>
                <w:sz w:val="20"/>
                <w:szCs w:val="20"/>
                <w:color w:val="auto"/>
              </w:rPr>
            </w:pPr>
            <w:r>
              <w:rPr>
                <w:rFonts w:ascii="Arial" w:cs="Arial" w:eastAsia="Arial" w:hAnsi="Arial"/>
                <w:sz w:val="11"/>
                <w:szCs w:val="11"/>
                <w:color w:val="003551"/>
              </w:rPr>
              <w:t>—</w:t>
            </w:r>
          </w:p>
        </w:tc>
        <w:tc>
          <w:tcPr>
            <w:tcW w:w="660" w:type="dxa"/>
            <w:vAlign w:val="bottom"/>
          </w:tcPr>
          <w:p>
            <w:pPr>
              <w:ind w:left="100"/>
              <w:spacing w:after="0"/>
              <w:rPr>
                <w:sz w:val="20"/>
                <w:szCs w:val="20"/>
                <w:color w:val="auto"/>
              </w:rPr>
            </w:pPr>
            <w:r>
              <w:rPr>
                <w:rFonts w:ascii="Arial" w:cs="Arial" w:eastAsia="Arial" w:hAnsi="Arial"/>
                <w:sz w:val="11"/>
                <w:szCs w:val="11"/>
                <w:color w:val="003551"/>
              </w:rPr>
              <w:t>—</w:t>
            </w:r>
          </w:p>
        </w:tc>
        <w:tc>
          <w:tcPr>
            <w:tcW w:w="780" w:type="dxa"/>
            <w:vAlign w:val="bottom"/>
          </w:tcPr>
          <w:p>
            <w:pPr>
              <w:ind w:left="40"/>
              <w:spacing w:after="0"/>
              <w:rPr>
                <w:sz w:val="20"/>
                <w:szCs w:val="20"/>
                <w:color w:val="auto"/>
              </w:rPr>
            </w:pPr>
            <w:r>
              <w:rPr>
                <w:rFonts w:ascii="Arial" w:cs="Arial" w:eastAsia="Arial" w:hAnsi="Arial"/>
                <w:sz w:val="11"/>
                <w:szCs w:val="11"/>
                <w:color w:val="003551"/>
              </w:rPr>
              <w:t>—</w:t>
            </w:r>
          </w:p>
        </w:tc>
        <w:tc>
          <w:tcPr>
            <w:tcW w:w="660" w:type="dxa"/>
            <w:vAlign w:val="bottom"/>
          </w:tcPr>
          <w:p>
            <w:pPr>
              <w:ind w:left="80"/>
              <w:spacing w:after="0"/>
              <w:rPr>
                <w:sz w:val="20"/>
                <w:szCs w:val="20"/>
                <w:color w:val="auto"/>
              </w:rPr>
            </w:pPr>
            <w:r>
              <w:rPr>
                <w:rFonts w:ascii="Arial" w:cs="Arial" w:eastAsia="Arial" w:hAnsi="Arial"/>
                <w:sz w:val="11"/>
                <w:szCs w:val="11"/>
                <w:color w:val="003551"/>
              </w:rPr>
              <w:t>529,275</w:t>
            </w:r>
          </w:p>
        </w:tc>
        <w:tc>
          <w:tcPr>
            <w:tcW w:w="700" w:type="dxa"/>
            <w:vAlign w:val="bottom"/>
          </w:tcPr>
          <w:p>
            <w:pPr>
              <w:ind w:left="80"/>
              <w:spacing w:after="0"/>
              <w:rPr>
                <w:sz w:val="20"/>
                <w:szCs w:val="20"/>
                <w:color w:val="auto"/>
              </w:rPr>
            </w:pPr>
            <w:r>
              <w:rPr>
                <w:rFonts w:ascii="Arial" w:cs="Arial" w:eastAsia="Arial" w:hAnsi="Arial"/>
                <w:sz w:val="11"/>
                <w:szCs w:val="11"/>
                <w:color w:val="003551"/>
              </w:rPr>
              <w:t>$7,711,537</w:t>
            </w:r>
          </w:p>
        </w:tc>
      </w:tr>
      <w:tr>
        <w:trPr>
          <w:trHeight w:val="223"/>
        </w:trPr>
        <w:tc>
          <w:tcPr>
            <w:tcW w:w="840" w:type="dxa"/>
            <w:vAlign w:val="bottom"/>
          </w:tcPr>
          <w:p>
            <w:pPr>
              <w:spacing w:after="0"/>
              <w:rPr>
                <w:sz w:val="20"/>
                <w:szCs w:val="20"/>
                <w:color w:val="auto"/>
              </w:rPr>
            </w:pPr>
            <w:r>
              <w:rPr>
                <w:rFonts w:ascii="Arial" w:cs="Arial" w:eastAsia="Arial" w:hAnsi="Arial"/>
                <w:sz w:val="11"/>
                <w:szCs w:val="11"/>
                <w:color w:val="003551"/>
              </w:rPr>
              <w:t>7/1/24</w:t>
            </w:r>
            <w:r>
              <w:rPr>
                <w:rFonts w:ascii="Arial" w:cs="Arial" w:eastAsia="Arial" w:hAnsi="Arial"/>
                <w:sz w:val="18"/>
                <w:szCs w:val="18"/>
                <w:color w:val="003551"/>
                <w:vertAlign w:val="superscript"/>
              </w:rPr>
              <w:t>(9)</w:t>
            </w:r>
          </w:p>
        </w:tc>
        <w:tc>
          <w:tcPr>
            <w:tcW w:w="900" w:type="dxa"/>
            <w:vAlign w:val="bottom"/>
          </w:tcPr>
          <w:p>
            <w:pPr>
              <w:ind w:left="280"/>
              <w:spacing w:after="0"/>
              <w:rPr>
                <w:sz w:val="20"/>
                <w:szCs w:val="20"/>
                <w:color w:val="auto"/>
              </w:rPr>
            </w:pPr>
            <w:r>
              <w:rPr>
                <w:rFonts w:ascii="Arial" w:cs="Arial" w:eastAsia="Arial" w:hAnsi="Arial"/>
                <w:sz w:val="11"/>
                <w:szCs w:val="11"/>
                <w:color w:val="003551"/>
              </w:rPr>
              <w:t>—</w:t>
            </w:r>
          </w:p>
        </w:tc>
        <w:tc>
          <w:tcPr>
            <w:tcW w:w="580" w:type="dxa"/>
            <w:vAlign w:val="bottom"/>
          </w:tcPr>
          <w:p>
            <w:pPr>
              <w:ind w:left="120"/>
              <w:spacing w:after="0"/>
              <w:rPr>
                <w:sz w:val="20"/>
                <w:szCs w:val="20"/>
                <w:color w:val="auto"/>
              </w:rPr>
            </w:pPr>
            <w:r>
              <w:rPr>
                <w:rFonts w:ascii="Arial" w:cs="Arial" w:eastAsia="Arial" w:hAnsi="Arial"/>
                <w:sz w:val="11"/>
                <w:szCs w:val="11"/>
                <w:color w:val="003551"/>
              </w:rPr>
              <w:t>—</w:t>
            </w:r>
          </w:p>
        </w:tc>
        <w:tc>
          <w:tcPr>
            <w:tcW w:w="980" w:type="dxa"/>
            <w:vAlign w:val="bottom"/>
          </w:tcPr>
          <w:p>
            <w:pPr>
              <w:ind w:left="360"/>
              <w:spacing w:after="0"/>
              <w:rPr>
                <w:sz w:val="20"/>
                <w:szCs w:val="20"/>
                <w:color w:val="auto"/>
              </w:rPr>
            </w:pPr>
            <w:r>
              <w:rPr>
                <w:rFonts w:ascii="Arial" w:cs="Arial" w:eastAsia="Arial" w:hAnsi="Arial"/>
                <w:sz w:val="11"/>
                <w:szCs w:val="11"/>
                <w:color w:val="003551"/>
              </w:rPr>
              <w:t>—</w:t>
            </w:r>
          </w:p>
        </w:tc>
        <w:tc>
          <w:tcPr>
            <w:tcW w:w="520" w:type="dxa"/>
            <w:vAlign w:val="bottom"/>
          </w:tcPr>
          <w:p>
            <w:pPr>
              <w:ind w:left="120"/>
              <w:spacing w:after="0"/>
              <w:rPr>
                <w:sz w:val="20"/>
                <w:szCs w:val="20"/>
                <w:color w:val="auto"/>
              </w:rPr>
            </w:pPr>
            <w:r>
              <w:rPr>
                <w:rFonts w:ascii="Arial" w:cs="Arial" w:eastAsia="Arial" w:hAnsi="Arial"/>
                <w:sz w:val="11"/>
                <w:szCs w:val="11"/>
                <w:color w:val="003551"/>
              </w:rPr>
              <w:t>—</w:t>
            </w:r>
          </w:p>
        </w:tc>
        <w:tc>
          <w:tcPr>
            <w:tcW w:w="640" w:type="dxa"/>
            <w:vAlign w:val="bottom"/>
          </w:tcPr>
          <w:p>
            <w:pPr>
              <w:ind w:left="120"/>
              <w:spacing w:after="0"/>
              <w:rPr>
                <w:sz w:val="20"/>
                <w:szCs w:val="20"/>
                <w:color w:val="auto"/>
              </w:rPr>
            </w:pPr>
            <w:r>
              <w:rPr>
                <w:rFonts w:ascii="Arial" w:cs="Arial" w:eastAsia="Arial" w:hAnsi="Arial"/>
                <w:sz w:val="11"/>
                <w:szCs w:val="11"/>
                <w:color w:val="003551"/>
              </w:rPr>
              <w:t>—</w:t>
            </w:r>
          </w:p>
        </w:tc>
        <w:tc>
          <w:tcPr>
            <w:tcW w:w="660" w:type="dxa"/>
            <w:vAlign w:val="bottom"/>
          </w:tcPr>
          <w:p>
            <w:pPr>
              <w:ind w:left="100"/>
              <w:spacing w:after="0"/>
              <w:rPr>
                <w:sz w:val="20"/>
                <w:szCs w:val="20"/>
                <w:color w:val="auto"/>
              </w:rPr>
            </w:pPr>
            <w:r>
              <w:rPr>
                <w:rFonts w:ascii="Arial" w:cs="Arial" w:eastAsia="Arial" w:hAnsi="Arial"/>
                <w:sz w:val="11"/>
                <w:szCs w:val="11"/>
                <w:color w:val="003551"/>
              </w:rPr>
              <w:t>354,297</w:t>
            </w:r>
          </w:p>
        </w:tc>
        <w:tc>
          <w:tcPr>
            <w:tcW w:w="780" w:type="dxa"/>
            <w:vAlign w:val="bottom"/>
          </w:tcPr>
          <w:p>
            <w:pPr>
              <w:ind w:left="40"/>
              <w:spacing w:after="0"/>
              <w:rPr>
                <w:sz w:val="20"/>
                <w:szCs w:val="20"/>
                <w:color w:val="auto"/>
              </w:rPr>
            </w:pPr>
            <w:r>
              <w:rPr>
                <w:rFonts w:ascii="Arial" w:cs="Arial" w:eastAsia="Arial" w:hAnsi="Arial"/>
                <w:sz w:val="11"/>
                <w:szCs w:val="11"/>
                <w:color w:val="003551"/>
              </w:rPr>
              <w:t>$5,162,107</w:t>
            </w:r>
          </w:p>
        </w:tc>
        <w:tc>
          <w:tcPr>
            <w:tcW w:w="660" w:type="dxa"/>
            <w:vAlign w:val="bottom"/>
          </w:tcPr>
          <w:p>
            <w:pPr>
              <w:ind w:left="80"/>
              <w:spacing w:after="0"/>
              <w:rPr>
                <w:sz w:val="20"/>
                <w:szCs w:val="20"/>
                <w:color w:val="auto"/>
              </w:rPr>
            </w:pPr>
            <w:r>
              <w:rPr>
                <w:rFonts w:ascii="Arial" w:cs="Arial" w:eastAsia="Arial" w:hAnsi="Arial"/>
                <w:sz w:val="11"/>
                <w:szCs w:val="11"/>
                <w:color w:val="003551"/>
              </w:rPr>
              <w:t>—</w:t>
            </w:r>
          </w:p>
        </w:tc>
        <w:tc>
          <w:tcPr>
            <w:tcW w:w="700" w:type="dxa"/>
            <w:vAlign w:val="bottom"/>
          </w:tcPr>
          <w:p>
            <w:pPr>
              <w:ind w:left="80"/>
              <w:spacing w:after="0"/>
              <w:rPr>
                <w:sz w:val="20"/>
                <w:szCs w:val="20"/>
                <w:color w:val="auto"/>
              </w:rPr>
            </w:pPr>
            <w:r>
              <w:rPr>
                <w:rFonts w:ascii="Arial" w:cs="Arial" w:eastAsia="Arial" w:hAnsi="Arial"/>
                <w:sz w:val="11"/>
                <w:szCs w:val="11"/>
                <w:color w:val="003551"/>
              </w:rPr>
              <w:t>—</w:t>
            </w:r>
          </w:p>
        </w:tc>
      </w:tr>
      <w:tr>
        <w:trPr>
          <w:trHeight w:val="223"/>
        </w:trPr>
        <w:tc>
          <w:tcPr>
            <w:tcW w:w="840" w:type="dxa"/>
            <w:vAlign w:val="bottom"/>
          </w:tcPr>
          <w:p>
            <w:pPr>
              <w:spacing w:after="0"/>
              <w:rPr>
                <w:sz w:val="20"/>
                <w:szCs w:val="20"/>
                <w:color w:val="auto"/>
              </w:rPr>
            </w:pPr>
            <w:r>
              <w:rPr>
                <w:rFonts w:ascii="Arial" w:cs="Arial" w:eastAsia="Arial" w:hAnsi="Arial"/>
                <w:sz w:val="11"/>
                <w:szCs w:val="11"/>
                <w:color w:val="003551"/>
              </w:rPr>
              <w:t>7/1/24</w:t>
            </w:r>
            <w:r>
              <w:rPr>
                <w:rFonts w:ascii="Arial" w:cs="Arial" w:eastAsia="Arial" w:hAnsi="Arial"/>
                <w:sz w:val="18"/>
                <w:szCs w:val="18"/>
                <w:color w:val="003551"/>
                <w:vertAlign w:val="superscript"/>
              </w:rPr>
              <w:t>(10)</w:t>
            </w:r>
          </w:p>
        </w:tc>
        <w:tc>
          <w:tcPr>
            <w:tcW w:w="900" w:type="dxa"/>
            <w:vAlign w:val="bottom"/>
          </w:tcPr>
          <w:p>
            <w:pPr>
              <w:ind w:left="280"/>
              <w:spacing w:after="0"/>
              <w:rPr>
                <w:sz w:val="20"/>
                <w:szCs w:val="20"/>
                <w:color w:val="auto"/>
              </w:rPr>
            </w:pPr>
            <w:r>
              <w:rPr>
                <w:rFonts w:ascii="Arial" w:cs="Arial" w:eastAsia="Arial" w:hAnsi="Arial"/>
                <w:sz w:val="11"/>
                <w:szCs w:val="11"/>
                <w:color w:val="003551"/>
              </w:rPr>
              <w:t>—</w:t>
            </w:r>
          </w:p>
        </w:tc>
        <w:tc>
          <w:tcPr>
            <w:tcW w:w="580" w:type="dxa"/>
            <w:vAlign w:val="bottom"/>
          </w:tcPr>
          <w:p>
            <w:pPr>
              <w:ind w:left="120"/>
              <w:spacing w:after="0"/>
              <w:rPr>
                <w:sz w:val="20"/>
                <w:szCs w:val="20"/>
                <w:color w:val="auto"/>
              </w:rPr>
            </w:pPr>
            <w:r>
              <w:rPr>
                <w:rFonts w:ascii="Arial" w:cs="Arial" w:eastAsia="Arial" w:hAnsi="Arial"/>
                <w:sz w:val="11"/>
                <w:szCs w:val="11"/>
                <w:color w:val="003551"/>
              </w:rPr>
              <w:t>—</w:t>
            </w:r>
          </w:p>
        </w:tc>
        <w:tc>
          <w:tcPr>
            <w:tcW w:w="980" w:type="dxa"/>
            <w:vAlign w:val="bottom"/>
          </w:tcPr>
          <w:p>
            <w:pPr>
              <w:ind w:left="360"/>
              <w:spacing w:after="0"/>
              <w:rPr>
                <w:sz w:val="20"/>
                <w:szCs w:val="20"/>
                <w:color w:val="auto"/>
              </w:rPr>
            </w:pPr>
            <w:r>
              <w:rPr>
                <w:rFonts w:ascii="Arial" w:cs="Arial" w:eastAsia="Arial" w:hAnsi="Arial"/>
                <w:sz w:val="11"/>
                <w:szCs w:val="11"/>
                <w:color w:val="003551"/>
              </w:rPr>
              <w:t>—</w:t>
            </w:r>
          </w:p>
        </w:tc>
        <w:tc>
          <w:tcPr>
            <w:tcW w:w="520" w:type="dxa"/>
            <w:vAlign w:val="bottom"/>
          </w:tcPr>
          <w:p>
            <w:pPr>
              <w:ind w:left="120"/>
              <w:spacing w:after="0"/>
              <w:rPr>
                <w:sz w:val="20"/>
                <w:szCs w:val="20"/>
                <w:color w:val="auto"/>
              </w:rPr>
            </w:pPr>
            <w:r>
              <w:rPr>
                <w:rFonts w:ascii="Arial" w:cs="Arial" w:eastAsia="Arial" w:hAnsi="Arial"/>
                <w:sz w:val="11"/>
                <w:szCs w:val="11"/>
                <w:color w:val="003551"/>
              </w:rPr>
              <w:t>—</w:t>
            </w:r>
          </w:p>
        </w:tc>
        <w:tc>
          <w:tcPr>
            <w:tcW w:w="640" w:type="dxa"/>
            <w:vAlign w:val="bottom"/>
          </w:tcPr>
          <w:p>
            <w:pPr>
              <w:ind w:left="120"/>
              <w:spacing w:after="0"/>
              <w:rPr>
                <w:sz w:val="20"/>
                <w:szCs w:val="20"/>
                <w:color w:val="auto"/>
              </w:rPr>
            </w:pPr>
            <w:r>
              <w:rPr>
                <w:rFonts w:ascii="Arial" w:cs="Arial" w:eastAsia="Arial" w:hAnsi="Arial"/>
                <w:sz w:val="11"/>
                <w:szCs w:val="11"/>
                <w:color w:val="003551"/>
              </w:rPr>
              <w:t>—</w:t>
            </w:r>
          </w:p>
        </w:tc>
        <w:tc>
          <w:tcPr>
            <w:tcW w:w="660" w:type="dxa"/>
            <w:vAlign w:val="bottom"/>
          </w:tcPr>
          <w:p>
            <w:pPr>
              <w:ind w:left="100"/>
              <w:spacing w:after="0"/>
              <w:rPr>
                <w:sz w:val="20"/>
                <w:szCs w:val="20"/>
                <w:color w:val="auto"/>
              </w:rPr>
            </w:pPr>
            <w:r>
              <w:rPr>
                <w:rFonts w:ascii="Arial" w:cs="Arial" w:eastAsia="Arial" w:hAnsi="Arial"/>
                <w:sz w:val="11"/>
                <w:szCs w:val="11"/>
                <w:color w:val="003551"/>
              </w:rPr>
              <w:t>984,094</w:t>
            </w:r>
          </w:p>
        </w:tc>
        <w:tc>
          <w:tcPr>
            <w:tcW w:w="780" w:type="dxa"/>
            <w:vAlign w:val="bottom"/>
          </w:tcPr>
          <w:p>
            <w:pPr>
              <w:ind w:left="40"/>
              <w:spacing w:after="0"/>
              <w:rPr>
                <w:sz w:val="20"/>
                <w:szCs w:val="20"/>
                <w:color w:val="auto"/>
              </w:rPr>
            </w:pPr>
            <w:r>
              <w:rPr>
                <w:rFonts w:ascii="Arial" w:cs="Arial" w:eastAsia="Arial" w:hAnsi="Arial"/>
                <w:sz w:val="11"/>
                <w:szCs w:val="11"/>
                <w:color w:val="003551"/>
              </w:rPr>
              <w:t>$14,338,250</w:t>
            </w:r>
          </w:p>
        </w:tc>
        <w:tc>
          <w:tcPr>
            <w:tcW w:w="660" w:type="dxa"/>
            <w:vAlign w:val="bottom"/>
          </w:tcPr>
          <w:p>
            <w:pPr>
              <w:ind w:left="80"/>
              <w:spacing w:after="0"/>
              <w:rPr>
                <w:sz w:val="20"/>
                <w:szCs w:val="20"/>
                <w:color w:val="auto"/>
              </w:rPr>
            </w:pPr>
            <w:r>
              <w:rPr>
                <w:rFonts w:ascii="Arial" w:cs="Arial" w:eastAsia="Arial" w:hAnsi="Arial"/>
                <w:sz w:val="11"/>
                <w:szCs w:val="11"/>
                <w:color w:val="003551"/>
              </w:rPr>
              <w:t>—</w:t>
            </w:r>
          </w:p>
        </w:tc>
        <w:tc>
          <w:tcPr>
            <w:tcW w:w="700" w:type="dxa"/>
            <w:vAlign w:val="bottom"/>
          </w:tcPr>
          <w:p>
            <w:pPr>
              <w:ind w:left="80"/>
              <w:spacing w:after="0"/>
              <w:rPr>
                <w:sz w:val="20"/>
                <w:szCs w:val="20"/>
                <w:color w:val="auto"/>
              </w:rPr>
            </w:pPr>
            <w:r>
              <w:rPr>
                <w:rFonts w:ascii="Arial" w:cs="Arial" w:eastAsia="Arial" w:hAnsi="Arial"/>
                <w:sz w:val="11"/>
                <w:szCs w:val="11"/>
                <w:color w:val="003551"/>
              </w:rPr>
              <w:t>—</w:t>
            </w:r>
          </w:p>
        </w:tc>
      </w:tr>
      <w:tr>
        <w:trPr>
          <w:trHeight w:val="223"/>
        </w:trPr>
        <w:tc>
          <w:tcPr>
            <w:tcW w:w="840" w:type="dxa"/>
            <w:vAlign w:val="bottom"/>
          </w:tcPr>
          <w:p>
            <w:pPr>
              <w:spacing w:after="0"/>
              <w:rPr>
                <w:sz w:val="20"/>
                <w:szCs w:val="20"/>
                <w:color w:val="auto"/>
              </w:rPr>
            </w:pPr>
            <w:r>
              <w:rPr>
                <w:rFonts w:ascii="Arial" w:cs="Arial" w:eastAsia="Arial" w:hAnsi="Arial"/>
                <w:sz w:val="11"/>
                <w:szCs w:val="11"/>
                <w:color w:val="003551"/>
              </w:rPr>
              <w:t>5/19/25</w:t>
            </w:r>
            <w:r>
              <w:rPr>
                <w:rFonts w:ascii="Arial" w:cs="Arial" w:eastAsia="Arial" w:hAnsi="Arial"/>
                <w:sz w:val="18"/>
                <w:szCs w:val="18"/>
                <w:color w:val="003551"/>
                <w:vertAlign w:val="superscript"/>
              </w:rPr>
              <w:t>(11)</w:t>
            </w:r>
          </w:p>
        </w:tc>
        <w:tc>
          <w:tcPr>
            <w:tcW w:w="900" w:type="dxa"/>
            <w:vAlign w:val="bottom"/>
          </w:tcPr>
          <w:p>
            <w:pPr>
              <w:ind w:left="280"/>
              <w:spacing w:after="0"/>
              <w:rPr>
                <w:sz w:val="20"/>
                <w:szCs w:val="20"/>
                <w:color w:val="auto"/>
              </w:rPr>
            </w:pPr>
            <w:r>
              <w:rPr>
                <w:rFonts w:ascii="Arial" w:cs="Arial" w:eastAsia="Arial" w:hAnsi="Arial"/>
                <w:sz w:val="11"/>
                <w:szCs w:val="11"/>
                <w:color w:val="003551"/>
              </w:rPr>
              <w:t>—</w:t>
            </w:r>
          </w:p>
        </w:tc>
        <w:tc>
          <w:tcPr>
            <w:tcW w:w="580" w:type="dxa"/>
            <w:vAlign w:val="bottom"/>
          </w:tcPr>
          <w:p>
            <w:pPr>
              <w:ind w:left="120"/>
              <w:spacing w:after="0"/>
              <w:rPr>
                <w:sz w:val="20"/>
                <w:szCs w:val="20"/>
                <w:color w:val="auto"/>
              </w:rPr>
            </w:pPr>
            <w:r>
              <w:rPr>
                <w:rFonts w:ascii="Arial" w:cs="Arial" w:eastAsia="Arial" w:hAnsi="Arial"/>
                <w:sz w:val="11"/>
                <w:szCs w:val="11"/>
                <w:color w:val="003551"/>
              </w:rPr>
              <w:t>—</w:t>
            </w:r>
          </w:p>
        </w:tc>
        <w:tc>
          <w:tcPr>
            <w:tcW w:w="980" w:type="dxa"/>
            <w:vAlign w:val="bottom"/>
          </w:tcPr>
          <w:p>
            <w:pPr>
              <w:ind w:left="360"/>
              <w:spacing w:after="0"/>
              <w:rPr>
                <w:sz w:val="20"/>
                <w:szCs w:val="20"/>
                <w:color w:val="auto"/>
              </w:rPr>
            </w:pPr>
            <w:r>
              <w:rPr>
                <w:rFonts w:ascii="Arial" w:cs="Arial" w:eastAsia="Arial" w:hAnsi="Arial"/>
                <w:sz w:val="11"/>
                <w:szCs w:val="11"/>
                <w:color w:val="003551"/>
              </w:rPr>
              <w:t>—</w:t>
            </w:r>
          </w:p>
        </w:tc>
        <w:tc>
          <w:tcPr>
            <w:tcW w:w="520" w:type="dxa"/>
            <w:vAlign w:val="bottom"/>
          </w:tcPr>
          <w:p>
            <w:pPr>
              <w:ind w:left="120"/>
              <w:spacing w:after="0"/>
              <w:rPr>
                <w:sz w:val="20"/>
                <w:szCs w:val="20"/>
                <w:color w:val="auto"/>
              </w:rPr>
            </w:pPr>
            <w:r>
              <w:rPr>
                <w:rFonts w:ascii="Arial" w:cs="Arial" w:eastAsia="Arial" w:hAnsi="Arial"/>
                <w:sz w:val="11"/>
                <w:szCs w:val="11"/>
                <w:color w:val="003551"/>
              </w:rPr>
              <w:t>—</w:t>
            </w:r>
          </w:p>
        </w:tc>
        <w:tc>
          <w:tcPr>
            <w:tcW w:w="640" w:type="dxa"/>
            <w:vAlign w:val="bottom"/>
          </w:tcPr>
          <w:p>
            <w:pPr>
              <w:ind w:left="120"/>
              <w:spacing w:after="0"/>
              <w:rPr>
                <w:sz w:val="20"/>
                <w:szCs w:val="20"/>
                <w:color w:val="auto"/>
              </w:rPr>
            </w:pPr>
            <w:r>
              <w:rPr>
                <w:rFonts w:ascii="Arial" w:cs="Arial" w:eastAsia="Arial" w:hAnsi="Arial"/>
                <w:sz w:val="11"/>
                <w:szCs w:val="11"/>
                <w:color w:val="003551"/>
              </w:rPr>
              <w:t>—</w:t>
            </w:r>
          </w:p>
        </w:tc>
        <w:tc>
          <w:tcPr>
            <w:tcW w:w="660" w:type="dxa"/>
            <w:vAlign w:val="bottom"/>
          </w:tcPr>
          <w:p>
            <w:pPr>
              <w:ind w:left="100"/>
              <w:spacing w:after="0"/>
              <w:rPr>
                <w:sz w:val="20"/>
                <w:szCs w:val="20"/>
                <w:color w:val="auto"/>
              </w:rPr>
            </w:pPr>
            <w:r>
              <w:rPr>
                <w:rFonts w:ascii="Arial" w:cs="Arial" w:eastAsia="Arial" w:hAnsi="Arial"/>
                <w:sz w:val="11"/>
                <w:szCs w:val="11"/>
                <w:color w:val="003551"/>
              </w:rPr>
              <w:t>2,400,000</w:t>
            </w:r>
          </w:p>
        </w:tc>
        <w:tc>
          <w:tcPr>
            <w:tcW w:w="780" w:type="dxa"/>
            <w:vAlign w:val="bottom"/>
          </w:tcPr>
          <w:p>
            <w:pPr>
              <w:ind w:left="40"/>
              <w:spacing w:after="0"/>
              <w:rPr>
                <w:sz w:val="20"/>
                <w:szCs w:val="20"/>
                <w:color w:val="auto"/>
              </w:rPr>
            </w:pPr>
            <w:r>
              <w:rPr>
                <w:rFonts w:ascii="Arial" w:cs="Arial" w:eastAsia="Arial" w:hAnsi="Arial"/>
                <w:sz w:val="11"/>
                <w:szCs w:val="11"/>
                <w:color w:val="003551"/>
              </w:rPr>
              <w:t>$34,968,000</w:t>
            </w:r>
          </w:p>
        </w:tc>
        <w:tc>
          <w:tcPr>
            <w:tcW w:w="660" w:type="dxa"/>
            <w:vAlign w:val="bottom"/>
          </w:tcPr>
          <w:p>
            <w:pPr>
              <w:ind w:left="80"/>
              <w:spacing w:after="0"/>
              <w:rPr>
                <w:sz w:val="20"/>
                <w:szCs w:val="20"/>
                <w:color w:val="auto"/>
              </w:rPr>
            </w:pPr>
            <w:r>
              <w:rPr>
                <w:rFonts w:ascii="Arial" w:cs="Arial" w:eastAsia="Arial" w:hAnsi="Arial"/>
                <w:sz w:val="11"/>
                <w:szCs w:val="11"/>
                <w:color w:val="003551"/>
              </w:rPr>
              <w:t>—</w:t>
            </w:r>
          </w:p>
        </w:tc>
        <w:tc>
          <w:tcPr>
            <w:tcW w:w="700" w:type="dxa"/>
            <w:vAlign w:val="bottom"/>
          </w:tcPr>
          <w:p>
            <w:pPr>
              <w:ind w:left="80"/>
              <w:spacing w:after="0"/>
              <w:rPr>
                <w:sz w:val="20"/>
                <w:szCs w:val="20"/>
                <w:color w:val="auto"/>
              </w:rPr>
            </w:pPr>
            <w:r>
              <w:rPr>
                <w:rFonts w:ascii="Arial" w:cs="Arial" w:eastAsia="Arial" w:hAnsi="Arial"/>
                <w:sz w:val="11"/>
                <w:szCs w:val="11"/>
                <w:color w:val="003551"/>
              </w:rPr>
              <w:t>—</w:t>
            </w:r>
          </w:p>
        </w:tc>
      </w:tr>
      <w:tr>
        <w:trPr>
          <w:trHeight w:val="196"/>
        </w:trPr>
        <w:tc>
          <w:tcPr>
            <w:tcW w:w="840" w:type="dxa"/>
            <w:vAlign w:val="bottom"/>
          </w:tcPr>
          <w:p>
            <w:pPr>
              <w:spacing w:after="0" w:line="196" w:lineRule="exact"/>
              <w:rPr>
                <w:sz w:val="20"/>
                <w:szCs w:val="20"/>
                <w:color w:val="auto"/>
              </w:rPr>
            </w:pPr>
            <w:r>
              <w:rPr>
                <w:rFonts w:ascii="Arial" w:cs="Arial" w:eastAsia="Arial" w:hAnsi="Arial"/>
                <w:sz w:val="11"/>
                <w:szCs w:val="11"/>
                <w:color w:val="003551"/>
              </w:rPr>
              <w:t>6/24/25</w:t>
            </w:r>
            <w:r>
              <w:rPr>
                <w:rFonts w:ascii="Arial" w:cs="Arial" w:eastAsia="Arial" w:hAnsi="Arial"/>
                <w:sz w:val="18"/>
                <w:szCs w:val="18"/>
                <w:color w:val="003551"/>
                <w:vertAlign w:val="superscript"/>
              </w:rPr>
              <w:t>(12)</w:t>
            </w:r>
          </w:p>
        </w:tc>
        <w:tc>
          <w:tcPr>
            <w:tcW w:w="900" w:type="dxa"/>
            <w:vAlign w:val="bottom"/>
          </w:tcPr>
          <w:p>
            <w:pPr>
              <w:ind w:left="280"/>
              <w:spacing w:after="0"/>
              <w:rPr>
                <w:sz w:val="20"/>
                <w:szCs w:val="20"/>
                <w:color w:val="auto"/>
              </w:rPr>
            </w:pPr>
            <w:r>
              <w:rPr>
                <w:rFonts w:ascii="Arial" w:cs="Arial" w:eastAsia="Arial" w:hAnsi="Arial"/>
                <w:sz w:val="11"/>
                <w:szCs w:val="11"/>
                <w:color w:val="003551"/>
              </w:rPr>
              <w:t>—</w:t>
            </w:r>
          </w:p>
        </w:tc>
        <w:tc>
          <w:tcPr>
            <w:tcW w:w="580" w:type="dxa"/>
            <w:vAlign w:val="bottom"/>
          </w:tcPr>
          <w:p>
            <w:pPr>
              <w:ind w:left="120"/>
              <w:spacing w:after="0"/>
              <w:rPr>
                <w:sz w:val="20"/>
                <w:szCs w:val="20"/>
                <w:color w:val="auto"/>
              </w:rPr>
            </w:pPr>
            <w:r>
              <w:rPr>
                <w:rFonts w:ascii="Arial" w:cs="Arial" w:eastAsia="Arial" w:hAnsi="Arial"/>
                <w:sz w:val="11"/>
                <w:szCs w:val="11"/>
                <w:color w:val="003551"/>
              </w:rPr>
              <w:t>—</w:t>
            </w:r>
          </w:p>
        </w:tc>
        <w:tc>
          <w:tcPr>
            <w:tcW w:w="980" w:type="dxa"/>
            <w:vAlign w:val="bottom"/>
          </w:tcPr>
          <w:p>
            <w:pPr>
              <w:ind w:left="360"/>
              <w:spacing w:after="0"/>
              <w:rPr>
                <w:sz w:val="20"/>
                <w:szCs w:val="20"/>
                <w:color w:val="auto"/>
              </w:rPr>
            </w:pPr>
            <w:r>
              <w:rPr>
                <w:rFonts w:ascii="Arial" w:cs="Arial" w:eastAsia="Arial" w:hAnsi="Arial"/>
                <w:sz w:val="11"/>
                <w:szCs w:val="11"/>
                <w:color w:val="003551"/>
              </w:rPr>
              <w:t>—</w:t>
            </w:r>
          </w:p>
        </w:tc>
        <w:tc>
          <w:tcPr>
            <w:tcW w:w="520" w:type="dxa"/>
            <w:vAlign w:val="bottom"/>
          </w:tcPr>
          <w:p>
            <w:pPr>
              <w:ind w:left="120"/>
              <w:spacing w:after="0"/>
              <w:rPr>
                <w:sz w:val="20"/>
                <w:szCs w:val="20"/>
                <w:color w:val="auto"/>
              </w:rPr>
            </w:pPr>
            <w:r>
              <w:rPr>
                <w:rFonts w:ascii="Arial" w:cs="Arial" w:eastAsia="Arial" w:hAnsi="Arial"/>
                <w:sz w:val="11"/>
                <w:szCs w:val="11"/>
                <w:color w:val="003551"/>
              </w:rPr>
              <w:t>—</w:t>
            </w:r>
          </w:p>
        </w:tc>
        <w:tc>
          <w:tcPr>
            <w:tcW w:w="640" w:type="dxa"/>
            <w:vAlign w:val="bottom"/>
          </w:tcPr>
          <w:p>
            <w:pPr>
              <w:ind w:left="120"/>
              <w:spacing w:after="0"/>
              <w:rPr>
                <w:sz w:val="20"/>
                <w:szCs w:val="20"/>
                <w:color w:val="auto"/>
              </w:rPr>
            </w:pPr>
            <w:r>
              <w:rPr>
                <w:rFonts w:ascii="Arial" w:cs="Arial" w:eastAsia="Arial" w:hAnsi="Arial"/>
                <w:sz w:val="11"/>
                <w:szCs w:val="11"/>
                <w:color w:val="003551"/>
              </w:rPr>
              <w:t>—</w:t>
            </w:r>
          </w:p>
        </w:tc>
        <w:tc>
          <w:tcPr>
            <w:tcW w:w="660" w:type="dxa"/>
            <w:vAlign w:val="bottom"/>
          </w:tcPr>
          <w:p>
            <w:pPr>
              <w:ind w:left="100"/>
              <w:spacing w:after="0"/>
              <w:rPr>
                <w:sz w:val="20"/>
                <w:szCs w:val="20"/>
                <w:color w:val="auto"/>
              </w:rPr>
            </w:pPr>
            <w:r>
              <w:rPr>
                <w:rFonts w:ascii="Arial" w:cs="Arial" w:eastAsia="Arial" w:hAnsi="Arial"/>
                <w:sz w:val="11"/>
                <w:szCs w:val="11"/>
                <w:color w:val="003551"/>
              </w:rPr>
              <w:t>1,844,862</w:t>
            </w:r>
          </w:p>
        </w:tc>
        <w:tc>
          <w:tcPr>
            <w:tcW w:w="780" w:type="dxa"/>
            <w:vAlign w:val="bottom"/>
          </w:tcPr>
          <w:p>
            <w:pPr>
              <w:ind w:left="40"/>
              <w:spacing w:after="0"/>
              <w:rPr>
                <w:sz w:val="20"/>
                <w:szCs w:val="20"/>
                <w:color w:val="auto"/>
              </w:rPr>
            </w:pPr>
            <w:r>
              <w:rPr>
                <w:rFonts w:ascii="Arial" w:cs="Arial" w:eastAsia="Arial" w:hAnsi="Arial"/>
                <w:sz w:val="11"/>
                <w:szCs w:val="11"/>
                <w:color w:val="003551"/>
              </w:rPr>
              <w:t>$26,879,639</w:t>
            </w:r>
          </w:p>
        </w:tc>
        <w:tc>
          <w:tcPr>
            <w:tcW w:w="660" w:type="dxa"/>
            <w:vAlign w:val="bottom"/>
          </w:tcPr>
          <w:p>
            <w:pPr>
              <w:ind w:left="80"/>
              <w:spacing w:after="0"/>
              <w:rPr>
                <w:sz w:val="20"/>
                <w:szCs w:val="20"/>
                <w:color w:val="auto"/>
              </w:rPr>
            </w:pPr>
            <w:r>
              <w:rPr>
                <w:rFonts w:ascii="Arial" w:cs="Arial" w:eastAsia="Arial" w:hAnsi="Arial"/>
                <w:sz w:val="11"/>
                <w:szCs w:val="11"/>
                <w:color w:val="003551"/>
              </w:rPr>
              <w:t>—</w:t>
            </w:r>
          </w:p>
        </w:tc>
        <w:tc>
          <w:tcPr>
            <w:tcW w:w="700" w:type="dxa"/>
            <w:vAlign w:val="bottom"/>
          </w:tcPr>
          <w:p>
            <w:pPr>
              <w:ind w:left="80"/>
              <w:spacing w:after="0"/>
              <w:rPr>
                <w:sz w:val="20"/>
                <w:szCs w:val="20"/>
                <w:color w:val="auto"/>
              </w:rPr>
            </w:pPr>
            <w:r>
              <w:rPr>
                <w:rFonts w:ascii="Arial" w:cs="Arial" w:eastAsia="Arial" w:hAnsi="Arial"/>
                <w:sz w:val="11"/>
                <w:szCs w:val="11"/>
                <w:color w:val="003551"/>
              </w:rPr>
              <w:t>—</w:t>
            </w:r>
          </w:p>
        </w:tc>
      </w:tr>
      <w:tr>
        <w:trPr>
          <w:trHeight w:val="236"/>
        </w:trPr>
        <w:tc>
          <w:tcPr>
            <w:tcW w:w="840" w:type="dxa"/>
            <w:vAlign w:val="bottom"/>
          </w:tcPr>
          <w:p>
            <w:pPr>
              <w:spacing w:after="0"/>
              <w:rPr>
                <w:sz w:val="20"/>
                <w:szCs w:val="20"/>
                <w:color w:val="auto"/>
              </w:rPr>
            </w:pPr>
            <w:r>
              <w:rPr>
                <w:rFonts w:ascii="Arial" w:cs="Arial" w:eastAsia="Arial" w:hAnsi="Arial"/>
                <w:sz w:val="11"/>
                <w:szCs w:val="11"/>
                <w:color w:val="003551"/>
              </w:rPr>
              <w:t>6/24/25</w:t>
            </w:r>
            <w:r>
              <w:rPr>
                <w:rFonts w:ascii="Arial" w:cs="Arial" w:eastAsia="Arial" w:hAnsi="Arial"/>
                <w:sz w:val="18"/>
                <w:szCs w:val="18"/>
                <w:color w:val="003551"/>
                <w:vertAlign w:val="superscript"/>
              </w:rPr>
              <w:t>(13)</w:t>
            </w:r>
          </w:p>
        </w:tc>
        <w:tc>
          <w:tcPr>
            <w:tcW w:w="900" w:type="dxa"/>
            <w:vAlign w:val="bottom"/>
          </w:tcPr>
          <w:p>
            <w:pPr>
              <w:ind w:left="280"/>
              <w:spacing w:after="0"/>
              <w:rPr>
                <w:sz w:val="20"/>
                <w:szCs w:val="20"/>
                <w:color w:val="auto"/>
              </w:rPr>
            </w:pPr>
            <w:r>
              <w:rPr>
                <w:rFonts w:ascii="Arial" w:cs="Arial" w:eastAsia="Arial" w:hAnsi="Arial"/>
                <w:sz w:val="11"/>
                <w:szCs w:val="11"/>
                <w:color w:val="003551"/>
              </w:rPr>
              <w:t>—</w:t>
            </w:r>
          </w:p>
        </w:tc>
        <w:tc>
          <w:tcPr>
            <w:tcW w:w="580" w:type="dxa"/>
            <w:vAlign w:val="bottom"/>
          </w:tcPr>
          <w:p>
            <w:pPr>
              <w:ind w:left="120"/>
              <w:spacing w:after="0"/>
              <w:rPr>
                <w:sz w:val="20"/>
                <w:szCs w:val="20"/>
                <w:color w:val="auto"/>
              </w:rPr>
            </w:pPr>
            <w:r>
              <w:rPr>
                <w:rFonts w:ascii="Arial" w:cs="Arial" w:eastAsia="Arial" w:hAnsi="Arial"/>
                <w:sz w:val="11"/>
                <w:szCs w:val="11"/>
                <w:color w:val="003551"/>
              </w:rPr>
              <w:t>—</w:t>
            </w:r>
          </w:p>
        </w:tc>
        <w:tc>
          <w:tcPr>
            <w:tcW w:w="980" w:type="dxa"/>
            <w:vAlign w:val="bottom"/>
          </w:tcPr>
          <w:p>
            <w:pPr>
              <w:ind w:left="360"/>
              <w:spacing w:after="0"/>
              <w:rPr>
                <w:sz w:val="20"/>
                <w:szCs w:val="20"/>
                <w:color w:val="auto"/>
              </w:rPr>
            </w:pPr>
            <w:r>
              <w:rPr>
                <w:rFonts w:ascii="Arial" w:cs="Arial" w:eastAsia="Arial" w:hAnsi="Arial"/>
                <w:sz w:val="11"/>
                <w:szCs w:val="11"/>
                <w:color w:val="003551"/>
              </w:rPr>
              <w:t>—</w:t>
            </w:r>
          </w:p>
        </w:tc>
        <w:tc>
          <w:tcPr>
            <w:tcW w:w="520" w:type="dxa"/>
            <w:vAlign w:val="bottom"/>
          </w:tcPr>
          <w:p>
            <w:pPr>
              <w:ind w:left="120"/>
              <w:spacing w:after="0"/>
              <w:rPr>
                <w:sz w:val="20"/>
                <w:szCs w:val="20"/>
                <w:color w:val="auto"/>
              </w:rPr>
            </w:pPr>
            <w:r>
              <w:rPr>
                <w:rFonts w:ascii="Arial" w:cs="Arial" w:eastAsia="Arial" w:hAnsi="Arial"/>
                <w:sz w:val="11"/>
                <w:szCs w:val="11"/>
                <w:color w:val="003551"/>
              </w:rPr>
              <w:t>—</w:t>
            </w:r>
          </w:p>
        </w:tc>
        <w:tc>
          <w:tcPr>
            <w:tcW w:w="640" w:type="dxa"/>
            <w:vAlign w:val="bottom"/>
          </w:tcPr>
          <w:p>
            <w:pPr>
              <w:ind w:left="120"/>
              <w:spacing w:after="0"/>
              <w:rPr>
                <w:sz w:val="20"/>
                <w:szCs w:val="20"/>
                <w:color w:val="auto"/>
              </w:rPr>
            </w:pPr>
            <w:r>
              <w:rPr>
                <w:rFonts w:ascii="Arial" w:cs="Arial" w:eastAsia="Arial" w:hAnsi="Arial"/>
                <w:sz w:val="11"/>
                <w:szCs w:val="11"/>
                <w:color w:val="003551"/>
              </w:rPr>
              <w:t>—</w:t>
            </w:r>
          </w:p>
        </w:tc>
        <w:tc>
          <w:tcPr>
            <w:tcW w:w="660" w:type="dxa"/>
            <w:vAlign w:val="bottom"/>
          </w:tcPr>
          <w:p>
            <w:pPr>
              <w:ind w:left="100"/>
              <w:spacing w:after="0"/>
              <w:rPr>
                <w:sz w:val="20"/>
                <w:szCs w:val="20"/>
                <w:color w:val="auto"/>
              </w:rPr>
            </w:pPr>
            <w:r>
              <w:rPr>
                <w:rFonts w:ascii="Arial" w:cs="Arial" w:eastAsia="Arial" w:hAnsi="Arial"/>
                <w:sz w:val="11"/>
                <w:szCs w:val="11"/>
                <w:color w:val="003551"/>
              </w:rPr>
              <w:t>—</w:t>
            </w:r>
          </w:p>
        </w:tc>
        <w:tc>
          <w:tcPr>
            <w:tcW w:w="780" w:type="dxa"/>
            <w:vAlign w:val="bottom"/>
          </w:tcPr>
          <w:p>
            <w:pPr>
              <w:ind w:left="40"/>
              <w:spacing w:after="0"/>
              <w:rPr>
                <w:sz w:val="20"/>
                <w:szCs w:val="20"/>
                <w:color w:val="auto"/>
              </w:rPr>
            </w:pPr>
            <w:r>
              <w:rPr>
                <w:rFonts w:ascii="Arial" w:cs="Arial" w:eastAsia="Arial" w:hAnsi="Arial"/>
                <w:sz w:val="11"/>
                <w:szCs w:val="11"/>
                <w:color w:val="003551"/>
              </w:rPr>
              <w:t>—</w:t>
            </w:r>
          </w:p>
        </w:tc>
        <w:tc>
          <w:tcPr>
            <w:tcW w:w="660" w:type="dxa"/>
            <w:vAlign w:val="bottom"/>
          </w:tcPr>
          <w:p>
            <w:pPr>
              <w:ind w:left="80"/>
              <w:spacing w:after="0"/>
              <w:rPr>
                <w:sz w:val="20"/>
                <w:szCs w:val="20"/>
                <w:color w:val="auto"/>
              </w:rPr>
            </w:pPr>
            <w:r>
              <w:rPr>
                <w:rFonts w:ascii="Arial" w:cs="Arial" w:eastAsia="Arial" w:hAnsi="Arial"/>
                <w:sz w:val="11"/>
                <w:szCs w:val="11"/>
                <w:color w:val="003551"/>
              </w:rPr>
              <w:t>1,844,862</w:t>
            </w:r>
          </w:p>
        </w:tc>
        <w:tc>
          <w:tcPr>
            <w:tcW w:w="700" w:type="dxa"/>
            <w:vAlign w:val="bottom"/>
          </w:tcPr>
          <w:p>
            <w:pPr>
              <w:ind w:left="80"/>
              <w:spacing w:after="0"/>
              <w:rPr>
                <w:sz w:val="20"/>
                <w:szCs w:val="20"/>
                <w:color w:val="auto"/>
              </w:rPr>
            </w:pPr>
            <w:r>
              <w:rPr>
                <w:rFonts w:ascii="Arial" w:cs="Arial" w:eastAsia="Arial" w:hAnsi="Arial"/>
                <w:sz w:val="11"/>
                <w:szCs w:val="11"/>
                <w:color w:val="003551"/>
                <w:w w:val="98"/>
              </w:rPr>
              <w:t>$26,879,639</w:t>
            </w:r>
          </w:p>
        </w:tc>
      </w:tr>
      <w:tr>
        <w:trPr>
          <w:trHeight w:val="249"/>
        </w:trPr>
        <w:tc>
          <w:tcPr>
            <w:tcW w:w="840" w:type="dxa"/>
            <w:vAlign w:val="bottom"/>
          </w:tcPr>
          <w:p>
            <w:pPr>
              <w:spacing w:after="0"/>
              <w:rPr>
                <w:sz w:val="20"/>
                <w:szCs w:val="20"/>
                <w:color w:val="auto"/>
              </w:rPr>
            </w:pPr>
            <w:r>
              <w:rPr>
                <w:rFonts w:ascii="Arial" w:cs="Arial" w:eastAsia="Arial" w:hAnsi="Arial"/>
                <w:sz w:val="11"/>
                <w:szCs w:val="11"/>
                <w:color w:val="003551"/>
              </w:rPr>
              <w:t>1/20/21</w:t>
            </w:r>
            <w:r>
              <w:rPr>
                <w:rFonts w:ascii="Arial" w:cs="Arial" w:eastAsia="Arial" w:hAnsi="Arial"/>
                <w:sz w:val="18"/>
                <w:szCs w:val="18"/>
                <w:color w:val="003551"/>
                <w:vertAlign w:val="superscript"/>
              </w:rPr>
              <w:t>(2)</w:t>
            </w:r>
          </w:p>
        </w:tc>
        <w:tc>
          <w:tcPr>
            <w:tcW w:w="900" w:type="dxa"/>
            <w:vAlign w:val="bottom"/>
          </w:tcPr>
          <w:p>
            <w:pPr>
              <w:ind w:left="280"/>
              <w:spacing w:after="0"/>
              <w:rPr>
                <w:sz w:val="20"/>
                <w:szCs w:val="20"/>
                <w:color w:val="auto"/>
              </w:rPr>
            </w:pPr>
            <w:r>
              <w:rPr>
                <w:rFonts w:ascii="Arial" w:cs="Arial" w:eastAsia="Arial" w:hAnsi="Arial"/>
                <w:sz w:val="11"/>
                <w:szCs w:val="11"/>
                <w:color w:val="003551"/>
              </w:rPr>
              <w:t>1,000,000</w:t>
            </w:r>
          </w:p>
        </w:tc>
        <w:tc>
          <w:tcPr>
            <w:tcW w:w="580" w:type="dxa"/>
            <w:vAlign w:val="bottom"/>
          </w:tcPr>
          <w:p>
            <w:pPr>
              <w:ind w:left="120"/>
              <w:spacing w:after="0"/>
              <w:rPr>
                <w:sz w:val="20"/>
                <w:szCs w:val="20"/>
                <w:color w:val="auto"/>
              </w:rPr>
            </w:pPr>
            <w:r>
              <w:rPr>
                <w:rFonts w:ascii="Arial" w:cs="Arial" w:eastAsia="Arial" w:hAnsi="Arial"/>
                <w:sz w:val="11"/>
                <w:szCs w:val="11"/>
                <w:color w:val="003551"/>
              </w:rPr>
              <w:t>—</w:t>
            </w:r>
          </w:p>
        </w:tc>
        <w:tc>
          <w:tcPr>
            <w:tcW w:w="980" w:type="dxa"/>
            <w:vAlign w:val="bottom"/>
          </w:tcPr>
          <w:p>
            <w:pPr>
              <w:ind w:left="360"/>
              <w:spacing w:after="0"/>
              <w:rPr>
                <w:sz w:val="20"/>
                <w:szCs w:val="20"/>
                <w:color w:val="auto"/>
              </w:rPr>
            </w:pPr>
            <w:r>
              <w:rPr>
                <w:rFonts w:ascii="Arial" w:cs="Arial" w:eastAsia="Arial" w:hAnsi="Arial"/>
                <w:sz w:val="11"/>
                <w:szCs w:val="11"/>
                <w:color w:val="003551"/>
              </w:rPr>
              <w:t>—</w:t>
            </w:r>
          </w:p>
        </w:tc>
        <w:tc>
          <w:tcPr>
            <w:tcW w:w="520" w:type="dxa"/>
            <w:vAlign w:val="bottom"/>
          </w:tcPr>
          <w:p>
            <w:pPr>
              <w:ind w:left="120"/>
              <w:spacing w:after="0"/>
              <w:rPr>
                <w:sz w:val="20"/>
                <w:szCs w:val="20"/>
                <w:color w:val="auto"/>
              </w:rPr>
            </w:pPr>
            <w:r>
              <w:rPr>
                <w:rFonts w:ascii="Arial" w:cs="Arial" w:eastAsia="Arial" w:hAnsi="Arial"/>
                <w:sz w:val="11"/>
                <w:szCs w:val="11"/>
                <w:color w:val="003551"/>
              </w:rPr>
              <w:t>$3.27</w:t>
            </w:r>
          </w:p>
        </w:tc>
        <w:tc>
          <w:tcPr>
            <w:tcW w:w="640" w:type="dxa"/>
            <w:vAlign w:val="bottom"/>
          </w:tcPr>
          <w:p>
            <w:pPr>
              <w:ind w:left="120"/>
              <w:spacing w:after="0"/>
              <w:rPr>
                <w:sz w:val="20"/>
                <w:szCs w:val="20"/>
                <w:color w:val="auto"/>
              </w:rPr>
            </w:pPr>
            <w:r>
              <w:rPr>
                <w:rFonts w:ascii="Arial" w:cs="Arial" w:eastAsia="Arial" w:hAnsi="Arial"/>
                <w:sz w:val="11"/>
                <w:szCs w:val="11"/>
                <w:color w:val="003551"/>
              </w:rPr>
              <w:t>12/20/25</w:t>
            </w:r>
          </w:p>
        </w:tc>
        <w:tc>
          <w:tcPr>
            <w:tcW w:w="660" w:type="dxa"/>
            <w:vAlign w:val="bottom"/>
          </w:tcPr>
          <w:p>
            <w:pPr>
              <w:ind w:left="100"/>
              <w:spacing w:after="0"/>
              <w:rPr>
                <w:sz w:val="20"/>
                <w:szCs w:val="20"/>
                <w:color w:val="auto"/>
              </w:rPr>
            </w:pPr>
            <w:r>
              <w:rPr>
                <w:rFonts w:ascii="Arial" w:cs="Arial" w:eastAsia="Arial" w:hAnsi="Arial"/>
                <w:sz w:val="11"/>
                <w:szCs w:val="11"/>
                <w:color w:val="003551"/>
              </w:rPr>
              <w:t>—</w:t>
            </w:r>
          </w:p>
        </w:tc>
        <w:tc>
          <w:tcPr>
            <w:tcW w:w="780" w:type="dxa"/>
            <w:vAlign w:val="bottom"/>
          </w:tcPr>
          <w:p>
            <w:pPr>
              <w:ind w:left="40"/>
              <w:spacing w:after="0"/>
              <w:rPr>
                <w:sz w:val="20"/>
                <w:szCs w:val="20"/>
                <w:color w:val="auto"/>
              </w:rPr>
            </w:pPr>
            <w:r>
              <w:rPr>
                <w:rFonts w:ascii="Arial" w:cs="Arial" w:eastAsia="Arial" w:hAnsi="Arial"/>
                <w:sz w:val="11"/>
                <w:szCs w:val="11"/>
                <w:color w:val="003551"/>
              </w:rPr>
              <w:t>—</w:t>
            </w:r>
          </w:p>
        </w:tc>
        <w:tc>
          <w:tcPr>
            <w:tcW w:w="660" w:type="dxa"/>
            <w:vAlign w:val="bottom"/>
          </w:tcPr>
          <w:p>
            <w:pPr>
              <w:ind w:left="80"/>
              <w:spacing w:after="0"/>
              <w:rPr>
                <w:sz w:val="20"/>
                <w:szCs w:val="20"/>
                <w:color w:val="auto"/>
              </w:rPr>
            </w:pPr>
            <w:r>
              <w:rPr>
                <w:rFonts w:ascii="Arial" w:cs="Arial" w:eastAsia="Arial" w:hAnsi="Arial"/>
                <w:sz w:val="11"/>
                <w:szCs w:val="11"/>
                <w:color w:val="003551"/>
              </w:rPr>
              <w:t>—</w:t>
            </w:r>
          </w:p>
        </w:tc>
        <w:tc>
          <w:tcPr>
            <w:tcW w:w="700" w:type="dxa"/>
            <w:vAlign w:val="bottom"/>
          </w:tcPr>
          <w:p>
            <w:pPr>
              <w:spacing w:after="0"/>
              <w:rPr>
                <w:sz w:val="21"/>
                <w:szCs w:val="21"/>
                <w:color w:val="auto"/>
              </w:rPr>
            </w:pPr>
          </w:p>
        </w:tc>
      </w:tr>
      <w:tr>
        <w:trPr>
          <w:trHeight w:val="223"/>
        </w:trPr>
        <w:tc>
          <w:tcPr>
            <w:tcW w:w="840" w:type="dxa"/>
            <w:vAlign w:val="bottom"/>
          </w:tcPr>
          <w:p>
            <w:pPr>
              <w:spacing w:after="0"/>
              <w:rPr>
                <w:sz w:val="20"/>
                <w:szCs w:val="20"/>
                <w:color w:val="auto"/>
              </w:rPr>
            </w:pPr>
            <w:r>
              <w:rPr>
                <w:rFonts w:ascii="Arial" w:cs="Arial" w:eastAsia="Arial" w:hAnsi="Arial"/>
                <w:sz w:val="11"/>
                <w:szCs w:val="11"/>
                <w:color w:val="003551"/>
              </w:rPr>
              <w:t>9/14/21</w:t>
            </w:r>
            <w:r>
              <w:rPr>
                <w:rFonts w:ascii="Arial" w:cs="Arial" w:eastAsia="Arial" w:hAnsi="Arial"/>
                <w:sz w:val="18"/>
                <w:szCs w:val="18"/>
                <w:color w:val="003551"/>
                <w:vertAlign w:val="superscript"/>
              </w:rPr>
              <w:t>(3)</w:t>
            </w:r>
          </w:p>
        </w:tc>
        <w:tc>
          <w:tcPr>
            <w:tcW w:w="900" w:type="dxa"/>
            <w:vAlign w:val="bottom"/>
          </w:tcPr>
          <w:p>
            <w:pPr>
              <w:ind w:left="280"/>
              <w:spacing w:after="0"/>
              <w:rPr>
                <w:sz w:val="20"/>
                <w:szCs w:val="20"/>
                <w:color w:val="auto"/>
              </w:rPr>
            </w:pPr>
            <w:r>
              <w:rPr>
                <w:rFonts w:ascii="Arial" w:cs="Arial" w:eastAsia="Arial" w:hAnsi="Arial"/>
                <w:sz w:val="11"/>
                <w:szCs w:val="11"/>
                <w:color w:val="003551"/>
              </w:rPr>
              <w:t>—</w:t>
            </w:r>
          </w:p>
        </w:tc>
        <w:tc>
          <w:tcPr>
            <w:tcW w:w="580" w:type="dxa"/>
            <w:vAlign w:val="bottom"/>
          </w:tcPr>
          <w:p>
            <w:pPr>
              <w:ind w:left="120"/>
              <w:spacing w:after="0"/>
              <w:rPr>
                <w:sz w:val="20"/>
                <w:szCs w:val="20"/>
                <w:color w:val="auto"/>
              </w:rPr>
            </w:pPr>
            <w:r>
              <w:rPr>
                <w:rFonts w:ascii="Arial" w:cs="Arial" w:eastAsia="Arial" w:hAnsi="Arial"/>
                <w:sz w:val="11"/>
                <w:szCs w:val="11"/>
                <w:color w:val="003551"/>
              </w:rPr>
              <w:t>—</w:t>
            </w:r>
          </w:p>
        </w:tc>
        <w:tc>
          <w:tcPr>
            <w:tcW w:w="980" w:type="dxa"/>
            <w:vAlign w:val="bottom"/>
          </w:tcPr>
          <w:p>
            <w:pPr>
              <w:ind w:left="360"/>
              <w:spacing w:after="0"/>
              <w:rPr>
                <w:sz w:val="20"/>
                <w:szCs w:val="20"/>
                <w:color w:val="auto"/>
              </w:rPr>
            </w:pPr>
            <w:r>
              <w:rPr>
                <w:rFonts w:ascii="Arial" w:cs="Arial" w:eastAsia="Arial" w:hAnsi="Arial"/>
                <w:sz w:val="11"/>
                <w:szCs w:val="11"/>
                <w:color w:val="003551"/>
              </w:rPr>
              <w:t>2,400,000</w:t>
            </w:r>
          </w:p>
        </w:tc>
        <w:tc>
          <w:tcPr>
            <w:tcW w:w="520" w:type="dxa"/>
            <w:vAlign w:val="bottom"/>
          </w:tcPr>
          <w:p>
            <w:pPr>
              <w:ind w:left="120"/>
              <w:spacing w:after="0"/>
              <w:rPr>
                <w:sz w:val="20"/>
                <w:szCs w:val="20"/>
                <w:color w:val="auto"/>
              </w:rPr>
            </w:pPr>
            <w:r>
              <w:rPr>
                <w:rFonts w:ascii="Arial" w:cs="Arial" w:eastAsia="Arial" w:hAnsi="Arial"/>
                <w:sz w:val="11"/>
                <w:szCs w:val="11"/>
                <w:color w:val="003551"/>
              </w:rPr>
              <w:t>$75</w:t>
            </w:r>
          </w:p>
        </w:tc>
        <w:tc>
          <w:tcPr>
            <w:tcW w:w="640" w:type="dxa"/>
            <w:vAlign w:val="bottom"/>
          </w:tcPr>
          <w:p>
            <w:pPr>
              <w:ind w:left="120"/>
              <w:spacing w:after="0"/>
              <w:rPr>
                <w:sz w:val="20"/>
                <w:szCs w:val="20"/>
                <w:color w:val="auto"/>
              </w:rPr>
            </w:pPr>
            <w:r>
              <w:rPr>
                <w:rFonts w:ascii="Arial" w:cs="Arial" w:eastAsia="Arial" w:hAnsi="Arial"/>
                <w:sz w:val="11"/>
                <w:szCs w:val="11"/>
                <w:color w:val="003551"/>
              </w:rPr>
              <w:t>8/18/33</w:t>
            </w:r>
          </w:p>
        </w:tc>
        <w:tc>
          <w:tcPr>
            <w:tcW w:w="660" w:type="dxa"/>
            <w:vAlign w:val="bottom"/>
          </w:tcPr>
          <w:p>
            <w:pPr>
              <w:ind w:left="100"/>
              <w:spacing w:after="0"/>
              <w:rPr>
                <w:sz w:val="20"/>
                <w:szCs w:val="20"/>
                <w:color w:val="auto"/>
              </w:rPr>
            </w:pPr>
            <w:r>
              <w:rPr>
                <w:rFonts w:ascii="Arial" w:cs="Arial" w:eastAsia="Arial" w:hAnsi="Arial"/>
                <w:sz w:val="11"/>
                <w:szCs w:val="11"/>
                <w:color w:val="003551"/>
              </w:rPr>
              <w:t>—</w:t>
            </w:r>
          </w:p>
        </w:tc>
        <w:tc>
          <w:tcPr>
            <w:tcW w:w="780" w:type="dxa"/>
            <w:vAlign w:val="bottom"/>
          </w:tcPr>
          <w:p>
            <w:pPr>
              <w:ind w:left="40"/>
              <w:spacing w:after="0"/>
              <w:rPr>
                <w:sz w:val="20"/>
                <w:szCs w:val="20"/>
                <w:color w:val="auto"/>
              </w:rPr>
            </w:pPr>
            <w:r>
              <w:rPr>
                <w:rFonts w:ascii="Arial" w:cs="Arial" w:eastAsia="Arial" w:hAnsi="Arial"/>
                <w:sz w:val="11"/>
                <w:szCs w:val="11"/>
                <w:color w:val="003551"/>
              </w:rPr>
              <w:t>—</w:t>
            </w:r>
          </w:p>
        </w:tc>
        <w:tc>
          <w:tcPr>
            <w:tcW w:w="660" w:type="dxa"/>
            <w:vAlign w:val="bottom"/>
          </w:tcPr>
          <w:p>
            <w:pPr>
              <w:ind w:left="80"/>
              <w:spacing w:after="0"/>
              <w:rPr>
                <w:sz w:val="20"/>
                <w:szCs w:val="20"/>
                <w:color w:val="auto"/>
              </w:rPr>
            </w:pPr>
            <w:r>
              <w:rPr>
                <w:rFonts w:ascii="Arial" w:cs="Arial" w:eastAsia="Arial" w:hAnsi="Arial"/>
                <w:sz w:val="11"/>
                <w:szCs w:val="11"/>
                <w:color w:val="003551"/>
              </w:rPr>
              <w:t>—</w:t>
            </w:r>
          </w:p>
        </w:tc>
        <w:tc>
          <w:tcPr>
            <w:tcW w:w="700" w:type="dxa"/>
            <w:vAlign w:val="bottom"/>
          </w:tcPr>
          <w:p>
            <w:pPr>
              <w:ind w:left="80"/>
              <w:spacing w:after="0"/>
              <w:rPr>
                <w:sz w:val="20"/>
                <w:szCs w:val="20"/>
                <w:color w:val="auto"/>
              </w:rPr>
            </w:pPr>
            <w:r>
              <w:rPr>
                <w:rFonts w:ascii="Arial" w:cs="Arial" w:eastAsia="Arial" w:hAnsi="Arial"/>
                <w:sz w:val="11"/>
                <w:szCs w:val="11"/>
                <w:color w:val="003551"/>
              </w:rPr>
              <w:t>—</w:t>
            </w:r>
          </w:p>
        </w:tc>
      </w:tr>
      <w:tr>
        <w:trPr>
          <w:trHeight w:val="223"/>
        </w:trPr>
        <w:tc>
          <w:tcPr>
            <w:tcW w:w="840" w:type="dxa"/>
            <w:vAlign w:val="bottom"/>
          </w:tcPr>
          <w:p>
            <w:pPr>
              <w:spacing w:after="0"/>
              <w:rPr>
                <w:sz w:val="20"/>
                <w:szCs w:val="20"/>
                <w:color w:val="auto"/>
              </w:rPr>
            </w:pPr>
            <w:r>
              <w:rPr>
                <w:rFonts w:ascii="Arial" w:cs="Arial" w:eastAsia="Arial" w:hAnsi="Arial"/>
                <w:sz w:val="11"/>
                <w:szCs w:val="11"/>
                <w:color w:val="003551"/>
              </w:rPr>
              <w:t>7/1/22</w:t>
            </w:r>
            <w:r>
              <w:rPr>
                <w:rFonts w:ascii="Arial" w:cs="Arial" w:eastAsia="Arial" w:hAnsi="Arial"/>
                <w:sz w:val="18"/>
                <w:szCs w:val="18"/>
                <w:color w:val="003551"/>
                <w:vertAlign w:val="superscript"/>
              </w:rPr>
              <w:t>(4)</w:t>
            </w:r>
          </w:p>
        </w:tc>
        <w:tc>
          <w:tcPr>
            <w:tcW w:w="900" w:type="dxa"/>
            <w:vAlign w:val="bottom"/>
          </w:tcPr>
          <w:p>
            <w:pPr>
              <w:ind w:left="280"/>
              <w:spacing w:after="0"/>
              <w:rPr>
                <w:sz w:val="20"/>
                <w:szCs w:val="20"/>
                <w:color w:val="auto"/>
              </w:rPr>
            </w:pPr>
            <w:r>
              <w:rPr>
                <w:rFonts w:ascii="Arial" w:cs="Arial" w:eastAsia="Arial" w:hAnsi="Arial"/>
                <w:sz w:val="11"/>
                <w:szCs w:val="11"/>
                <w:color w:val="003551"/>
              </w:rPr>
              <w:t>—</w:t>
            </w:r>
          </w:p>
        </w:tc>
        <w:tc>
          <w:tcPr>
            <w:tcW w:w="580" w:type="dxa"/>
            <w:vAlign w:val="bottom"/>
          </w:tcPr>
          <w:p>
            <w:pPr>
              <w:ind w:left="120"/>
              <w:spacing w:after="0"/>
              <w:rPr>
                <w:sz w:val="20"/>
                <w:szCs w:val="20"/>
                <w:color w:val="auto"/>
              </w:rPr>
            </w:pPr>
            <w:r>
              <w:rPr>
                <w:rFonts w:ascii="Arial" w:cs="Arial" w:eastAsia="Arial" w:hAnsi="Arial"/>
                <w:sz w:val="11"/>
                <w:szCs w:val="11"/>
                <w:color w:val="003551"/>
              </w:rPr>
              <w:t>—</w:t>
            </w:r>
          </w:p>
        </w:tc>
        <w:tc>
          <w:tcPr>
            <w:tcW w:w="980" w:type="dxa"/>
            <w:vAlign w:val="bottom"/>
          </w:tcPr>
          <w:p>
            <w:pPr>
              <w:ind w:left="360"/>
              <w:spacing w:after="0"/>
              <w:rPr>
                <w:sz w:val="20"/>
                <w:szCs w:val="20"/>
                <w:color w:val="auto"/>
              </w:rPr>
            </w:pPr>
            <w:r>
              <w:rPr>
                <w:rFonts w:ascii="Arial" w:cs="Arial" w:eastAsia="Arial" w:hAnsi="Arial"/>
                <w:sz w:val="11"/>
                <w:szCs w:val="11"/>
                <w:color w:val="003551"/>
              </w:rPr>
              <w:t>—</w:t>
            </w:r>
          </w:p>
        </w:tc>
        <w:tc>
          <w:tcPr>
            <w:tcW w:w="520" w:type="dxa"/>
            <w:vAlign w:val="bottom"/>
          </w:tcPr>
          <w:p>
            <w:pPr>
              <w:ind w:left="120"/>
              <w:spacing w:after="0"/>
              <w:rPr>
                <w:sz w:val="20"/>
                <w:szCs w:val="20"/>
                <w:color w:val="auto"/>
              </w:rPr>
            </w:pPr>
            <w:r>
              <w:rPr>
                <w:rFonts w:ascii="Arial" w:cs="Arial" w:eastAsia="Arial" w:hAnsi="Arial"/>
                <w:sz w:val="11"/>
                <w:szCs w:val="11"/>
                <w:color w:val="003551"/>
              </w:rPr>
              <w:t>—</w:t>
            </w:r>
          </w:p>
        </w:tc>
        <w:tc>
          <w:tcPr>
            <w:tcW w:w="640" w:type="dxa"/>
            <w:vAlign w:val="bottom"/>
          </w:tcPr>
          <w:p>
            <w:pPr>
              <w:ind w:left="120"/>
              <w:spacing w:after="0"/>
              <w:rPr>
                <w:sz w:val="20"/>
                <w:szCs w:val="20"/>
                <w:color w:val="auto"/>
              </w:rPr>
            </w:pPr>
            <w:r>
              <w:rPr>
                <w:rFonts w:ascii="Arial" w:cs="Arial" w:eastAsia="Arial" w:hAnsi="Arial"/>
                <w:sz w:val="11"/>
                <w:szCs w:val="11"/>
                <w:color w:val="003551"/>
              </w:rPr>
              <w:t>—</w:t>
            </w:r>
          </w:p>
        </w:tc>
        <w:tc>
          <w:tcPr>
            <w:tcW w:w="660" w:type="dxa"/>
            <w:vAlign w:val="bottom"/>
          </w:tcPr>
          <w:p>
            <w:pPr>
              <w:ind w:left="100"/>
              <w:spacing w:after="0"/>
              <w:rPr>
                <w:sz w:val="20"/>
                <w:szCs w:val="20"/>
                <w:color w:val="auto"/>
              </w:rPr>
            </w:pPr>
            <w:r>
              <w:rPr>
                <w:rFonts w:ascii="Arial" w:cs="Arial" w:eastAsia="Arial" w:hAnsi="Arial"/>
                <w:sz w:val="11"/>
                <w:szCs w:val="11"/>
                <w:color w:val="003551"/>
              </w:rPr>
              <w:t>489,009</w:t>
            </w:r>
          </w:p>
        </w:tc>
        <w:tc>
          <w:tcPr>
            <w:tcW w:w="780" w:type="dxa"/>
            <w:vAlign w:val="bottom"/>
          </w:tcPr>
          <w:p>
            <w:pPr>
              <w:ind w:left="40"/>
              <w:spacing w:after="0"/>
              <w:rPr>
                <w:sz w:val="20"/>
                <w:szCs w:val="20"/>
                <w:color w:val="auto"/>
              </w:rPr>
            </w:pPr>
            <w:r>
              <w:rPr>
                <w:rFonts w:ascii="Arial" w:cs="Arial" w:eastAsia="Arial" w:hAnsi="Arial"/>
                <w:sz w:val="11"/>
                <w:szCs w:val="11"/>
                <w:color w:val="003551"/>
              </w:rPr>
              <w:t>$7,124,861</w:t>
            </w:r>
          </w:p>
        </w:tc>
        <w:tc>
          <w:tcPr>
            <w:tcW w:w="660" w:type="dxa"/>
            <w:vAlign w:val="bottom"/>
          </w:tcPr>
          <w:p>
            <w:pPr>
              <w:ind w:left="80"/>
              <w:spacing w:after="0"/>
              <w:rPr>
                <w:sz w:val="20"/>
                <w:szCs w:val="20"/>
                <w:color w:val="auto"/>
              </w:rPr>
            </w:pPr>
            <w:r>
              <w:rPr>
                <w:rFonts w:ascii="Arial" w:cs="Arial" w:eastAsia="Arial" w:hAnsi="Arial"/>
                <w:sz w:val="11"/>
                <w:szCs w:val="11"/>
                <w:color w:val="003551"/>
              </w:rPr>
              <w:t>—</w:t>
            </w:r>
          </w:p>
        </w:tc>
        <w:tc>
          <w:tcPr>
            <w:tcW w:w="700" w:type="dxa"/>
            <w:vAlign w:val="bottom"/>
          </w:tcPr>
          <w:p>
            <w:pPr>
              <w:ind w:left="80"/>
              <w:spacing w:after="0"/>
              <w:rPr>
                <w:sz w:val="20"/>
                <w:szCs w:val="20"/>
                <w:color w:val="auto"/>
              </w:rPr>
            </w:pPr>
            <w:r>
              <w:rPr>
                <w:rFonts w:ascii="Arial" w:cs="Arial" w:eastAsia="Arial" w:hAnsi="Arial"/>
                <w:sz w:val="11"/>
                <w:szCs w:val="11"/>
                <w:color w:val="003551"/>
              </w:rPr>
              <w:t>—</w:t>
            </w:r>
          </w:p>
        </w:tc>
      </w:tr>
      <w:tr>
        <w:trPr>
          <w:trHeight w:val="223"/>
        </w:trPr>
        <w:tc>
          <w:tcPr>
            <w:tcW w:w="840" w:type="dxa"/>
            <w:vAlign w:val="bottom"/>
          </w:tcPr>
          <w:p>
            <w:pPr>
              <w:spacing w:after="0"/>
              <w:rPr>
                <w:sz w:val="20"/>
                <w:szCs w:val="20"/>
                <w:color w:val="auto"/>
              </w:rPr>
            </w:pPr>
            <w:r>
              <w:rPr>
                <w:rFonts w:ascii="Arial" w:cs="Arial" w:eastAsia="Arial" w:hAnsi="Arial"/>
                <w:sz w:val="11"/>
                <w:szCs w:val="11"/>
                <w:color w:val="003551"/>
              </w:rPr>
              <w:t>7/1/22</w:t>
            </w:r>
            <w:r>
              <w:rPr>
                <w:rFonts w:ascii="Arial" w:cs="Arial" w:eastAsia="Arial" w:hAnsi="Arial"/>
                <w:sz w:val="18"/>
                <w:szCs w:val="18"/>
                <w:color w:val="003551"/>
                <w:vertAlign w:val="superscript"/>
              </w:rPr>
              <w:t>(5)</w:t>
            </w:r>
          </w:p>
        </w:tc>
        <w:tc>
          <w:tcPr>
            <w:tcW w:w="900" w:type="dxa"/>
            <w:vAlign w:val="bottom"/>
          </w:tcPr>
          <w:p>
            <w:pPr>
              <w:ind w:left="280"/>
              <w:spacing w:after="0"/>
              <w:rPr>
                <w:sz w:val="20"/>
                <w:szCs w:val="20"/>
                <w:color w:val="auto"/>
              </w:rPr>
            </w:pPr>
            <w:r>
              <w:rPr>
                <w:rFonts w:ascii="Arial" w:cs="Arial" w:eastAsia="Arial" w:hAnsi="Arial"/>
                <w:sz w:val="11"/>
                <w:szCs w:val="11"/>
                <w:color w:val="003551"/>
              </w:rPr>
              <w:t>—</w:t>
            </w:r>
          </w:p>
        </w:tc>
        <w:tc>
          <w:tcPr>
            <w:tcW w:w="580" w:type="dxa"/>
            <w:vAlign w:val="bottom"/>
          </w:tcPr>
          <w:p>
            <w:pPr>
              <w:ind w:left="120"/>
              <w:spacing w:after="0"/>
              <w:rPr>
                <w:sz w:val="20"/>
                <w:szCs w:val="20"/>
                <w:color w:val="auto"/>
              </w:rPr>
            </w:pPr>
            <w:r>
              <w:rPr>
                <w:rFonts w:ascii="Arial" w:cs="Arial" w:eastAsia="Arial" w:hAnsi="Arial"/>
                <w:sz w:val="11"/>
                <w:szCs w:val="11"/>
                <w:color w:val="003551"/>
              </w:rPr>
              <w:t>—</w:t>
            </w:r>
          </w:p>
        </w:tc>
        <w:tc>
          <w:tcPr>
            <w:tcW w:w="980" w:type="dxa"/>
            <w:vAlign w:val="bottom"/>
          </w:tcPr>
          <w:p>
            <w:pPr>
              <w:ind w:left="360"/>
              <w:spacing w:after="0"/>
              <w:rPr>
                <w:sz w:val="20"/>
                <w:szCs w:val="20"/>
                <w:color w:val="auto"/>
              </w:rPr>
            </w:pPr>
            <w:r>
              <w:rPr>
                <w:rFonts w:ascii="Arial" w:cs="Arial" w:eastAsia="Arial" w:hAnsi="Arial"/>
                <w:sz w:val="11"/>
                <w:szCs w:val="11"/>
                <w:color w:val="003551"/>
              </w:rPr>
              <w:t>—</w:t>
            </w:r>
          </w:p>
        </w:tc>
        <w:tc>
          <w:tcPr>
            <w:tcW w:w="520" w:type="dxa"/>
            <w:vAlign w:val="bottom"/>
          </w:tcPr>
          <w:p>
            <w:pPr>
              <w:ind w:left="120"/>
              <w:spacing w:after="0"/>
              <w:rPr>
                <w:sz w:val="20"/>
                <w:szCs w:val="20"/>
                <w:color w:val="auto"/>
              </w:rPr>
            </w:pPr>
            <w:r>
              <w:rPr>
                <w:rFonts w:ascii="Arial" w:cs="Arial" w:eastAsia="Arial" w:hAnsi="Arial"/>
                <w:sz w:val="11"/>
                <w:szCs w:val="11"/>
                <w:color w:val="003551"/>
              </w:rPr>
              <w:t>—</w:t>
            </w:r>
          </w:p>
        </w:tc>
        <w:tc>
          <w:tcPr>
            <w:tcW w:w="640" w:type="dxa"/>
            <w:vAlign w:val="bottom"/>
          </w:tcPr>
          <w:p>
            <w:pPr>
              <w:ind w:left="120"/>
              <w:spacing w:after="0"/>
              <w:rPr>
                <w:sz w:val="20"/>
                <w:szCs w:val="20"/>
                <w:color w:val="auto"/>
              </w:rPr>
            </w:pPr>
            <w:r>
              <w:rPr>
                <w:rFonts w:ascii="Arial" w:cs="Arial" w:eastAsia="Arial" w:hAnsi="Arial"/>
                <w:sz w:val="11"/>
                <w:szCs w:val="11"/>
                <w:color w:val="003551"/>
              </w:rPr>
              <w:t>—</w:t>
            </w:r>
          </w:p>
        </w:tc>
        <w:tc>
          <w:tcPr>
            <w:tcW w:w="660" w:type="dxa"/>
            <w:vAlign w:val="bottom"/>
          </w:tcPr>
          <w:p>
            <w:pPr>
              <w:ind w:left="100"/>
              <w:spacing w:after="0"/>
              <w:rPr>
                <w:sz w:val="20"/>
                <w:szCs w:val="20"/>
                <w:color w:val="auto"/>
              </w:rPr>
            </w:pPr>
            <w:r>
              <w:rPr>
                <w:rFonts w:ascii="Arial" w:cs="Arial" w:eastAsia="Arial" w:hAnsi="Arial"/>
                <w:sz w:val="11"/>
                <w:szCs w:val="11"/>
                <w:color w:val="003551"/>
              </w:rPr>
              <w:t>—</w:t>
            </w:r>
          </w:p>
        </w:tc>
        <w:tc>
          <w:tcPr>
            <w:tcW w:w="780" w:type="dxa"/>
            <w:vAlign w:val="bottom"/>
          </w:tcPr>
          <w:p>
            <w:pPr>
              <w:ind w:left="40"/>
              <w:spacing w:after="0"/>
              <w:rPr>
                <w:sz w:val="20"/>
                <w:szCs w:val="20"/>
                <w:color w:val="auto"/>
              </w:rPr>
            </w:pPr>
            <w:r>
              <w:rPr>
                <w:rFonts w:ascii="Arial" w:cs="Arial" w:eastAsia="Arial" w:hAnsi="Arial"/>
                <w:sz w:val="11"/>
                <w:szCs w:val="11"/>
                <w:color w:val="003551"/>
              </w:rPr>
              <w:t>—</w:t>
            </w:r>
          </w:p>
        </w:tc>
        <w:tc>
          <w:tcPr>
            <w:tcW w:w="660" w:type="dxa"/>
            <w:vAlign w:val="bottom"/>
          </w:tcPr>
          <w:p>
            <w:pPr>
              <w:ind w:left="80"/>
              <w:spacing w:after="0"/>
              <w:rPr>
                <w:sz w:val="20"/>
                <w:szCs w:val="20"/>
                <w:color w:val="auto"/>
              </w:rPr>
            </w:pPr>
            <w:r>
              <w:rPr>
                <w:rFonts w:ascii="Arial" w:cs="Arial" w:eastAsia="Arial" w:hAnsi="Arial"/>
                <w:sz w:val="11"/>
                <w:szCs w:val="11"/>
                <w:color w:val="003551"/>
              </w:rPr>
              <w:t>45,844</w:t>
            </w:r>
          </w:p>
        </w:tc>
        <w:tc>
          <w:tcPr>
            <w:tcW w:w="700" w:type="dxa"/>
            <w:vAlign w:val="bottom"/>
          </w:tcPr>
          <w:p>
            <w:pPr>
              <w:ind w:left="80"/>
              <w:spacing w:after="0"/>
              <w:rPr>
                <w:sz w:val="20"/>
                <w:szCs w:val="20"/>
                <w:color w:val="auto"/>
              </w:rPr>
            </w:pPr>
            <w:r>
              <w:rPr>
                <w:rFonts w:ascii="Arial" w:cs="Arial" w:eastAsia="Arial" w:hAnsi="Arial"/>
                <w:sz w:val="11"/>
                <w:szCs w:val="11"/>
                <w:color w:val="003551"/>
              </w:rPr>
              <w:t>$667,947</w:t>
            </w:r>
          </w:p>
        </w:tc>
      </w:tr>
      <w:tr>
        <w:trPr>
          <w:trHeight w:val="223"/>
        </w:trPr>
        <w:tc>
          <w:tcPr>
            <w:tcW w:w="840" w:type="dxa"/>
            <w:vAlign w:val="bottom"/>
          </w:tcPr>
          <w:p>
            <w:pPr>
              <w:spacing w:after="0"/>
              <w:rPr>
                <w:sz w:val="20"/>
                <w:szCs w:val="20"/>
                <w:color w:val="auto"/>
              </w:rPr>
            </w:pPr>
            <w:r>
              <w:rPr>
                <w:rFonts w:ascii="Arial" w:cs="Arial" w:eastAsia="Arial" w:hAnsi="Arial"/>
                <w:sz w:val="11"/>
                <w:szCs w:val="11"/>
                <w:color w:val="003551"/>
              </w:rPr>
              <w:t>6/19/23</w:t>
            </w:r>
            <w:r>
              <w:rPr>
                <w:rFonts w:ascii="Arial" w:cs="Arial" w:eastAsia="Arial" w:hAnsi="Arial"/>
                <w:sz w:val="18"/>
                <w:szCs w:val="18"/>
                <w:color w:val="003551"/>
                <w:vertAlign w:val="superscript"/>
              </w:rPr>
              <w:t>(6)</w:t>
            </w:r>
          </w:p>
        </w:tc>
        <w:tc>
          <w:tcPr>
            <w:tcW w:w="900" w:type="dxa"/>
            <w:vAlign w:val="bottom"/>
          </w:tcPr>
          <w:p>
            <w:pPr>
              <w:ind w:left="280"/>
              <w:spacing w:after="0"/>
              <w:rPr>
                <w:sz w:val="20"/>
                <w:szCs w:val="20"/>
                <w:color w:val="auto"/>
              </w:rPr>
            </w:pPr>
            <w:r>
              <w:rPr>
                <w:rFonts w:ascii="Arial" w:cs="Arial" w:eastAsia="Arial" w:hAnsi="Arial"/>
                <w:sz w:val="11"/>
                <w:szCs w:val="11"/>
                <w:color w:val="003551"/>
              </w:rPr>
              <w:t>—</w:t>
            </w:r>
          </w:p>
        </w:tc>
        <w:tc>
          <w:tcPr>
            <w:tcW w:w="580" w:type="dxa"/>
            <w:vAlign w:val="bottom"/>
          </w:tcPr>
          <w:p>
            <w:pPr>
              <w:ind w:left="120"/>
              <w:spacing w:after="0"/>
              <w:rPr>
                <w:sz w:val="20"/>
                <w:szCs w:val="20"/>
                <w:color w:val="auto"/>
              </w:rPr>
            </w:pPr>
            <w:r>
              <w:rPr>
                <w:rFonts w:ascii="Arial" w:cs="Arial" w:eastAsia="Arial" w:hAnsi="Arial"/>
                <w:sz w:val="11"/>
                <w:szCs w:val="11"/>
                <w:color w:val="003551"/>
              </w:rPr>
              <w:t>—</w:t>
            </w:r>
          </w:p>
        </w:tc>
        <w:tc>
          <w:tcPr>
            <w:tcW w:w="980" w:type="dxa"/>
            <w:vAlign w:val="bottom"/>
          </w:tcPr>
          <w:p>
            <w:pPr>
              <w:ind w:left="360"/>
              <w:spacing w:after="0"/>
              <w:rPr>
                <w:sz w:val="20"/>
                <w:szCs w:val="20"/>
                <w:color w:val="auto"/>
              </w:rPr>
            </w:pPr>
            <w:r>
              <w:rPr>
                <w:rFonts w:ascii="Arial" w:cs="Arial" w:eastAsia="Arial" w:hAnsi="Arial"/>
                <w:sz w:val="11"/>
                <w:szCs w:val="11"/>
                <w:color w:val="003551"/>
              </w:rPr>
              <w:t>—</w:t>
            </w:r>
          </w:p>
        </w:tc>
        <w:tc>
          <w:tcPr>
            <w:tcW w:w="520" w:type="dxa"/>
            <w:vAlign w:val="bottom"/>
          </w:tcPr>
          <w:p>
            <w:pPr>
              <w:ind w:left="120"/>
              <w:spacing w:after="0"/>
              <w:rPr>
                <w:sz w:val="20"/>
                <w:szCs w:val="20"/>
                <w:color w:val="auto"/>
              </w:rPr>
            </w:pPr>
            <w:r>
              <w:rPr>
                <w:rFonts w:ascii="Arial" w:cs="Arial" w:eastAsia="Arial" w:hAnsi="Arial"/>
                <w:sz w:val="11"/>
                <w:szCs w:val="11"/>
                <w:color w:val="003551"/>
              </w:rPr>
              <w:t>—</w:t>
            </w:r>
          </w:p>
        </w:tc>
        <w:tc>
          <w:tcPr>
            <w:tcW w:w="640" w:type="dxa"/>
            <w:vAlign w:val="bottom"/>
          </w:tcPr>
          <w:p>
            <w:pPr>
              <w:ind w:left="120"/>
              <w:spacing w:after="0"/>
              <w:rPr>
                <w:sz w:val="20"/>
                <w:szCs w:val="20"/>
                <w:color w:val="auto"/>
              </w:rPr>
            </w:pPr>
            <w:r>
              <w:rPr>
                <w:rFonts w:ascii="Arial" w:cs="Arial" w:eastAsia="Arial" w:hAnsi="Arial"/>
                <w:sz w:val="11"/>
                <w:szCs w:val="11"/>
                <w:color w:val="003551"/>
              </w:rPr>
              <w:t>—</w:t>
            </w:r>
          </w:p>
        </w:tc>
        <w:tc>
          <w:tcPr>
            <w:tcW w:w="660" w:type="dxa"/>
            <w:vAlign w:val="bottom"/>
          </w:tcPr>
          <w:p>
            <w:pPr>
              <w:ind w:left="100"/>
              <w:spacing w:after="0"/>
              <w:rPr>
                <w:sz w:val="20"/>
                <w:szCs w:val="20"/>
                <w:color w:val="auto"/>
              </w:rPr>
            </w:pPr>
            <w:r>
              <w:rPr>
                <w:rFonts w:ascii="Arial" w:cs="Arial" w:eastAsia="Arial" w:hAnsi="Arial"/>
                <w:sz w:val="11"/>
                <w:szCs w:val="11"/>
                <w:color w:val="003551"/>
              </w:rPr>
              <w:t>475,444</w:t>
            </w:r>
          </w:p>
        </w:tc>
        <w:tc>
          <w:tcPr>
            <w:tcW w:w="780" w:type="dxa"/>
            <w:vAlign w:val="bottom"/>
          </w:tcPr>
          <w:p>
            <w:pPr>
              <w:ind w:left="40"/>
              <w:spacing w:after="0"/>
              <w:rPr>
                <w:sz w:val="20"/>
                <w:szCs w:val="20"/>
                <w:color w:val="auto"/>
              </w:rPr>
            </w:pPr>
            <w:r>
              <w:rPr>
                <w:rFonts w:ascii="Arial" w:cs="Arial" w:eastAsia="Arial" w:hAnsi="Arial"/>
                <w:sz w:val="11"/>
                <w:szCs w:val="11"/>
                <w:color w:val="003551"/>
              </w:rPr>
              <w:t>$6,927,219</w:t>
            </w:r>
          </w:p>
        </w:tc>
        <w:tc>
          <w:tcPr>
            <w:tcW w:w="660" w:type="dxa"/>
            <w:vAlign w:val="bottom"/>
          </w:tcPr>
          <w:p>
            <w:pPr>
              <w:ind w:left="80"/>
              <w:spacing w:after="0"/>
              <w:rPr>
                <w:sz w:val="20"/>
                <w:szCs w:val="20"/>
                <w:color w:val="auto"/>
              </w:rPr>
            </w:pPr>
            <w:r>
              <w:rPr>
                <w:rFonts w:ascii="Arial" w:cs="Arial" w:eastAsia="Arial" w:hAnsi="Arial"/>
                <w:sz w:val="11"/>
                <w:szCs w:val="11"/>
                <w:color w:val="003551"/>
              </w:rPr>
              <w:t>—</w:t>
            </w:r>
          </w:p>
        </w:tc>
        <w:tc>
          <w:tcPr>
            <w:tcW w:w="700" w:type="dxa"/>
            <w:vAlign w:val="bottom"/>
          </w:tcPr>
          <w:p>
            <w:pPr>
              <w:ind w:left="80"/>
              <w:spacing w:after="0"/>
              <w:rPr>
                <w:sz w:val="20"/>
                <w:szCs w:val="20"/>
                <w:color w:val="auto"/>
              </w:rPr>
            </w:pPr>
            <w:r>
              <w:rPr>
                <w:rFonts w:ascii="Arial" w:cs="Arial" w:eastAsia="Arial" w:hAnsi="Arial"/>
                <w:sz w:val="11"/>
                <w:szCs w:val="11"/>
                <w:color w:val="003551"/>
              </w:rPr>
              <w:t>—</w:t>
            </w:r>
          </w:p>
        </w:tc>
      </w:tr>
      <w:tr>
        <w:trPr>
          <w:trHeight w:val="223"/>
        </w:trPr>
        <w:tc>
          <w:tcPr>
            <w:tcW w:w="840" w:type="dxa"/>
            <w:vAlign w:val="bottom"/>
          </w:tcPr>
          <w:p>
            <w:pPr>
              <w:spacing w:after="0"/>
              <w:rPr>
                <w:sz w:val="20"/>
                <w:szCs w:val="20"/>
                <w:color w:val="auto"/>
              </w:rPr>
            </w:pPr>
            <w:r>
              <w:rPr>
                <w:rFonts w:ascii="Arial" w:cs="Arial" w:eastAsia="Arial" w:hAnsi="Arial"/>
                <w:sz w:val="11"/>
                <w:szCs w:val="11"/>
                <w:color w:val="003551"/>
              </w:rPr>
              <w:t>7/1/23</w:t>
            </w:r>
            <w:r>
              <w:rPr>
                <w:rFonts w:ascii="Arial" w:cs="Arial" w:eastAsia="Arial" w:hAnsi="Arial"/>
                <w:sz w:val="18"/>
                <w:szCs w:val="18"/>
                <w:color w:val="003551"/>
                <w:vertAlign w:val="superscript"/>
              </w:rPr>
              <w:t>(7)</w:t>
            </w:r>
          </w:p>
        </w:tc>
        <w:tc>
          <w:tcPr>
            <w:tcW w:w="900" w:type="dxa"/>
            <w:vAlign w:val="bottom"/>
          </w:tcPr>
          <w:p>
            <w:pPr>
              <w:ind w:left="280"/>
              <w:spacing w:after="0"/>
              <w:rPr>
                <w:sz w:val="20"/>
                <w:szCs w:val="20"/>
                <w:color w:val="auto"/>
              </w:rPr>
            </w:pPr>
            <w:r>
              <w:rPr>
                <w:rFonts w:ascii="Arial" w:cs="Arial" w:eastAsia="Arial" w:hAnsi="Arial"/>
                <w:sz w:val="11"/>
                <w:szCs w:val="11"/>
                <w:color w:val="003551"/>
              </w:rPr>
              <w:t>—</w:t>
            </w:r>
          </w:p>
        </w:tc>
        <w:tc>
          <w:tcPr>
            <w:tcW w:w="580" w:type="dxa"/>
            <w:vAlign w:val="bottom"/>
          </w:tcPr>
          <w:p>
            <w:pPr>
              <w:ind w:left="120"/>
              <w:spacing w:after="0"/>
              <w:rPr>
                <w:sz w:val="20"/>
                <w:szCs w:val="20"/>
                <w:color w:val="auto"/>
              </w:rPr>
            </w:pPr>
            <w:r>
              <w:rPr>
                <w:rFonts w:ascii="Arial" w:cs="Arial" w:eastAsia="Arial" w:hAnsi="Arial"/>
                <w:sz w:val="11"/>
                <w:szCs w:val="11"/>
                <w:color w:val="003551"/>
              </w:rPr>
              <w:t>—</w:t>
            </w:r>
          </w:p>
        </w:tc>
        <w:tc>
          <w:tcPr>
            <w:tcW w:w="980" w:type="dxa"/>
            <w:vAlign w:val="bottom"/>
          </w:tcPr>
          <w:p>
            <w:pPr>
              <w:ind w:left="360"/>
              <w:spacing w:after="0"/>
              <w:rPr>
                <w:sz w:val="20"/>
                <w:szCs w:val="20"/>
                <w:color w:val="auto"/>
              </w:rPr>
            </w:pPr>
            <w:r>
              <w:rPr>
                <w:rFonts w:ascii="Arial" w:cs="Arial" w:eastAsia="Arial" w:hAnsi="Arial"/>
                <w:sz w:val="11"/>
                <w:szCs w:val="11"/>
                <w:color w:val="003551"/>
              </w:rPr>
              <w:t>—</w:t>
            </w:r>
          </w:p>
        </w:tc>
        <w:tc>
          <w:tcPr>
            <w:tcW w:w="520" w:type="dxa"/>
            <w:vAlign w:val="bottom"/>
          </w:tcPr>
          <w:p>
            <w:pPr>
              <w:ind w:left="120"/>
              <w:spacing w:after="0"/>
              <w:rPr>
                <w:sz w:val="20"/>
                <w:szCs w:val="20"/>
                <w:color w:val="auto"/>
              </w:rPr>
            </w:pPr>
            <w:r>
              <w:rPr>
                <w:rFonts w:ascii="Arial" w:cs="Arial" w:eastAsia="Arial" w:hAnsi="Arial"/>
                <w:sz w:val="11"/>
                <w:szCs w:val="11"/>
                <w:color w:val="003551"/>
              </w:rPr>
              <w:t>—</w:t>
            </w:r>
          </w:p>
        </w:tc>
        <w:tc>
          <w:tcPr>
            <w:tcW w:w="640" w:type="dxa"/>
            <w:vAlign w:val="bottom"/>
          </w:tcPr>
          <w:p>
            <w:pPr>
              <w:ind w:left="120"/>
              <w:spacing w:after="0"/>
              <w:rPr>
                <w:sz w:val="20"/>
                <w:szCs w:val="20"/>
                <w:color w:val="auto"/>
              </w:rPr>
            </w:pPr>
            <w:r>
              <w:rPr>
                <w:rFonts w:ascii="Arial" w:cs="Arial" w:eastAsia="Arial" w:hAnsi="Arial"/>
                <w:sz w:val="11"/>
                <w:szCs w:val="11"/>
                <w:color w:val="003551"/>
              </w:rPr>
              <w:t>—</w:t>
            </w:r>
          </w:p>
        </w:tc>
        <w:tc>
          <w:tcPr>
            <w:tcW w:w="660" w:type="dxa"/>
            <w:vAlign w:val="bottom"/>
          </w:tcPr>
          <w:p>
            <w:pPr>
              <w:ind w:left="100"/>
              <w:spacing w:after="0"/>
              <w:rPr>
                <w:sz w:val="20"/>
                <w:szCs w:val="20"/>
                <w:color w:val="auto"/>
              </w:rPr>
            </w:pPr>
            <w:r>
              <w:rPr>
                <w:rFonts w:ascii="Arial" w:cs="Arial" w:eastAsia="Arial" w:hAnsi="Arial"/>
                <w:sz w:val="11"/>
                <w:szCs w:val="11"/>
                <w:color w:val="003551"/>
              </w:rPr>
              <w:t>271,546</w:t>
            </w:r>
          </w:p>
        </w:tc>
        <w:tc>
          <w:tcPr>
            <w:tcW w:w="780" w:type="dxa"/>
            <w:vAlign w:val="bottom"/>
          </w:tcPr>
          <w:p>
            <w:pPr>
              <w:ind w:left="40"/>
              <w:spacing w:after="0"/>
              <w:rPr>
                <w:sz w:val="20"/>
                <w:szCs w:val="20"/>
                <w:color w:val="auto"/>
              </w:rPr>
            </w:pPr>
            <w:r>
              <w:rPr>
                <w:rFonts w:ascii="Arial" w:cs="Arial" w:eastAsia="Arial" w:hAnsi="Arial"/>
                <w:sz w:val="11"/>
                <w:szCs w:val="11"/>
                <w:color w:val="003551"/>
              </w:rPr>
              <w:t>$3,956,425</w:t>
            </w:r>
          </w:p>
        </w:tc>
        <w:tc>
          <w:tcPr>
            <w:tcW w:w="660" w:type="dxa"/>
            <w:vAlign w:val="bottom"/>
          </w:tcPr>
          <w:p>
            <w:pPr>
              <w:ind w:left="80"/>
              <w:spacing w:after="0"/>
              <w:rPr>
                <w:sz w:val="20"/>
                <w:szCs w:val="20"/>
                <w:color w:val="auto"/>
              </w:rPr>
            </w:pPr>
            <w:r>
              <w:rPr>
                <w:rFonts w:ascii="Arial" w:cs="Arial" w:eastAsia="Arial" w:hAnsi="Arial"/>
                <w:sz w:val="11"/>
                <w:szCs w:val="11"/>
                <w:color w:val="003551"/>
              </w:rPr>
              <w:t>—</w:t>
            </w:r>
          </w:p>
        </w:tc>
        <w:tc>
          <w:tcPr>
            <w:tcW w:w="700" w:type="dxa"/>
            <w:vAlign w:val="bottom"/>
          </w:tcPr>
          <w:p>
            <w:pPr>
              <w:ind w:left="80"/>
              <w:spacing w:after="0"/>
              <w:rPr>
                <w:sz w:val="20"/>
                <w:szCs w:val="20"/>
                <w:color w:val="auto"/>
              </w:rPr>
            </w:pPr>
            <w:r>
              <w:rPr>
                <w:rFonts w:ascii="Arial" w:cs="Arial" w:eastAsia="Arial" w:hAnsi="Arial"/>
                <w:sz w:val="11"/>
                <w:szCs w:val="11"/>
                <w:color w:val="003551"/>
              </w:rPr>
              <w:t>—</w:t>
            </w:r>
          </w:p>
        </w:tc>
      </w:tr>
      <w:tr>
        <w:trPr>
          <w:trHeight w:val="223"/>
        </w:trPr>
        <w:tc>
          <w:tcPr>
            <w:tcW w:w="840" w:type="dxa"/>
            <w:vAlign w:val="bottom"/>
          </w:tcPr>
          <w:p>
            <w:pPr>
              <w:spacing w:after="0"/>
              <w:rPr>
                <w:sz w:val="20"/>
                <w:szCs w:val="20"/>
                <w:color w:val="auto"/>
              </w:rPr>
            </w:pPr>
            <w:r>
              <w:rPr>
                <w:rFonts w:ascii="Arial" w:cs="Arial" w:eastAsia="Arial" w:hAnsi="Arial"/>
                <w:sz w:val="11"/>
                <w:szCs w:val="11"/>
                <w:color w:val="003551"/>
              </w:rPr>
              <w:t>7/1/23</w:t>
            </w:r>
            <w:r>
              <w:rPr>
                <w:rFonts w:ascii="Arial" w:cs="Arial" w:eastAsia="Arial" w:hAnsi="Arial"/>
                <w:sz w:val="18"/>
                <w:szCs w:val="18"/>
                <w:color w:val="003551"/>
                <w:vertAlign w:val="superscript"/>
              </w:rPr>
              <w:t>(8)</w:t>
            </w:r>
          </w:p>
        </w:tc>
        <w:tc>
          <w:tcPr>
            <w:tcW w:w="900" w:type="dxa"/>
            <w:vAlign w:val="bottom"/>
          </w:tcPr>
          <w:p>
            <w:pPr>
              <w:ind w:left="280"/>
              <w:spacing w:after="0"/>
              <w:rPr>
                <w:sz w:val="20"/>
                <w:szCs w:val="20"/>
                <w:color w:val="auto"/>
              </w:rPr>
            </w:pPr>
            <w:r>
              <w:rPr>
                <w:rFonts w:ascii="Arial" w:cs="Arial" w:eastAsia="Arial" w:hAnsi="Arial"/>
                <w:sz w:val="11"/>
                <w:szCs w:val="11"/>
                <w:color w:val="003551"/>
              </w:rPr>
              <w:t>—</w:t>
            </w:r>
          </w:p>
        </w:tc>
        <w:tc>
          <w:tcPr>
            <w:tcW w:w="580" w:type="dxa"/>
            <w:vAlign w:val="bottom"/>
          </w:tcPr>
          <w:p>
            <w:pPr>
              <w:ind w:left="120"/>
              <w:spacing w:after="0"/>
              <w:rPr>
                <w:sz w:val="20"/>
                <w:szCs w:val="20"/>
                <w:color w:val="auto"/>
              </w:rPr>
            </w:pPr>
            <w:r>
              <w:rPr>
                <w:rFonts w:ascii="Arial" w:cs="Arial" w:eastAsia="Arial" w:hAnsi="Arial"/>
                <w:sz w:val="11"/>
                <w:szCs w:val="11"/>
                <w:color w:val="003551"/>
              </w:rPr>
              <w:t>—</w:t>
            </w:r>
          </w:p>
        </w:tc>
        <w:tc>
          <w:tcPr>
            <w:tcW w:w="980" w:type="dxa"/>
            <w:vAlign w:val="bottom"/>
          </w:tcPr>
          <w:p>
            <w:pPr>
              <w:ind w:left="360"/>
              <w:spacing w:after="0"/>
              <w:rPr>
                <w:sz w:val="20"/>
                <w:szCs w:val="20"/>
                <w:color w:val="auto"/>
              </w:rPr>
            </w:pPr>
            <w:r>
              <w:rPr>
                <w:rFonts w:ascii="Arial" w:cs="Arial" w:eastAsia="Arial" w:hAnsi="Arial"/>
                <w:sz w:val="11"/>
                <w:szCs w:val="11"/>
                <w:color w:val="003551"/>
              </w:rPr>
              <w:t>—</w:t>
            </w:r>
          </w:p>
        </w:tc>
        <w:tc>
          <w:tcPr>
            <w:tcW w:w="520" w:type="dxa"/>
            <w:vAlign w:val="bottom"/>
          </w:tcPr>
          <w:p>
            <w:pPr>
              <w:ind w:left="120"/>
              <w:spacing w:after="0"/>
              <w:rPr>
                <w:sz w:val="20"/>
                <w:szCs w:val="20"/>
                <w:color w:val="auto"/>
              </w:rPr>
            </w:pPr>
            <w:r>
              <w:rPr>
                <w:rFonts w:ascii="Arial" w:cs="Arial" w:eastAsia="Arial" w:hAnsi="Arial"/>
                <w:sz w:val="11"/>
                <w:szCs w:val="11"/>
                <w:color w:val="003551"/>
              </w:rPr>
              <w:t>—</w:t>
            </w:r>
          </w:p>
        </w:tc>
        <w:tc>
          <w:tcPr>
            <w:tcW w:w="640" w:type="dxa"/>
            <w:vAlign w:val="bottom"/>
          </w:tcPr>
          <w:p>
            <w:pPr>
              <w:ind w:left="120"/>
              <w:spacing w:after="0"/>
              <w:rPr>
                <w:sz w:val="20"/>
                <w:szCs w:val="20"/>
                <w:color w:val="auto"/>
              </w:rPr>
            </w:pPr>
            <w:r>
              <w:rPr>
                <w:rFonts w:ascii="Arial" w:cs="Arial" w:eastAsia="Arial" w:hAnsi="Arial"/>
                <w:sz w:val="11"/>
                <w:szCs w:val="11"/>
                <w:color w:val="003551"/>
              </w:rPr>
              <w:t>—</w:t>
            </w:r>
          </w:p>
        </w:tc>
        <w:tc>
          <w:tcPr>
            <w:tcW w:w="660" w:type="dxa"/>
            <w:vAlign w:val="bottom"/>
          </w:tcPr>
          <w:p>
            <w:pPr>
              <w:ind w:left="100"/>
              <w:spacing w:after="0"/>
              <w:rPr>
                <w:sz w:val="20"/>
                <w:szCs w:val="20"/>
                <w:color w:val="auto"/>
              </w:rPr>
            </w:pPr>
            <w:r>
              <w:rPr>
                <w:rFonts w:ascii="Arial" w:cs="Arial" w:eastAsia="Arial" w:hAnsi="Arial"/>
                <w:sz w:val="11"/>
                <w:szCs w:val="11"/>
                <w:color w:val="003551"/>
              </w:rPr>
              <w:t>—</w:t>
            </w:r>
          </w:p>
        </w:tc>
        <w:tc>
          <w:tcPr>
            <w:tcW w:w="780" w:type="dxa"/>
            <w:vAlign w:val="bottom"/>
          </w:tcPr>
          <w:p>
            <w:pPr>
              <w:ind w:left="40"/>
              <w:spacing w:after="0"/>
              <w:rPr>
                <w:sz w:val="20"/>
                <w:szCs w:val="20"/>
                <w:color w:val="auto"/>
              </w:rPr>
            </w:pPr>
            <w:r>
              <w:rPr>
                <w:rFonts w:ascii="Arial" w:cs="Arial" w:eastAsia="Arial" w:hAnsi="Arial"/>
                <w:sz w:val="11"/>
                <w:szCs w:val="11"/>
                <w:color w:val="003551"/>
              </w:rPr>
              <w:t>—</w:t>
            </w:r>
          </w:p>
        </w:tc>
        <w:tc>
          <w:tcPr>
            <w:tcW w:w="660" w:type="dxa"/>
            <w:vAlign w:val="bottom"/>
          </w:tcPr>
          <w:p>
            <w:pPr>
              <w:ind w:left="80"/>
              <w:spacing w:after="0"/>
              <w:rPr>
                <w:sz w:val="20"/>
                <w:szCs w:val="20"/>
                <w:color w:val="auto"/>
              </w:rPr>
            </w:pPr>
            <w:r>
              <w:rPr>
                <w:rFonts w:ascii="Arial" w:cs="Arial" w:eastAsia="Arial" w:hAnsi="Arial"/>
                <w:sz w:val="11"/>
                <w:szCs w:val="11"/>
                <w:color w:val="003551"/>
              </w:rPr>
              <w:t>529,275</w:t>
            </w:r>
          </w:p>
        </w:tc>
        <w:tc>
          <w:tcPr>
            <w:tcW w:w="700" w:type="dxa"/>
            <w:vAlign w:val="bottom"/>
          </w:tcPr>
          <w:p>
            <w:pPr>
              <w:ind w:left="80"/>
              <w:spacing w:after="0"/>
              <w:rPr>
                <w:sz w:val="20"/>
                <w:szCs w:val="20"/>
                <w:color w:val="auto"/>
              </w:rPr>
            </w:pPr>
            <w:r>
              <w:rPr>
                <w:rFonts w:ascii="Arial" w:cs="Arial" w:eastAsia="Arial" w:hAnsi="Arial"/>
                <w:sz w:val="11"/>
                <w:szCs w:val="11"/>
                <w:color w:val="003551"/>
              </w:rPr>
              <w:t>$7,711,537</w:t>
            </w:r>
          </w:p>
        </w:tc>
      </w:tr>
      <w:tr>
        <w:trPr>
          <w:trHeight w:val="223"/>
        </w:trPr>
        <w:tc>
          <w:tcPr>
            <w:tcW w:w="840" w:type="dxa"/>
            <w:vAlign w:val="bottom"/>
          </w:tcPr>
          <w:p>
            <w:pPr>
              <w:spacing w:after="0"/>
              <w:rPr>
                <w:sz w:val="20"/>
                <w:szCs w:val="20"/>
                <w:color w:val="auto"/>
              </w:rPr>
            </w:pPr>
            <w:r>
              <w:rPr>
                <w:rFonts w:ascii="Arial" w:cs="Arial" w:eastAsia="Arial" w:hAnsi="Arial"/>
                <w:sz w:val="11"/>
                <w:szCs w:val="11"/>
                <w:color w:val="003551"/>
              </w:rPr>
              <w:t>7/1/24</w:t>
            </w:r>
            <w:r>
              <w:rPr>
                <w:rFonts w:ascii="Arial" w:cs="Arial" w:eastAsia="Arial" w:hAnsi="Arial"/>
                <w:sz w:val="18"/>
                <w:szCs w:val="18"/>
                <w:color w:val="003551"/>
                <w:vertAlign w:val="superscript"/>
              </w:rPr>
              <w:t>(9)</w:t>
            </w:r>
          </w:p>
        </w:tc>
        <w:tc>
          <w:tcPr>
            <w:tcW w:w="900" w:type="dxa"/>
            <w:vAlign w:val="bottom"/>
          </w:tcPr>
          <w:p>
            <w:pPr>
              <w:ind w:left="280"/>
              <w:spacing w:after="0"/>
              <w:rPr>
                <w:sz w:val="20"/>
                <w:szCs w:val="20"/>
                <w:color w:val="auto"/>
              </w:rPr>
            </w:pPr>
            <w:r>
              <w:rPr>
                <w:rFonts w:ascii="Arial" w:cs="Arial" w:eastAsia="Arial" w:hAnsi="Arial"/>
                <w:sz w:val="11"/>
                <w:szCs w:val="11"/>
                <w:color w:val="003551"/>
              </w:rPr>
              <w:t>—</w:t>
            </w:r>
          </w:p>
        </w:tc>
        <w:tc>
          <w:tcPr>
            <w:tcW w:w="580" w:type="dxa"/>
            <w:vAlign w:val="bottom"/>
          </w:tcPr>
          <w:p>
            <w:pPr>
              <w:ind w:left="120"/>
              <w:spacing w:after="0"/>
              <w:rPr>
                <w:sz w:val="20"/>
                <w:szCs w:val="20"/>
                <w:color w:val="auto"/>
              </w:rPr>
            </w:pPr>
            <w:r>
              <w:rPr>
                <w:rFonts w:ascii="Arial" w:cs="Arial" w:eastAsia="Arial" w:hAnsi="Arial"/>
                <w:sz w:val="11"/>
                <w:szCs w:val="11"/>
                <w:color w:val="003551"/>
              </w:rPr>
              <w:t>—</w:t>
            </w:r>
          </w:p>
        </w:tc>
        <w:tc>
          <w:tcPr>
            <w:tcW w:w="980" w:type="dxa"/>
            <w:vAlign w:val="bottom"/>
          </w:tcPr>
          <w:p>
            <w:pPr>
              <w:ind w:left="360"/>
              <w:spacing w:after="0"/>
              <w:rPr>
                <w:sz w:val="20"/>
                <w:szCs w:val="20"/>
                <w:color w:val="auto"/>
              </w:rPr>
            </w:pPr>
            <w:r>
              <w:rPr>
                <w:rFonts w:ascii="Arial" w:cs="Arial" w:eastAsia="Arial" w:hAnsi="Arial"/>
                <w:sz w:val="11"/>
                <w:szCs w:val="11"/>
                <w:color w:val="003551"/>
              </w:rPr>
              <w:t>—</w:t>
            </w:r>
          </w:p>
        </w:tc>
        <w:tc>
          <w:tcPr>
            <w:tcW w:w="520" w:type="dxa"/>
            <w:vAlign w:val="bottom"/>
          </w:tcPr>
          <w:p>
            <w:pPr>
              <w:ind w:left="120"/>
              <w:spacing w:after="0"/>
              <w:rPr>
                <w:sz w:val="20"/>
                <w:szCs w:val="20"/>
                <w:color w:val="auto"/>
              </w:rPr>
            </w:pPr>
            <w:r>
              <w:rPr>
                <w:rFonts w:ascii="Arial" w:cs="Arial" w:eastAsia="Arial" w:hAnsi="Arial"/>
                <w:sz w:val="11"/>
                <w:szCs w:val="11"/>
                <w:color w:val="003551"/>
              </w:rPr>
              <w:t>—</w:t>
            </w:r>
          </w:p>
        </w:tc>
        <w:tc>
          <w:tcPr>
            <w:tcW w:w="640" w:type="dxa"/>
            <w:vAlign w:val="bottom"/>
          </w:tcPr>
          <w:p>
            <w:pPr>
              <w:ind w:left="120"/>
              <w:spacing w:after="0"/>
              <w:rPr>
                <w:sz w:val="20"/>
                <w:szCs w:val="20"/>
                <w:color w:val="auto"/>
              </w:rPr>
            </w:pPr>
            <w:r>
              <w:rPr>
                <w:rFonts w:ascii="Arial" w:cs="Arial" w:eastAsia="Arial" w:hAnsi="Arial"/>
                <w:sz w:val="11"/>
                <w:szCs w:val="11"/>
                <w:color w:val="003551"/>
              </w:rPr>
              <w:t>—</w:t>
            </w:r>
          </w:p>
        </w:tc>
        <w:tc>
          <w:tcPr>
            <w:tcW w:w="660" w:type="dxa"/>
            <w:vAlign w:val="bottom"/>
          </w:tcPr>
          <w:p>
            <w:pPr>
              <w:ind w:left="100"/>
              <w:spacing w:after="0"/>
              <w:rPr>
                <w:sz w:val="20"/>
                <w:szCs w:val="20"/>
                <w:color w:val="auto"/>
              </w:rPr>
            </w:pPr>
            <w:r>
              <w:rPr>
                <w:rFonts w:ascii="Arial" w:cs="Arial" w:eastAsia="Arial" w:hAnsi="Arial"/>
                <w:sz w:val="11"/>
                <w:szCs w:val="11"/>
                <w:color w:val="003551"/>
              </w:rPr>
              <w:t>354,297</w:t>
            </w:r>
          </w:p>
        </w:tc>
        <w:tc>
          <w:tcPr>
            <w:tcW w:w="780" w:type="dxa"/>
            <w:vAlign w:val="bottom"/>
          </w:tcPr>
          <w:p>
            <w:pPr>
              <w:ind w:left="40"/>
              <w:spacing w:after="0"/>
              <w:rPr>
                <w:sz w:val="20"/>
                <w:szCs w:val="20"/>
                <w:color w:val="auto"/>
              </w:rPr>
            </w:pPr>
            <w:r>
              <w:rPr>
                <w:rFonts w:ascii="Arial" w:cs="Arial" w:eastAsia="Arial" w:hAnsi="Arial"/>
                <w:sz w:val="11"/>
                <w:szCs w:val="11"/>
                <w:color w:val="003551"/>
              </w:rPr>
              <w:t>$5,162,107</w:t>
            </w:r>
          </w:p>
        </w:tc>
        <w:tc>
          <w:tcPr>
            <w:tcW w:w="660" w:type="dxa"/>
            <w:vAlign w:val="bottom"/>
          </w:tcPr>
          <w:p>
            <w:pPr>
              <w:ind w:left="80"/>
              <w:spacing w:after="0"/>
              <w:rPr>
                <w:sz w:val="20"/>
                <w:szCs w:val="20"/>
                <w:color w:val="auto"/>
              </w:rPr>
            </w:pPr>
            <w:r>
              <w:rPr>
                <w:rFonts w:ascii="Arial" w:cs="Arial" w:eastAsia="Arial" w:hAnsi="Arial"/>
                <w:sz w:val="11"/>
                <w:szCs w:val="11"/>
                <w:color w:val="003551"/>
              </w:rPr>
              <w:t>—</w:t>
            </w:r>
          </w:p>
        </w:tc>
        <w:tc>
          <w:tcPr>
            <w:tcW w:w="700" w:type="dxa"/>
            <w:vAlign w:val="bottom"/>
          </w:tcPr>
          <w:p>
            <w:pPr>
              <w:ind w:left="80"/>
              <w:spacing w:after="0"/>
              <w:rPr>
                <w:sz w:val="20"/>
                <w:szCs w:val="20"/>
                <w:color w:val="auto"/>
              </w:rPr>
            </w:pPr>
            <w:r>
              <w:rPr>
                <w:rFonts w:ascii="Arial" w:cs="Arial" w:eastAsia="Arial" w:hAnsi="Arial"/>
                <w:sz w:val="11"/>
                <w:szCs w:val="11"/>
                <w:color w:val="003551"/>
              </w:rPr>
              <w:t>—</w:t>
            </w:r>
          </w:p>
        </w:tc>
      </w:tr>
      <w:tr>
        <w:trPr>
          <w:trHeight w:val="223"/>
        </w:trPr>
        <w:tc>
          <w:tcPr>
            <w:tcW w:w="840" w:type="dxa"/>
            <w:vAlign w:val="bottom"/>
          </w:tcPr>
          <w:p>
            <w:pPr>
              <w:spacing w:after="0"/>
              <w:rPr>
                <w:sz w:val="20"/>
                <w:szCs w:val="20"/>
                <w:color w:val="auto"/>
              </w:rPr>
            </w:pPr>
            <w:r>
              <w:rPr>
                <w:rFonts w:ascii="Arial" w:cs="Arial" w:eastAsia="Arial" w:hAnsi="Arial"/>
                <w:sz w:val="11"/>
                <w:szCs w:val="11"/>
                <w:color w:val="003551"/>
              </w:rPr>
              <w:t>7/1/24</w:t>
            </w:r>
            <w:r>
              <w:rPr>
                <w:rFonts w:ascii="Arial" w:cs="Arial" w:eastAsia="Arial" w:hAnsi="Arial"/>
                <w:sz w:val="18"/>
                <w:szCs w:val="18"/>
                <w:color w:val="003551"/>
                <w:vertAlign w:val="superscript"/>
              </w:rPr>
              <w:t>(10)</w:t>
            </w:r>
          </w:p>
        </w:tc>
        <w:tc>
          <w:tcPr>
            <w:tcW w:w="900" w:type="dxa"/>
            <w:vAlign w:val="bottom"/>
          </w:tcPr>
          <w:p>
            <w:pPr>
              <w:ind w:left="280"/>
              <w:spacing w:after="0"/>
              <w:rPr>
                <w:sz w:val="20"/>
                <w:szCs w:val="20"/>
                <w:color w:val="auto"/>
              </w:rPr>
            </w:pPr>
            <w:r>
              <w:rPr>
                <w:rFonts w:ascii="Arial" w:cs="Arial" w:eastAsia="Arial" w:hAnsi="Arial"/>
                <w:sz w:val="11"/>
                <w:szCs w:val="11"/>
                <w:color w:val="003551"/>
              </w:rPr>
              <w:t>—</w:t>
            </w:r>
          </w:p>
        </w:tc>
        <w:tc>
          <w:tcPr>
            <w:tcW w:w="580" w:type="dxa"/>
            <w:vAlign w:val="bottom"/>
          </w:tcPr>
          <w:p>
            <w:pPr>
              <w:ind w:left="120"/>
              <w:spacing w:after="0"/>
              <w:rPr>
                <w:sz w:val="20"/>
                <w:szCs w:val="20"/>
                <w:color w:val="auto"/>
              </w:rPr>
            </w:pPr>
            <w:r>
              <w:rPr>
                <w:rFonts w:ascii="Arial" w:cs="Arial" w:eastAsia="Arial" w:hAnsi="Arial"/>
                <w:sz w:val="11"/>
                <w:szCs w:val="11"/>
                <w:color w:val="003551"/>
              </w:rPr>
              <w:t>—</w:t>
            </w:r>
          </w:p>
        </w:tc>
        <w:tc>
          <w:tcPr>
            <w:tcW w:w="980" w:type="dxa"/>
            <w:vAlign w:val="bottom"/>
          </w:tcPr>
          <w:p>
            <w:pPr>
              <w:ind w:left="360"/>
              <w:spacing w:after="0"/>
              <w:rPr>
                <w:sz w:val="20"/>
                <w:szCs w:val="20"/>
                <w:color w:val="auto"/>
              </w:rPr>
            </w:pPr>
            <w:r>
              <w:rPr>
                <w:rFonts w:ascii="Arial" w:cs="Arial" w:eastAsia="Arial" w:hAnsi="Arial"/>
                <w:sz w:val="11"/>
                <w:szCs w:val="11"/>
                <w:color w:val="003551"/>
              </w:rPr>
              <w:t>—</w:t>
            </w:r>
          </w:p>
        </w:tc>
        <w:tc>
          <w:tcPr>
            <w:tcW w:w="520" w:type="dxa"/>
            <w:vAlign w:val="bottom"/>
          </w:tcPr>
          <w:p>
            <w:pPr>
              <w:ind w:left="120"/>
              <w:spacing w:after="0"/>
              <w:rPr>
                <w:sz w:val="20"/>
                <w:szCs w:val="20"/>
                <w:color w:val="auto"/>
              </w:rPr>
            </w:pPr>
            <w:r>
              <w:rPr>
                <w:rFonts w:ascii="Arial" w:cs="Arial" w:eastAsia="Arial" w:hAnsi="Arial"/>
                <w:sz w:val="11"/>
                <w:szCs w:val="11"/>
                <w:color w:val="003551"/>
              </w:rPr>
              <w:t>—</w:t>
            </w:r>
          </w:p>
        </w:tc>
        <w:tc>
          <w:tcPr>
            <w:tcW w:w="640" w:type="dxa"/>
            <w:vAlign w:val="bottom"/>
          </w:tcPr>
          <w:p>
            <w:pPr>
              <w:ind w:left="120"/>
              <w:spacing w:after="0"/>
              <w:rPr>
                <w:sz w:val="20"/>
                <w:szCs w:val="20"/>
                <w:color w:val="auto"/>
              </w:rPr>
            </w:pPr>
            <w:r>
              <w:rPr>
                <w:rFonts w:ascii="Arial" w:cs="Arial" w:eastAsia="Arial" w:hAnsi="Arial"/>
                <w:sz w:val="11"/>
                <w:szCs w:val="11"/>
                <w:color w:val="003551"/>
              </w:rPr>
              <w:t>—</w:t>
            </w:r>
          </w:p>
        </w:tc>
        <w:tc>
          <w:tcPr>
            <w:tcW w:w="660" w:type="dxa"/>
            <w:vAlign w:val="bottom"/>
          </w:tcPr>
          <w:p>
            <w:pPr>
              <w:ind w:left="100"/>
              <w:spacing w:after="0"/>
              <w:rPr>
                <w:sz w:val="20"/>
                <w:szCs w:val="20"/>
                <w:color w:val="auto"/>
              </w:rPr>
            </w:pPr>
            <w:r>
              <w:rPr>
                <w:rFonts w:ascii="Arial" w:cs="Arial" w:eastAsia="Arial" w:hAnsi="Arial"/>
                <w:sz w:val="11"/>
                <w:szCs w:val="11"/>
                <w:color w:val="003551"/>
              </w:rPr>
              <w:t>984,094</w:t>
            </w:r>
          </w:p>
        </w:tc>
        <w:tc>
          <w:tcPr>
            <w:tcW w:w="780" w:type="dxa"/>
            <w:vAlign w:val="bottom"/>
          </w:tcPr>
          <w:p>
            <w:pPr>
              <w:ind w:left="40"/>
              <w:spacing w:after="0"/>
              <w:rPr>
                <w:sz w:val="20"/>
                <w:szCs w:val="20"/>
                <w:color w:val="auto"/>
              </w:rPr>
            </w:pPr>
            <w:r>
              <w:rPr>
                <w:rFonts w:ascii="Arial" w:cs="Arial" w:eastAsia="Arial" w:hAnsi="Arial"/>
                <w:sz w:val="11"/>
                <w:szCs w:val="11"/>
                <w:color w:val="003551"/>
              </w:rPr>
              <w:t>$14,338,250</w:t>
            </w:r>
          </w:p>
        </w:tc>
        <w:tc>
          <w:tcPr>
            <w:tcW w:w="660" w:type="dxa"/>
            <w:vAlign w:val="bottom"/>
          </w:tcPr>
          <w:p>
            <w:pPr>
              <w:ind w:left="80"/>
              <w:spacing w:after="0"/>
              <w:rPr>
                <w:sz w:val="20"/>
                <w:szCs w:val="20"/>
                <w:color w:val="auto"/>
              </w:rPr>
            </w:pPr>
            <w:r>
              <w:rPr>
                <w:rFonts w:ascii="Arial" w:cs="Arial" w:eastAsia="Arial" w:hAnsi="Arial"/>
                <w:sz w:val="11"/>
                <w:szCs w:val="11"/>
                <w:color w:val="003551"/>
              </w:rPr>
              <w:t>—</w:t>
            </w:r>
          </w:p>
        </w:tc>
        <w:tc>
          <w:tcPr>
            <w:tcW w:w="700" w:type="dxa"/>
            <w:vAlign w:val="bottom"/>
          </w:tcPr>
          <w:p>
            <w:pPr>
              <w:ind w:left="80"/>
              <w:spacing w:after="0"/>
              <w:rPr>
                <w:sz w:val="20"/>
                <w:szCs w:val="20"/>
                <w:color w:val="auto"/>
              </w:rPr>
            </w:pPr>
            <w:r>
              <w:rPr>
                <w:rFonts w:ascii="Arial" w:cs="Arial" w:eastAsia="Arial" w:hAnsi="Arial"/>
                <w:sz w:val="11"/>
                <w:szCs w:val="11"/>
                <w:color w:val="003551"/>
              </w:rPr>
              <w:t>—</w:t>
            </w:r>
          </w:p>
        </w:tc>
      </w:tr>
      <w:tr>
        <w:trPr>
          <w:trHeight w:val="223"/>
        </w:trPr>
        <w:tc>
          <w:tcPr>
            <w:tcW w:w="840" w:type="dxa"/>
            <w:vAlign w:val="bottom"/>
          </w:tcPr>
          <w:p>
            <w:pPr>
              <w:spacing w:after="0"/>
              <w:rPr>
                <w:sz w:val="20"/>
                <w:szCs w:val="20"/>
                <w:color w:val="auto"/>
              </w:rPr>
            </w:pPr>
            <w:r>
              <w:rPr>
                <w:rFonts w:ascii="Arial" w:cs="Arial" w:eastAsia="Arial" w:hAnsi="Arial"/>
                <w:sz w:val="11"/>
                <w:szCs w:val="11"/>
                <w:color w:val="003551"/>
              </w:rPr>
              <w:t>5/19/25</w:t>
            </w:r>
            <w:r>
              <w:rPr>
                <w:rFonts w:ascii="Arial" w:cs="Arial" w:eastAsia="Arial" w:hAnsi="Arial"/>
                <w:sz w:val="18"/>
                <w:szCs w:val="18"/>
                <w:color w:val="003551"/>
                <w:vertAlign w:val="superscript"/>
              </w:rPr>
              <w:t>(11)</w:t>
            </w:r>
          </w:p>
        </w:tc>
        <w:tc>
          <w:tcPr>
            <w:tcW w:w="900" w:type="dxa"/>
            <w:vAlign w:val="bottom"/>
          </w:tcPr>
          <w:p>
            <w:pPr>
              <w:ind w:left="280"/>
              <w:spacing w:after="0"/>
              <w:rPr>
                <w:sz w:val="20"/>
                <w:szCs w:val="20"/>
                <w:color w:val="auto"/>
              </w:rPr>
            </w:pPr>
            <w:r>
              <w:rPr>
                <w:rFonts w:ascii="Arial" w:cs="Arial" w:eastAsia="Arial" w:hAnsi="Arial"/>
                <w:sz w:val="11"/>
                <w:szCs w:val="11"/>
                <w:color w:val="003551"/>
              </w:rPr>
              <w:t>—</w:t>
            </w:r>
          </w:p>
        </w:tc>
        <w:tc>
          <w:tcPr>
            <w:tcW w:w="580" w:type="dxa"/>
            <w:vAlign w:val="bottom"/>
          </w:tcPr>
          <w:p>
            <w:pPr>
              <w:ind w:left="120"/>
              <w:spacing w:after="0"/>
              <w:rPr>
                <w:sz w:val="20"/>
                <w:szCs w:val="20"/>
                <w:color w:val="auto"/>
              </w:rPr>
            </w:pPr>
            <w:r>
              <w:rPr>
                <w:rFonts w:ascii="Arial" w:cs="Arial" w:eastAsia="Arial" w:hAnsi="Arial"/>
                <w:sz w:val="11"/>
                <w:szCs w:val="11"/>
                <w:color w:val="003551"/>
              </w:rPr>
              <w:t>—</w:t>
            </w:r>
          </w:p>
        </w:tc>
        <w:tc>
          <w:tcPr>
            <w:tcW w:w="980" w:type="dxa"/>
            <w:vAlign w:val="bottom"/>
          </w:tcPr>
          <w:p>
            <w:pPr>
              <w:ind w:left="360"/>
              <w:spacing w:after="0"/>
              <w:rPr>
                <w:sz w:val="20"/>
                <w:szCs w:val="20"/>
                <w:color w:val="auto"/>
              </w:rPr>
            </w:pPr>
            <w:r>
              <w:rPr>
                <w:rFonts w:ascii="Arial" w:cs="Arial" w:eastAsia="Arial" w:hAnsi="Arial"/>
                <w:sz w:val="11"/>
                <w:szCs w:val="11"/>
                <w:color w:val="003551"/>
              </w:rPr>
              <w:t>—</w:t>
            </w:r>
          </w:p>
        </w:tc>
        <w:tc>
          <w:tcPr>
            <w:tcW w:w="520" w:type="dxa"/>
            <w:vAlign w:val="bottom"/>
          </w:tcPr>
          <w:p>
            <w:pPr>
              <w:ind w:left="120"/>
              <w:spacing w:after="0"/>
              <w:rPr>
                <w:sz w:val="20"/>
                <w:szCs w:val="20"/>
                <w:color w:val="auto"/>
              </w:rPr>
            </w:pPr>
            <w:r>
              <w:rPr>
                <w:rFonts w:ascii="Arial" w:cs="Arial" w:eastAsia="Arial" w:hAnsi="Arial"/>
                <w:sz w:val="11"/>
                <w:szCs w:val="11"/>
                <w:color w:val="003551"/>
              </w:rPr>
              <w:t>—</w:t>
            </w:r>
          </w:p>
        </w:tc>
        <w:tc>
          <w:tcPr>
            <w:tcW w:w="640" w:type="dxa"/>
            <w:vAlign w:val="bottom"/>
          </w:tcPr>
          <w:p>
            <w:pPr>
              <w:ind w:left="120"/>
              <w:spacing w:after="0"/>
              <w:rPr>
                <w:sz w:val="20"/>
                <w:szCs w:val="20"/>
                <w:color w:val="auto"/>
              </w:rPr>
            </w:pPr>
            <w:r>
              <w:rPr>
                <w:rFonts w:ascii="Arial" w:cs="Arial" w:eastAsia="Arial" w:hAnsi="Arial"/>
                <w:sz w:val="11"/>
                <w:szCs w:val="11"/>
                <w:color w:val="003551"/>
              </w:rPr>
              <w:t>—</w:t>
            </w:r>
          </w:p>
        </w:tc>
        <w:tc>
          <w:tcPr>
            <w:tcW w:w="660" w:type="dxa"/>
            <w:vAlign w:val="bottom"/>
          </w:tcPr>
          <w:p>
            <w:pPr>
              <w:ind w:left="100"/>
              <w:spacing w:after="0"/>
              <w:rPr>
                <w:sz w:val="20"/>
                <w:szCs w:val="20"/>
                <w:color w:val="auto"/>
              </w:rPr>
            </w:pPr>
            <w:r>
              <w:rPr>
                <w:rFonts w:ascii="Arial" w:cs="Arial" w:eastAsia="Arial" w:hAnsi="Arial"/>
                <w:sz w:val="11"/>
                <w:szCs w:val="11"/>
                <w:color w:val="003551"/>
              </w:rPr>
              <w:t>2,400,000</w:t>
            </w:r>
          </w:p>
        </w:tc>
        <w:tc>
          <w:tcPr>
            <w:tcW w:w="780" w:type="dxa"/>
            <w:vAlign w:val="bottom"/>
          </w:tcPr>
          <w:p>
            <w:pPr>
              <w:ind w:left="40"/>
              <w:spacing w:after="0"/>
              <w:rPr>
                <w:sz w:val="20"/>
                <w:szCs w:val="20"/>
                <w:color w:val="auto"/>
              </w:rPr>
            </w:pPr>
            <w:r>
              <w:rPr>
                <w:rFonts w:ascii="Arial" w:cs="Arial" w:eastAsia="Arial" w:hAnsi="Arial"/>
                <w:sz w:val="11"/>
                <w:szCs w:val="11"/>
                <w:color w:val="003551"/>
              </w:rPr>
              <w:t>$34,968,000</w:t>
            </w:r>
          </w:p>
        </w:tc>
        <w:tc>
          <w:tcPr>
            <w:tcW w:w="660" w:type="dxa"/>
            <w:vAlign w:val="bottom"/>
          </w:tcPr>
          <w:p>
            <w:pPr>
              <w:ind w:left="80"/>
              <w:spacing w:after="0"/>
              <w:rPr>
                <w:sz w:val="20"/>
                <w:szCs w:val="20"/>
                <w:color w:val="auto"/>
              </w:rPr>
            </w:pPr>
            <w:r>
              <w:rPr>
                <w:rFonts w:ascii="Arial" w:cs="Arial" w:eastAsia="Arial" w:hAnsi="Arial"/>
                <w:sz w:val="11"/>
                <w:szCs w:val="11"/>
                <w:color w:val="003551"/>
              </w:rPr>
              <w:t>—</w:t>
            </w:r>
          </w:p>
        </w:tc>
        <w:tc>
          <w:tcPr>
            <w:tcW w:w="700" w:type="dxa"/>
            <w:vAlign w:val="bottom"/>
          </w:tcPr>
          <w:p>
            <w:pPr>
              <w:ind w:left="80"/>
              <w:spacing w:after="0"/>
              <w:rPr>
                <w:sz w:val="20"/>
                <w:szCs w:val="20"/>
                <w:color w:val="auto"/>
              </w:rPr>
            </w:pPr>
            <w:r>
              <w:rPr>
                <w:rFonts w:ascii="Arial" w:cs="Arial" w:eastAsia="Arial" w:hAnsi="Arial"/>
                <w:sz w:val="11"/>
                <w:szCs w:val="11"/>
                <w:color w:val="003551"/>
              </w:rPr>
              <w:t>—</w:t>
            </w:r>
          </w:p>
        </w:tc>
      </w:tr>
      <w:tr>
        <w:trPr>
          <w:trHeight w:val="196"/>
        </w:trPr>
        <w:tc>
          <w:tcPr>
            <w:tcW w:w="840" w:type="dxa"/>
            <w:vAlign w:val="bottom"/>
          </w:tcPr>
          <w:p>
            <w:pPr>
              <w:spacing w:after="0" w:line="196" w:lineRule="exact"/>
              <w:rPr>
                <w:sz w:val="20"/>
                <w:szCs w:val="20"/>
                <w:color w:val="auto"/>
              </w:rPr>
            </w:pPr>
            <w:r>
              <w:rPr>
                <w:rFonts w:ascii="Arial" w:cs="Arial" w:eastAsia="Arial" w:hAnsi="Arial"/>
                <w:sz w:val="11"/>
                <w:szCs w:val="11"/>
                <w:color w:val="003551"/>
              </w:rPr>
              <w:t>6/24/25</w:t>
            </w:r>
            <w:r>
              <w:rPr>
                <w:rFonts w:ascii="Arial" w:cs="Arial" w:eastAsia="Arial" w:hAnsi="Arial"/>
                <w:sz w:val="18"/>
                <w:szCs w:val="18"/>
                <w:color w:val="003551"/>
                <w:vertAlign w:val="superscript"/>
              </w:rPr>
              <w:t>(12)</w:t>
            </w:r>
          </w:p>
        </w:tc>
        <w:tc>
          <w:tcPr>
            <w:tcW w:w="900" w:type="dxa"/>
            <w:vAlign w:val="bottom"/>
          </w:tcPr>
          <w:p>
            <w:pPr>
              <w:ind w:left="280"/>
              <w:spacing w:after="0"/>
              <w:rPr>
                <w:sz w:val="20"/>
                <w:szCs w:val="20"/>
                <w:color w:val="auto"/>
              </w:rPr>
            </w:pPr>
            <w:r>
              <w:rPr>
                <w:rFonts w:ascii="Arial" w:cs="Arial" w:eastAsia="Arial" w:hAnsi="Arial"/>
                <w:sz w:val="11"/>
                <w:szCs w:val="11"/>
                <w:color w:val="003551"/>
              </w:rPr>
              <w:t>—</w:t>
            </w:r>
          </w:p>
        </w:tc>
        <w:tc>
          <w:tcPr>
            <w:tcW w:w="580" w:type="dxa"/>
            <w:vAlign w:val="bottom"/>
          </w:tcPr>
          <w:p>
            <w:pPr>
              <w:ind w:left="120"/>
              <w:spacing w:after="0"/>
              <w:rPr>
                <w:sz w:val="20"/>
                <w:szCs w:val="20"/>
                <w:color w:val="auto"/>
              </w:rPr>
            </w:pPr>
            <w:r>
              <w:rPr>
                <w:rFonts w:ascii="Arial" w:cs="Arial" w:eastAsia="Arial" w:hAnsi="Arial"/>
                <w:sz w:val="11"/>
                <w:szCs w:val="11"/>
                <w:color w:val="003551"/>
              </w:rPr>
              <w:t>—</w:t>
            </w:r>
          </w:p>
        </w:tc>
        <w:tc>
          <w:tcPr>
            <w:tcW w:w="980" w:type="dxa"/>
            <w:vAlign w:val="bottom"/>
          </w:tcPr>
          <w:p>
            <w:pPr>
              <w:ind w:left="360"/>
              <w:spacing w:after="0"/>
              <w:rPr>
                <w:sz w:val="20"/>
                <w:szCs w:val="20"/>
                <w:color w:val="auto"/>
              </w:rPr>
            </w:pPr>
            <w:r>
              <w:rPr>
                <w:rFonts w:ascii="Arial" w:cs="Arial" w:eastAsia="Arial" w:hAnsi="Arial"/>
                <w:sz w:val="11"/>
                <w:szCs w:val="11"/>
                <w:color w:val="003551"/>
              </w:rPr>
              <w:t>—</w:t>
            </w:r>
          </w:p>
        </w:tc>
        <w:tc>
          <w:tcPr>
            <w:tcW w:w="520" w:type="dxa"/>
            <w:vAlign w:val="bottom"/>
          </w:tcPr>
          <w:p>
            <w:pPr>
              <w:ind w:left="120"/>
              <w:spacing w:after="0"/>
              <w:rPr>
                <w:sz w:val="20"/>
                <w:szCs w:val="20"/>
                <w:color w:val="auto"/>
              </w:rPr>
            </w:pPr>
            <w:r>
              <w:rPr>
                <w:rFonts w:ascii="Arial" w:cs="Arial" w:eastAsia="Arial" w:hAnsi="Arial"/>
                <w:sz w:val="11"/>
                <w:szCs w:val="11"/>
                <w:color w:val="003551"/>
              </w:rPr>
              <w:t>—</w:t>
            </w:r>
          </w:p>
        </w:tc>
        <w:tc>
          <w:tcPr>
            <w:tcW w:w="640" w:type="dxa"/>
            <w:vAlign w:val="bottom"/>
          </w:tcPr>
          <w:p>
            <w:pPr>
              <w:ind w:left="120"/>
              <w:spacing w:after="0"/>
              <w:rPr>
                <w:sz w:val="20"/>
                <w:szCs w:val="20"/>
                <w:color w:val="auto"/>
              </w:rPr>
            </w:pPr>
            <w:r>
              <w:rPr>
                <w:rFonts w:ascii="Arial" w:cs="Arial" w:eastAsia="Arial" w:hAnsi="Arial"/>
                <w:sz w:val="11"/>
                <w:szCs w:val="11"/>
                <w:color w:val="003551"/>
              </w:rPr>
              <w:t>—</w:t>
            </w:r>
          </w:p>
        </w:tc>
        <w:tc>
          <w:tcPr>
            <w:tcW w:w="660" w:type="dxa"/>
            <w:vAlign w:val="bottom"/>
          </w:tcPr>
          <w:p>
            <w:pPr>
              <w:ind w:left="100"/>
              <w:spacing w:after="0"/>
              <w:rPr>
                <w:sz w:val="20"/>
                <w:szCs w:val="20"/>
                <w:color w:val="auto"/>
              </w:rPr>
            </w:pPr>
            <w:r>
              <w:rPr>
                <w:rFonts w:ascii="Arial" w:cs="Arial" w:eastAsia="Arial" w:hAnsi="Arial"/>
                <w:sz w:val="11"/>
                <w:szCs w:val="11"/>
                <w:color w:val="003551"/>
              </w:rPr>
              <w:t>1,844,862</w:t>
            </w:r>
          </w:p>
        </w:tc>
        <w:tc>
          <w:tcPr>
            <w:tcW w:w="780" w:type="dxa"/>
            <w:vAlign w:val="bottom"/>
          </w:tcPr>
          <w:p>
            <w:pPr>
              <w:ind w:left="40"/>
              <w:spacing w:after="0"/>
              <w:rPr>
                <w:sz w:val="20"/>
                <w:szCs w:val="20"/>
                <w:color w:val="auto"/>
              </w:rPr>
            </w:pPr>
            <w:r>
              <w:rPr>
                <w:rFonts w:ascii="Arial" w:cs="Arial" w:eastAsia="Arial" w:hAnsi="Arial"/>
                <w:sz w:val="11"/>
                <w:szCs w:val="11"/>
                <w:color w:val="003551"/>
              </w:rPr>
              <w:t>$26,879,639</w:t>
            </w:r>
          </w:p>
        </w:tc>
        <w:tc>
          <w:tcPr>
            <w:tcW w:w="660" w:type="dxa"/>
            <w:vAlign w:val="bottom"/>
          </w:tcPr>
          <w:p>
            <w:pPr>
              <w:ind w:left="80"/>
              <w:spacing w:after="0"/>
              <w:rPr>
                <w:sz w:val="20"/>
                <w:szCs w:val="20"/>
                <w:color w:val="auto"/>
              </w:rPr>
            </w:pPr>
            <w:r>
              <w:rPr>
                <w:rFonts w:ascii="Arial" w:cs="Arial" w:eastAsia="Arial" w:hAnsi="Arial"/>
                <w:sz w:val="11"/>
                <w:szCs w:val="11"/>
                <w:color w:val="003551"/>
              </w:rPr>
              <w:t>—</w:t>
            </w:r>
          </w:p>
        </w:tc>
        <w:tc>
          <w:tcPr>
            <w:tcW w:w="700" w:type="dxa"/>
            <w:vAlign w:val="bottom"/>
          </w:tcPr>
          <w:p>
            <w:pPr>
              <w:ind w:left="80"/>
              <w:spacing w:after="0"/>
              <w:rPr>
                <w:sz w:val="20"/>
                <w:szCs w:val="20"/>
                <w:color w:val="auto"/>
              </w:rPr>
            </w:pPr>
            <w:r>
              <w:rPr>
                <w:rFonts w:ascii="Arial" w:cs="Arial" w:eastAsia="Arial" w:hAnsi="Arial"/>
                <w:sz w:val="11"/>
                <w:szCs w:val="11"/>
                <w:color w:val="003551"/>
              </w:rPr>
              <w:t>—</w:t>
            </w:r>
          </w:p>
        </w:tc>
      </w:tr>
      <w:tr>
        <w:trPr>
          <w:trHeight w:val="249"/>
        </w:trPr>
        <w:tc>
          <w:tcPr>
            <w:tcW w:w="840" w:type="dxa"/>
            <w:vAlign w:val="bottom"/>
          </w:tcPr>
          <w:p>
            <w:pPr>
              <w:spacing w:after="0"/>
              <w:rPr>
                <w:sz w:val="20"/>
                <w:szCs w:val="20"/>
                <w:color w:val="auto"/>
              </w:rPr>
            </w:pPr>
            <w:r>
              <w:rPr>
                <w:rFonts w:ascii="Arial" w:cs="Arial" w:eastAsia="Arial" w:hAnsi="Arial"/>
                <w:sz w:val="11"/>
                <w:szCs w:val="11"/>
                <w:color w:val="003551"/>
              </w:rPr>
              <w:t>6/24/25</w:t>
            </w:r>
            <w:r>
              <w:rPr>
                <w:rFonts w:ascii="Arial" w:cs="Arial" w:eastAsia="Arial" w:hAnsi="Arial"/>
                <w:sz w:val="18"/>
                <w:szCs w:val="18"/>
                <w:color w:val="003551"/>
                <w:vertAlign w:val="superscript"/>
              </w:rPr>
              <w:t>(13)</w:t>
            </w:r>
          </w:p>
        </w:tc>
        <w:tc>
          <w:tcPr>
            <w:tcW w:w="900" w:type="dxa"/>
            <w:vAlign w:val="bottom"/>
          </w:tcPr>
          <w:p>
            <w:pPr>
              <w:ind w:left="280"/>
              <w:spacing w:after="0"/>
              <w:rPr>
                <w:sz w:val="20"/>
                <w:szCs w:val="20"/>
                <w:color w:val="auto"/>
              </w:rPr>
            </w:pPr>
            <w:r>
              <w:rPr>
                <w:rFonts w:ascii="Arial" w:cs="Arial" w:eastAsia="Arial" w:hAnsi="Arial"/>
                <w:sz w:val="11"/>
                <w:szCs w:val="11"/>
                <w:color w:val="003551"/>
              </w:rPr>
              <w:t>—</w:t>
            </w:r>
          </w:p>
        </w:tc>
        <w:tc>
          <w:tcPr>
            <w:tcW w:w="580" w:type="dxa"/>
            <w:vAlign w:val="bottom"/>
          </w:tcPr>
          <w:p>
            <w:pPr>
              <w:ind w:left="120"/>
              <w:spacing w:after="0"/>
              <w:rPr>
                <w:sz w:val="20"/>
                <w:szCs w:val="20"/>
                <w:color w:val="auto"/>
              </w:rPr>
            </w:pPr>
            <w:r>
              <w:rPr>
                <w:rFonts w:ascii="Arial" w:cs="Arial" w:eastAsia="Arial" w:hAnsi="Arial"/>
                <w:sz w:val="11"/>
                <w:szCs w:val="11"/>
                <w:color w:val="003551"/>
              </w:rPr>
              <w:t>—</w:t>
            </w:r>
          </w:p>
        </w:tc>
        <w:tc>
          <w:tcPr>
            <w:tcW w:w="980" w:type="dxa"/>
            <w:vAlign w:val="bottom"/>
          </w:tcPr>
          <w:p>
            <w:pPr>
              <w:ind w:left="360"/>
              <w:spacing w:after="0"/>
              <w:rPr>
                <w:sz w:val="20"/>
                <w:szCs w:val="20"/>
                <w:color w:val="auto"/>
              </w:rPr>
            </w:pPr>
            <w:r>
              <w:rPr>
                <w:rFonts w:ascii="Arial" w:cs="Arial" w:eastAsia="Arial" w:hAnsi="Arial"/>
                <w:sz w:val="11"/>
                <w:szCs w:val="11"/>
                <w:color w:val="003551"/>
              </w:rPr>
              <w:t>—</w:t>
            </w:r>
          </w:p>
        </w:tc>
        <w:tc>
          <w:tcPr>
            <w:tcW w:w="520" w:type="dxa"/>
            <w:vAlign w:val="bottom"/>
          </w:tcPr>
          <w:p>
            <w:pPr>
              <w:ind w:left="120"/>
              <w:spacing w:after="0"/>
              <w:rPr>
                <w:sz w:val="20"/>
                <w:szCs w:val="20"/>
                <w:color w:val="auto"/>
              </w:rPr>
            </w:pPr>
            <w:r>
              <w:rPr>
                <w:rFonts w:ascii="Arial" w:cs="Arial" w:eastAsia="Arial" w:hAnsi="Arial"/>
                <w:sz w:val="11"/>
                <w:szCs w:val="11"/>
                <w:color w:val="003551"/>
              </w:rPr>
              <w:t>—</w:t>
            </w:r>
          </w:p>
        </w:tc>
        <w:tc>
          <w:tcPr>
            <w:tcW w:w="640" w:type="dxa"/>
            <w:vAlign w:val="bottom"/>
          </w:tcPr>
          <w:p>
            <w:pPr>
              <w:ind w:left="120"/>
              <w:spacing w:after="0"/>
              <w:rPr>
                <w:sz w:val="20"/>
                <w:szCs w:val="20"/>
                <w:color w:val="auto"/>
              </w:rPr>
            </w:pPr>
            <w:r>
              <w:rPr>
                <w:rFonts w:ascii="Arial" w:cs="Arial" w:eastAsia="Arial" w:hAnsi="Arial"/>
                <w:sz w:val="11"/>
                <w:szCs w:val="11"/>
                <w:color w:val="003551"/>
              </w:rPr>
              <w:t>—</w:t>
            </w:r>
          </w:p>
        </w:tc>
        <w:tc>
          <w:tcPr>
            <w:tcW w:w="660" w:type="dxa"/>
            <w:vAlign w:val="bottom"/>
          </w:tcPr>
          <w:p>
            <w:pPr>
              <w:ind w:left="100"/>
              <w:spacing w:after="0"/>
              <w:rPr>
                <w:sz w:val="20"/>
                <w:szCs w:val="20"/>
                <w:color w:val="auto"/>
              </w:rPr>
            </w:pPr>
            <w:r>
              <w:rPr>
                <w:rFonts w:ascii="Arial" w:cs="Arial" w:eastAsia="Arial" w:hAnsi="Arial"/>
                <w:sz w:val="11"/>
                <w:szCs w:val="11"/>
                <w:color w:val="003551"/>
              </w:rPr>
              <w:t>—</w:t>
            </w:r>
          </w:p>
        </w:tc>
        <w:tc>
          <w:tcPr>
            <w:tcW w:w="780" w:type="dxa"/>
            <w:vAlign w:val="bottom"/>
          </w:tcPr>
          <w:p>
            <w:pPr>
              <w:ind w:left="40"/>
              <w:spacing w:after="0"/>
              <w:rPr>
                <w:sz w:val="20"/>
                <w:szCs w:val="20"/>
                <w:color w:val="auto"/>
              </w:rPr>
            </w:pPr>
            <w:r>
              <w:rPr>
                <w:rFonts w:ascii="Arial" w:cs="Arial" w:eastAsia="Arial" w:hAnsi="Arial"/>
                <w:sz w:val="11"/>
                <w:szCs w:val="11"/>
                <w:color w:val="003551"/>
              </w:rPr>
              <w:t>—</w:t>
            </w:r>
          </w:p>
        </w:tc>
        <w:tc>
          <w:tcPr>
            <w:tcW w:w="660" w:type="dxa"/>
            <w:vAlign w:val="bottom"/>
          </w:tcPr>
          <w:p>
            <w:pPr>
              <w:ind w:left="80"/>
              <w:spacing w:after="0"/>
              <w:rPr>
                <w:sz w:val="20"/>
                <w:szCs w:val="20"/>
                <w:color w:val="auto"/>
              </w:rPr>
            </w:pPr>
            <w:r>
              <w:rPr>
                <w:rFonts w:ascii="Arial" w:cs="Arial" w:eastAsia="Arial" w:hAnsi="Arial"/>
                <w:sz w:val="11"/>
                <w:szCs w:val="11"/>
                <w:color w:val="003551"/>
              </w:rPr>
              <w:t>1,844,862</w:t>
            </w:r>
          </w:p>
        </w:tc>
        <w:tc>
          <w:tcPr>
            <w:tcW w:w="700" w:type="dxa"/>
            <w:vAlign w:val="bottom"/>
          </w:tcPr>
          <w:p>
            <w:pPr>
              <w:ind w:left="80"/>
              <w:spacing w:after="0"/>
              <w:rPr>
                <w:sz w:val="20"/>
                <w:szCs w:val="20"/>
                <w:color w:val="auto"/>
              </w:rPr>
            </w:pPr>
            <w:r>
              <w:rPr>
                <w:rFonts w:ascii="Arial" w:cs="Arial" w:eastAsia="Arial" w:hAnsi="Arial"/>
                <w:sz w:val="11"/>
                <w:szCs w:val="11"/>
                <w:color w:val="003551"/>
                <w:w w:val="98"/>
              </w:rPr>
              <w:t>$26,879,639</w:t>
            </w:r>
          </w:p>
        </w:tc>
      </w:tr>
      <w:tr>
        <w:trPr>
          <w:trHeight w:val="223"/>
        </w:trPr>
        <w:tc>
          <w:tcPr>
            <w:tcW w:w="840" w:type="dxa"/>
            <w:vAlign w:val="bottom"/>
          </w:tcPr>
          <w:p>
            <w:pPr>
              <w:spacing w:after="0"/>
              <w:rPr>
                <w:sz w:val="20"/>
                <w:szCs w:val="20"/>
                <w:color w:val="auto"/>
              </w:rPr>
            </w:pPr>
            <w:r>
              <w:rPr>
                <w:rFonts w:ascii="Arial" w:cs="Arial" w:eastAsia="Arial" w:hAnsi="Arial"/>
                <w:sz w:val="11"/>
                <w:szCs w:val="11"/>
                <w:color w:val="003551"/>
              </w:rPr>
              <w:t>7/1/22</w:t>
            </w:r>
            <w:r>
              <w:rPr>
                <w:rFonts w:ascii="Arial" w:cs="Arial" w:eastAsia="Arial" w:hAnsi="Arial"/>
                <w:sz w:val="18"/>
                <w:szCs w:val="18"/>
                <w:color w:val="003551"/>
                <w:vertAlign w:val="superscript"/>
              </w:rPr>
              <w:t>(14)</w:t>
            </w:r>
          </w:p>
        </w:tc>
        <w:tc>
          <w:tcPr>
            <w:tcW w:w="900" w:type="dxa"/>
            <w:vAlign w:val="bottom"/>
          </w:tcPr>
          <w:p>
            <w:pPr>
              <w:ind w:left="280"/>
              <w:spacing w:after="0"/>
              <w:rPr>
                <w:sz w:val="20"/>
                <w:szCs w:val="20"/>
                <w:color w:val="auto"/>
              </w:rPr>
            </w:pPr>
            <w:r>
              <w:rPr>
                <w:rFonts w:ascii="Arial" w:cs="Arial" w:eastAsia="Arial" w:hAnsi="Arial"/>
                <w:sz w:val="11"/>
                <w:szCs w:val="11"/>
                <w:color w:val="003551"/>
              </w:rPr>
              <w:t>—</w:t>
            </w:r>
          </w:p>
        </w:tc>
        <w:tc>
          <w:tcPr>
            <w:tcW w:w="580" w:type="dxa"/>
            <w:vAlign w:val="bottom"/>
          </w:tcPr>
          <w:p>
            <w:pPr>
              <w:ind w:left="120"/>
              <w:spacing w:after="0"/>
              <w:rPr>
                <w:sz w:val="20"/>
                <w:szCs w:val="20"/>
                <w:color w:val="auto"/>
              </w:rPr>
            </w:pPr>
            <w:r>
              <w:rPr>
                <w:rFonts w:ascii="Arial" w:cs="Arial" w:eastAsia="Arial" w:hAnsi="Arial"/>
                <w:sz w:val="11"/>
                <w:szCs w:val="11"/>
                <w:color w:val="003551"/>
              </w:rPr>
              <w:t>—</w:t>
            </w:r>
          </w:p>
        </w:tc>
        <w:tc>
          <w:tcPr>
            <w:tcW w:w="980" w:type="dxa"/>
            <w:vAlign w:val="bottom"/>
          </w:tcPr>
          <w:p>
            <w:pPr>
              <w:ind w:left="360"/>
              <w:spacing w:after="0"/>
              <w:rPr>
                <w:sz w:val="20"/>
                <w:szCs w:val="20"/>
                <w:color w:val="auto"/>
              </w:rPr>
            </w:pPr>
            <w:r>
              <w:rPr>
                <w:rFonts w:ascii="Arial" w:cs="Arial" w:eastAsia="Arial" w:hAnsi="Arial"/>
                <w:sz w:val="11"/>
                <w:szCs w:val="11"/>
                <w:color w:val="003551"/>
              </w:rPr>
              <w:t>—</w:t>
            </w:r>
          </w:p>
        </w:tc>
        <w:tc>
          <w:tcPr>
            <w:tcW w:w="520" w:type="dxa"/>
            <w:vAlign w:val="bottom"/>
          </w:tcPr>
          <w:p>
            <w:pPr>
              <w:ind w:left="120"/>
              <w:spacing w:after="0"/>
              <w:rPr>
                <w:sz w:val="20"/>
                <w:szCs w:val="20"/>
                <w:color w:val="auto"/>
              </w:rPr>
            </w:pPr>
            <w:r>
              <w:rPr>
                <w:rFonts w:ascii="Arial" w:cs="Arial" w:eastAsia="Arial" w:hAnsi="Arial"/>
                <w:sz w:val="11"/>
                <w:szCs w:val="11"/>
                <w:color w:val="003551"/>
              </w:rPr>
              <w:t>—</w:t>
            </w:r>
          </w:p>
        </w:tc>
        <w:tc>
          <w:tcPr>
            <w:tcW w:w="640" w:type="dxa"/>
            <w:vAlign w:val="bottom"/>
          </w:tcPr>
          <w:p>
            <w:pPr>
              <w:ind w:left="120"/>
              <w:spacing w:after="0"/>
              <w:rPr>
                <w:sz w:val="20"/>
                <w:szCs w:val="20"/>
                <w:color w:val="auto"/>
              </w:rPr>
            </w:pPr>
            <w:r>
              <w:rPr>
                <w:rFonts w:ascii="Arial" w:cs="Arial" w:eastAsia="Arial" w:hAnsi="Arial"/>
                <w:sz w:val="11"/>
                <w:szCs w:val="11"/>
                <w:color w:val="003551"/>
              </w:rPr>
              <w:t>—</w:t>
            </w:r>
          </w:p>
        </w:tc>
        <w:tc>
          <w:tcPr>
            <w:tcW w:w="660" w:type="dxa"/>
            <w:vAlign w:val="bottom"/>
          </w:tcPr>
          <w:p>
            <w:pPr>
              <w:ind w:left="100"/>
              <w:spacing w:after="0"/>
              <w:rPr>
                <w:sz w:val="20"/>
                <w:szCs w:val="20"/>
                <w:color w:val="auto"/>
              </w:rPr>
            </w:pPr>
            <w:r>
              <w:rPr>
                <w:rFonts w:ascii="Arial" w:cs="Arial" w:eastAsia="Arial" w:hAnsi="Arial"/>
                <w:sz w:val="11"/>
                <w:szCs w:val="11"/>
                <w:color w:val="003551"/>
              </w:rPr>
              <w:t>64,085</w:t>
            </w:r>
          </w:p>
        </w:tc>
        <w:tc>
          <w:tcPr>
            <w:tcW w:w="780" w:type="dxa"/>
            <w:vAlign w:val="bottom"/>
          </w:tcPr>
          <w:p>
            <w:pPr>
              <w:ind w:left="40"/>
              <w:spacing w:after="0"/>
              <w:rPr>
                <w:sz w:val="20"/>
                <w:szCs w:val="20"/>
                <w:color w:val="auto"/>
              </w:rPr>
            </w:pPr>
            <w:r>
              <w:rPr>
                <w:rFonts w:ascii="Arial" w:cs="Arial" w:eastAsia="Arial" w:hAnsi="Arial"/>
                <w:sz w:val="11"/>
                <w:szCs w:val="11"/>
                <w:color w:val="003551"/>
              </w:rPr>
              <w:t>$933,718</w:t>
            </w:r>
          </w:p>
        </w:tc>
        <w:tc>
          <w:tcPr>
            <w:tcW w:w="660" w:type="dxa"/>
            <w:vAlign w:val="bottom"/>
          </w:tcPr>
          <w:p>
            <w:pPr>
              <w:ind w:left="80"/>
              <w:spacing w:after="0"/>
              <w:rPr>
                <w:sz w:val="20"/>
                <w:szCs w:val="20"/>
                <w:color w:val="auto"/>
              </w:rPr>
            </w:pPr>
            <w:r>
              <w:rPr>
                <w:rFonts w:ascii="Arial" w:cs="Arial" w:eastAsia="Arial" w:hAnsi="Arial"/>
                <w:sz w:val="11"/>
                <w:szCs w:val="11"/>
                <w:color w:val="003551"/>
              </w:rPr>
              <w:t>—</w:t>
            </w:r>
          </w:p>
        </w:tc>
        <w:tc>
          <w:tcPr>
            <w:tcW w:w="700" w:type="dxa"/>
            <w:vAlign w:val="bottom"/>
          </w:tcPr>
          <w:p>
            <w:pPr>
              <w:ind w:left="80"/>
              <w:spacing w:after="0"/>
              <w:rPr>
                <w:sz w:val="20"/>
                <w:szCs w:val="20"/>
                <w:color w:val="auto"/>
              </w:rPr>
            </w:pPr>
            <w:r>
              <w:rPr>
                <w:rFonts w:ascii="Arial" w:cs="Arial" w:eastAsia="Arial" w:hAnsi="Arial"/>
                <w:sz w:val="11"/>
                <w:szCs w:val="11"/>
                <w:color w:val="003551"/>
              </w:rPr>
              <w:t>—</w:t>
            </w:r>
          </w:p>
        </w:tc>
      </w:tr>
      <w:tr>
        <w:trPr>
          <w:trHeight w:val="223"/>
        </w:trPr>
        <w:tc>
          <w:tcPr>
            <w:tcW w:w="840" w:type="dxa"/>
            <w:vAlign w:val="bottom"/>
          </w:tcPr>
          <w:p>
            <w:pPr>
              <w:spacing w:after="0"/>
              <w:rPr>
                <w:sz w:val="20"/>
                <w:szCs w:val="20"/>
                <w:color w:val="auto"/>
              </w:rPr>
            </w:pPr>
            <w:r>
              <w:rPr>
                <w:rFonts w:ascii="Arial" w:cs="Arial" w:eastAsia="Arial" w:hAnsi="Arial"/>
                <w:sz w:val="11"/>
                <w:szCs w:val="11"/>
                <w:color w:val="003551"/>
              </w:rPr>
              <w:t>7/1/22</w:t>
            </w:r>
            <w:r>
              <w:rPr>
                <w:rFonts w:ascii="Arial" w:cs="Arial" w:eastAsia="Arial" w:hAnsi="Arial"/>
                <w:sz w:val="18"/>
                <w:szCs w:val="18"/>
                <w:color w:val="003551"/>
                <w:vertAlign w:val="superscript"/>
              </w:rPr>
              <w:t>(15)</w:t>
            </w:r>
          </w:p>
        </w:tc>
        <w:tc>
          <w:tcPr>
            <w:tcW w:w="900" w:type="dxa"/>
            <w:vAlign w:val="bottom"/>
          </w:tcPr>
          <w:p>
            <w:pPr>
              <w:ind w:left="280"/>
              <w:spacing w:after="0"/>
              <w:rPr>
                <w:sz w:val="20"/>
                <w:szCs w:val="20"/>
                <w:color w:val="auto"/>
              </w:rPr>
            </w:pPr>
            <w:r>
              <w:rPr>
                <w:rFonts w:ascii="Arial" w:cs="Arial" w:eastAsia="Arial" w:hAnsi="Arial"/>
                <w:sz w:val="11"/>
                <w:szCs w:val="11"/>
                <w:color w:val="003551"/>
              </w:rPr>
              <w:t>—</w:t>
            </w:r>
          </w:p>
        </w:tc>
        <w:tc>
          <w:tcPr>
            <w:tcW w:w="580" w:type="dxa"/>
            <w:vAlign w:val="bottom"/>
          </w:tcPr>
          <w:p>
            <w:pPr>
              <w:ind w:left="120"/>
              <w:spacing w:after="0"/>
              <w:rPr>
                <w:sz w:val="20"/>
                <w:szCs w:val="20"/>
                <w:color w:val="auto"/>
              </w:rPr>
            </w:pPr>
            <w:r>
              <w:rPr>
                <w:rFonts w:ascii="Arial" w:cs="Arial" w:eastAsia="Arial" w:hAnsi="Arial"/>
                <w:sz w:val="11"/>
                <w:szCs w:val="11"/>
                <w:color w:val="003551"/>
              </w:rPr>
              <w:t>—</w:t>
            </w:r>
          </w:p>
        </w:tc>
        <w:tc>
          <w:tcPr>
            <w:tcW w:w="980" w:type="dxa"/>
            <w:vAlign w:val="bottom"/>
          </w:tcPr>
          <w:p>
            <w:pPr>
              <w:ind w:left="360"/>
              <w:spacing w:after="0"/>
              <w:rPr>
                <w:sz w:val="20"/>
                <w:szCs w:val="20"/>
                <w:color w:val="auto"/>
              </w:rPr>
            </w:pPr>
            <w:r>
              <w:rPr>
                <w:rFonts w:ascii="Arial" w:cs="Arial" w:eastAsia="Arial" w:hAnsi="Arial"/>
                <w:sz w:val="11"/>
                <w:szCs w:val="11"/>
                <w:color w:val="003551"/>
              </w:rPr>
              <w:t>—</w:t>
            </w:r>
          </w:p>
        </w:tc>
        <w:tc>
          <w:tcPr>
            <w:tcW w:w="520" w:type="dxa"/>
            <w:vAlign w:val="bottom"/>
          </w:tcPr>
          <w:p>
            <w:pPr>
              <w:ind w:left="120"/>
              <w:spacing w:after="0"/>
              <w:rPr>
                <w:sz w:val="20"/>
                <w:szCs w:val="20"/>
                <w:color w:val="auto"/>
              </w:rPr>
            </w:pPr>
            <w:r>
              <w:rPr>
                <w:rFonts w:ascii="Arial" w:cs="Arial" w:eastAsia="Arial" w:hAnsi="Arial"/>
                <w:sz w:val="11"/>
                <w:szCs w:val="11"/>
                <w:color w:val="003551"/>
              </w:rPr>
              <w:t>—</w:t>
            </w:r>
          </w:p>
        </w:tc>
        <w:tc>
          <w:tcPr>
            <w:tcW w:w="640" w:type="dxa"/>
            <w:vAlign w:val="bottom"/>
          </w:tcPr>
          <w:p>
            <w:pPr>
              <w:ind w:left="120"/>
              <w:spacing w:after="0"/>
              <w:rPr>
                <w:sz w:val="20"/>
                <w:szCs w:val="20"/>
                <w:color w:val="auto"/>
              </w:rPr>
            </w:pPr>
            <w:r>
              <w:rPr>
                <w:rFonts w:ascii="Arial" w:cs="Arial" w:eastAsia="Arial" w:hAnsi="Arial"/>
                <w:sz w:val="11"/>
                <w:szCs w:val="11"/>
                <w:color w:val="003551"/>
              </w:rPr>
              <w:t>—</w:t>
            </w:r>
          </w:p>
        </w:tc>
        <w:tc>
          <w:tcPr>
            <w:tcW w:w="660" w:type="dxa"/>
            <w:vAlign w:val="bottom"/>
          </w:tcPr>
          <w:p>
            <w:pPr>
              <w:ind w:left="100"/>
              <w:spacing w:after="0"/>
              <w:rPr>
                <w:sz w:val="20"/>
                <w:szCs w:val="20"/>
                <w:color w:val="auto"/>
              </w:rPr>
            </w:pPr>
            <w:r>
              <w:rPr>
                <w:rFonts w:ascii="Arial" w:cs="Arial" w:eastAsia="Arial" w:hAnsi="Arial"/>
                <w:sz w:val="11"/>
                <w:szCs w:val="11"/>
                <w:color w:val="003551"/>
              </w:rPr>
              <w:t>—</w:t>
            </w:r>
          </w:p>
        </w:tc>
        <w:tc>
          <w:tcPr>
            <w:tcW w:w="780" w:type="dxa"/>
            <w:vAlign w:val="bottom"/>
          </w:tcPr>
          <w:p>
            <w:pPr>
              <w:ind w:left="40"/>
              <w:spacing w:after="0"/>
              <w:rPr>
                <w:sz w:val="20"/>
                <w:szCs w:val="20"/>
                <w:color w:val="auto"/>
              </w:rPr>
            </w:pPr>
            <w:r>
              <w:rPr>
                <w:rFonts w:ascii="Arial" w:cs="Arial" w:eastAsia="Arial" w:hAnsi="Arial"/>
                <w:sz w:val="11"/>
                <w:szCs w:val="11"/>
                <w:color w:val="003551"/>
              </w:rPr>
              <w:t>—</w:t>
            </w:r>
          </w:p>
        </w:tc>
        <w:tc>
          <w:tcPr>
            <w:tcW w:w="660" w:type="dxa"/>
            <w:vAlign w:val="bottom"/>
          </w:tcPr>
          <w:p>
            <w:pPr>
              <w:ind w:left="80"/>
              <w:spacing w:after="0"/>
              <w:rPr>
                <w:sz w:val="20"/>
                <w:szCs w:val="20"/>
                <w:color w:val="auto"/>
              </w:rPr>
            </w:pPr>
            <w:r>
              <w:rPr>
                <w:rFonts w:ascii="Arial" w:cs="Arial" w:eastAsia="Arial" w:hAnsi="Arial"/>
                <w:sz w:val="11"/>
                <w:szCs w:val="11"/>
                <w:color w:val="003551"/>
              </w:rPr>
              <w:t>16,022</w:t>
            </w:r>
          </w:p>
        </w:tc>
        <w:tc>
          <w:tcPr>
            <w:tcW w:w="700" w:type="dxa"/>
            <w:vAlign w:val="bottom"/>
          </w:tcPr>
          <w:p>
            <w:pPr>
              <w:ind w:left="80"/>
              <w:spacing w:after="0"/>
              <w:rPr>
                <w:sz w:val="20"/>
                <w:szCs w:val="20"/>
                <w:color w:val="auto"/>
              </w:rPr>
            </w:pPr>
            <w:r>
              <w:rPr>
                <w:rFonts w:ascii="Arial" w:cs="Arial" w:eastAsia="Arial" w:hAnsi="Arial"/>
                <w:sz w:val="11"/>
                <w:szCs w:val="11"/>
                <w:color w:val="003551"/>
              </w:rPr>
              <w:t>$233,441</w:t>
            </w:r>
          </w:p>
        </w:tc>
      </w:tr>
      <w:tr>
        <w:trPr>
          <w:trHeight w:val="223"/>
        </w:trPr>
        <w:tc>
          <w:tcPr>
            <w:tcW w:w="840" w:type="dxa"/>
            <w:vAlign w:val="bottom"/>
          </w:tcPr>
          <w:p>
            <w:pPr>
              <w:spacing w:after="0"/>
              <w:rPr>
                <w:sz w:val="20"/>
                <w:szCs w:val="20"/>
                <w:color w:val="auto"/>
              </w:rPr>
            </w:pPr>
            <w:r>
              <w:rPr>
                <w:rFonts w:ascii="Arial" w:cs="Arial" w:eastAsia="Arial" w:hAnsi="Arial"/>
                <w:sz w:val="11"/>
                <w:szCs w:val="11"/>
                <w:color w:val="003551"/>
              </w:rPr>
              <w:t>7/1/23</w:t>
            </w:r>
            <w:r>
              <w:rPr>
                <w:rFonts w:ascii="Arial" w:cs="Arial" w:eastAsia="Arial" w:hAnsi="Arial"/>
                <w:sz w:val="18"/>
                <w:szCs w:val="18"/>
                <w:color w:val="003551"/>
                <w:vertAlign w:val="superscript"/>
              </w:rPr>
              <w:t>(16)</w:t>
            </w:r>
          </w:p>
        </w:tc>
        <w:tc>
          <w:tcPr>
            <w:tcW w:w="900" w:type="dxa"/>
            <w:vAlign w:val="bottom"/>
          </w:tcPr>
          <w:p>
            <w:pPr>
              <w:ind w:left="280"/>
              <w:spacing w:after="0"/>
              <w:rPr>
                <w:sz w:val="20"/>
                <w:szCs w:val="20"/>
                <w:color w:val="auto"/>
              </w:rPr>
            </w:pPr>
            <w:r>
              <w:rPr>
                <w:rFonts w:ascii="Arial" w:cs="Arial" w:eastAsia="Arial" w:hAnsi="Arial"/>
                <w:sz w:val="11"/>
                <w:szCs w:val="11"/>
                <w:color w:val="003551"/>
              </w:rPr>
              <w:t>—</w:t>
            </w:r>
          </w:p>
        </w:tc>
        <w:tc>
          <w:tcPr>
            <w:tcW w:w="580" w:type="dxa"/>
            <w:vAlign w:val="bottom"/>
          </w:tcPr>
          <w:p>
            <w:pPr>
              <w:ind w:left="120"/>
              <w:spacing w:after="0"/>
              <w:rPr>
                <w:sz w:val="20"/>
                <w:szCs w:val="20"/>
                <w:color w:val="auto"/>
              </w:rPr>
            </w:pPr>
            <w:r>
              <w:rPr>
                <w:rFonts w:ascii="Arial" w:cs="Arial" w:eastAsia="Arial" w:hAnsi="Arial"/>
                <w:sz w:val="11"/>
                <w:szCs w:val="11"/>
                <w:color w:val="003551"/>
              </w:rPr>
              <w:t>—</w:t>
            </w:r>
          </w:p>
        </w:tc>
        <w:tc>
          <w:tcPr>
            <w:tcW w:w="980" w:type="dxa"/>
            <w:vAlign w:val="bottom"/>
          </w:tcPr>
          <w:p>
            <w:pPr>
              <w:ind w:left="360"/>
              <w:spacing w:after="0"/>
              <w:rPr>
                <w:sz w:val="20"/>
                <w:szCs w:val="20"/>
                <w:color w:val="auto"/>
              </w:rPr>
            </w:pPr>
            <w:r>
              <w:rPr>
                <w:rFonts w:ascii="Arial" w:cs="Arial" w:eastAsia="Arial" w:hAnsi="Arial"/>
                <w:sz w:val="11"/>
                <w:szCs w:val="11"/>
                <w:color w:val="003551"/>
              </w:rPr>
              <w:t>—</w:t>
            </w:r>
          </w:p>
        </w:tc>
        <w:tc>
          <w:tcPr>
            <w:tcW w:w="520" w:type="dxa"/>
            <w:vAlign w:val="bottom"/>
          </w:tcPr>
          <w:p>
            <w:pPr>
              <w:ind w:left="120"/>
              <w:spacing w:after="0"/>
              <w:rPr>
                <w:sz w:val="20"/>
                <w:szCs w:val="20"/>
                <w:color w:val="auto"/>
              </w:rPr>
            </w:pPr>
            <w:r>
              <w:rPr>
                <w:rFonts w:ascii="Arial" w:cs="Arial" w:eastAsia="Arial" w:hAnsi="Arial"/>
                <w:sz w:val="11"/>
                <w:szCs w:val="11"/>
                <w:color w:val="003551"/>
              </w:rPr>
              <w:t>—</w:t>
            </w:r>
          </w:p>
        </w:tc>
        <w:tc>
          <w:tcPr>
            <w:tcW w:w="640" w:type="dxa"/>
            <w:vAlign w:val="bottom"/>
          </w:tcPr>
          <w:p>
            <w:pPr>
              <w:ind w:left="120"/>
              <w:spacing w:after="0"/>
              <w:rPr>
                <w:sz w:val="20"/>
                <w:szCs w:val="20"/>
                <w:color w:val="auto"/>
              </w:rPr>
            </w:pPr>
            <w:r>
              <w:rPr>
                <w:rFonts w:ascii="Arial" w:cs="Arial" w:eastAsia="Arial" w:hAnsi="Arial"/>
                <w:sz w:val="11"/>
                <w:szCs w:val="11"/>
                <w:color w:val="003551"/>
              </w:rPr>
              <w:t>—</w:t>
            </w:r>
          </w:p>
        </w:tc>
        <w:tc>
          <w:tcPr>
            <w:tcW w:w="660" w:type="dxa"/>
            <w:vAlign w:val="bottom"/>
          </w:tcPr>
          <w:p>
            <w:pPr>
              <w:ind w:left="100"/>
              <w:spacing w:after="0"/>
              <w:rPr>
                <w:sz w:val="20"/>
                <w:szCs w:val="20"/>
                <w:color w:val="auto"/>
              </w:rPr>
            </w:pPr>
            <w:r>
              <w:rPr>
                <w:rFonts w:ascii="Arial" w:cs="Arial" w:eastAsia="Arial" w:hAnsi="Arial"/>
                <w:sz w:val="11"/>
                <w:szCs w:val="11"/>
                <w:color w:val="003551"/>
              </w:rPr>
              <w:t>22,214</w:t>
            </w:r>
          </w:p>
        </w:tc>
        <w:tc>
          <w:tcPr>
            <w:tcW w:w="780" w:type="dxa"/>
            <w:vAlign w:val="bottom"/>
          </w:tcPr>
          <w:p>
            <w:pPr>
              <w:ind w:left="40"/>
              <w:spacing w:after="0"/>
              <w:rPr>
                <w:sz w:val="20"/>
                <w:szCs w:val="20"/>
                <w:color w:val="auto"/>
              </w:rPr>
            </w:pPr>
            <w:r>
              <w:rPr>
                <w:rFonts w:ascii="Arial" w:cs="Arial" w:eastAsia="Arial" w:hAnsi="Arial"/>
                <w:sz w:val="11"/>
                <w:szCs w:val="11"/>
                <w:color w:val="003551"/>
              </w:rPr>
              <w:t>$323,658</w:t>
            </w:r>
          </w:p>
        </w:tc>
        <w:tc>
          <w:tcPr>
            <w:tcW w:w="660" w:type="dxa"/>
            <w:vAlign w:val="bottom"/>
          </w:tcPr>
          <w:p>
            <w:pPr>
              <w:ind w:left="80"/>
              <w:spacing w:after="0"/>
              <w:rPr>
                <w:sz w:val="20"/>
                <w:szCs w:val="20"/>
                <w:color w:val="auto"/>
              </w:rPr>
            </w:pPr>
            <w:r>
              <w:rPr>
                <w:rFonts w:ascii="Arial" w:cs="Arial" w:eastAsia="Arial" w:hAnsi="Arial"/>
                <w:sz w:val="11"/>
                <w:szCs w:val="11"/>
                <w:color w:val="003551"/>
              </w:rPr>
              <w:t>—</w:t>
            </w:r>
          </w:p>
        </w:tc>
        <w:tc>
          <w:tcPr>
            <w:tcW w:w="700" w:type="dxa"/>
            <w:vAlign w:val="bottom"/>
          </w:tcPr>
          <w:p>
            <w:pPr>
              <w:ind w:left="80"/>
              <w:spacing w:after="0"/>
              <w:rPr>
                <w:sz w:val="20"/>
                <w:szCs w:val="20"/>
                <w:color w:val="auto"/>
              </w:rPr>
            </w:pPr>
            <w:r>
              <w:rPr>
                <w:rFonts w:ascii="Arial" w:cs="Arial" w:eastAsia="Arial" w:hAnsi="Arial"/>
                <w:sz w:val="11"/>
                <w:szCs w:val="11"/>
                <w:color w:val="003551"/>
              </w:rPr>
              <w:t>—</w:t>
            </w:r>
          </w:p>
        </w:tc>
      </w:tr>
      <w:tr>
        <w:trPr>
          <w:trHeight w:val="223"/>
        </w:trPr>
        <w:tc>
          <w:tcPr>
            <w:tcW w:w="840" w:type="dxa"/>
            <w:vAlign w:val="bottom"/>
          </w:tcPr>
          <w:p>
            <w:pPr>
              <w:spacing w:after="0"/>
              <w:rPr>
                <w:sz w:val="20"/>
                <w:szCs w:val="20"/>
                <w:color w:val="auto"/>
              </w:rPr>
            </w:pPr>
            <w:r>
              <w:rPr>
                <w:rFonts w:ascii="Arial" w:cs="Arial" w:eastAsia="Arial" w:hAnsi="Arial"/>
                <w:sz w:val="11"/>
                <w:szCs w:val="11"/>
                <w:color w:val="003551"/>
              </w:rPr>
              <w:t>7/1/23</w:t>
            </w:r>
            <w:r>
              <w:rPr>
                <w:rFonts w:ascii="Arial" w:cs="Arial" w:eastAsia="Arial" w:hAnsi="Arial"/>
                <w:sz w:val="18"/>
                <w:szCs w:val="18"/>
                <w:color w:val="003551"/>
                <w:vertAlign w:val="superscript"/>
              </w:rPr>
              <w:t>(17)</w:t>
            </w:r>
          </w:p>
        </w:tc>
        <w:tc>
          <w:tcPr>
            <w:tcW w:w="900" w:type="dxa"/>
            <w:vAlign w:val="bottom"/>
          </w:tcPr>
          <w:p>
            <w:pPr>
              <w:ind w:left="280"/>
              <w:spacing w:after="0"/>
              <w:rPr>
                <w:sz w:val="20"/>
                <w:szCs w:val="20"/>
                <w:color w:val="auto"/>
              </w:rPr>
            </w:pPr>
            <w:r>
              <w:rPr>
                <w:rFonts w:ascii="Arial" w:cs="Arial" w:eastAsia="Arial" w:hAnsi="Arial"/>
                <w:sz w:val="11"/>
                <w:szCs w:val="11"/>
                <w:color w:val="003551"/>
              </w:rPr>
              <w:t>—</w:t>
            </w:r>
          </w:p>
        </w:tc>
        <w:tc>
          <w:tcPr>
            <w:tcW w:w="580" w:type="dxa"/>
            <w:vAlign w:val="bottom"/>
          </w:tcPr>
          <w:p>
            <w:pPr>
              <w:ind w:left="120"/>
              <w:spacing w:after="0"/>
              <w:rPr>
                <w:sz w:val="20"/>
                <w:szCs w:val="20"/>
                <w:color w:val="auto"/>
              </w:rPr>
            </w:pPr>
            <w:r>
              <w:rPr>
                <w:rFonts w:ascii="Arial" w:cs="Arial" w:eastAsia="Arial" w:hAnsi="Arial"/>
                <w:sz w:val="11"/>
                <w:szCs w:val="11"/>
                <w:color w:val="003551"/>
              </w:rPr>
              <w:t>—</w:t>
            </w:r>
          </w:p>
        </w:tc>
        <w:tc>
          <w:tcPr>
            <w:tcW w:w="980" w:type="dxa"/>
            <w:vAlign w:val="bottom"/>
          </w:tcPr>
          <w:p>
            <w:pPr>
              <w:ind w:left="360"/>
              <w:spacing w:after="0"/>
              <w:rPr>
                <w:sz w:val="20"/>
                <w:szCs w:val="20"/>
                <w:color w:val="auto"/>
              </w:rPr>
            </w:pPr>
            <w:r>
              <w:rPr>
                <w:rFonts w:ascii="Arial" w:cs="Arial" w:eastAsia="Arial" w:hAnsi="Arial"/>
                <w:sz w:val="11"/>
                <w:szCs w:val="11"/>
                <w:color w:val="003551"/>
              </w:rPr>
              <w:t>—</w:t>
            </w:r>
          </w:p>
        </w:tc>
        <w:tc>
          <w:tcPr>
            <w:tcW w:w="520" w:type="dxa"/>
            <w:vAlign w:val="bottom"/>
          </w:tcPr>
          <w:p>
            <w:pPr>
              <w:ind w:left="120"/>
              <w:spacing w:after="0"/>
              <w:rPr>
                <w:sz w:val="20"/>
                <w:szCs w:val="20"/>
                <w:color w:val="auto"/>
              </w:rPr>
            </w:pPr>
            <w:r>
              <w:rPr>
                <w:rFonts w:ascii="Arial" w:cs="Arial" w:eastAsia="Arial" w:hAnsi="Arial"/>
                <w:sz w:val="11"/>
                <w:szCs w:val="11"/>
                <w:color w:val="003551"/>
              </w:rPr>
              <w:t>—</w:t>
            </w:r>
          </w:p>
        </w:tc>
        <w:tc>
          <w:tcPr>
            <w:tcW w:w="640" w:type="dxa"/>
            <w:vAlign w:val="bottom"/>
          </w:tcPr>
          <w:p>
            <w:pPr>
              <w:ind w:left="120"/>
              <w:spacing w:after="0"/>
              <w:rPr>
                <w:sz w:val="20"/>
                <w:szCs w:val="20"/>
                <w:color w:val="auto"/>
              </w:rPr>
            </w:pPr>
            <w:r>
              <w:rPr>
                <w:rFonts w:ascii="Arial" w:cs="Arial" w:eastAsia="Arial" w:hAnsi="Arial"/>
                <w:sz w:val="11"/>
                <w:szCs w:val="11"/>
                <w:color w:val="003551"/>
              </w:rPr>
              <w:t>—</w:t>
            </w:r>
          </w:p>
        </w:tc>
        <w:tc>
          <w:tcPr>
            <w:tcW w:w="660" w:type="dxa"/>
            <w:vAlign w:val="bottom"/>
          </w:tcPr>
          <w:p>
            <w:pPr>
              <w:ind w:left="100"/>
              <w:spacing w:after="0"/>
              <w:rPr>
                <w:sz w:val="20"/>
                <w:szCs w:val="20"/>
                <w:color w:val="auto"/>
              </w:rPr>
            </w:pPr>
            <w:r>
              <w:rPr>
                <w:rFonts w:ascii="Arial" w:cs="Arial" w:eastAsia="Arial" w:hAnsi="Arial"/>
                <w:sz w:val="11"/>
                <w:szCs w:val="11"/>
                <w:color w:val="003551"/>
              </w:rPr>
              <w:t>—</w:t>
            </w:r>
          </w:p>
        </w:tc>
        <w:tc>
          <w:tcPr>
            <w:tcW w:w="780" w:type="dxa"/>
            <w:vAlign w:val="bottom"/>
          </w:tcPr>
          <w:p>
            <w:pPr>
              <w:ind w:left="40"/>
              <w:spacing w:after="0"/>
              <w:rPr>
                <w:sz w:val="20"/>
                <w:szCs w:val="20"/>
                <w:color w:val="auto"/>
              </w:rPr>
            </w:pPr>
            <w:r>
              <w:rPr>
                <w:rFonts w:ascii="Arial" w:cs="Arial" w:eastAsia="Arial" w:hAnsi="Arial"/>
                <w:sz w:val="11"/>
                <w:szCs w:val="11"/>
                <w:color w:val="003551"/>
              </w:rPr>
              <w:t>—</w:t>
            </w:r>
          </w:p>
        </w:tc>
        <w:tc>
          <w:tcPr>
            <w:tcW w:w="660" w:type="dxa"/>
            <w:vAlign w:val="bottom"/>
          </w:tcPr>
          <w:p>
            <w:pPr>
              <w:ind w:left="80"/>
              <w:spacing w:after="0"/>
              <w:rPr>
                <w:sz w:val="20"/>
                <w:szCs w:val="20"/>
                <w:color w:val="auto"/>
              </w:rPr>
            </w:pPr>
            <w:r>
              <w:rPr>
                <w:rFonts w:ascii="Arial" w:cs="Arial" w:eastAsia="Arial" w:hAnsi="Arial"/>
                <w:sz w:val="11"/>
                <w:szCs w:val="11"/>
                <w:color w:val="003551"/>
              </w:rPr>
              <w:t>43,297</w:t>
            </w:r>
          </w:p>
        </w:tc>
        <w:tc>
          <w:tcPr>
            <w:tcW w:w="700" w:type="dxa"/>
            <w:vAlign w:val="bottom"/>
          </w:tcPr>
          <w:p>
            <w:pPr>
              <w:ind w:left="80"/>
              <w:spacing w:after="0"/>
              <w:rPr>
                <w:sz w:val="20"/>
                <w:szCs w:val="20"/>
                <w:color w:val="auto"/>
              </w:rPr>
            </w:pPr>
            <w:r>
              <w:rPr>
                <w:rFonts w:ascii="Arial" w:cs="Arial" w:eastAsia="Arial" w:hAnsi="Arial"/>
                <w:sz w:val="11"/>
                <w:szCs w:val="11"/>
                <w:color w:val="003551"/>
              </w:rPr>
              <w:t>$630,837</w:t>
            </w:r>
          </w:p>
        </w:tc>
      </w:tr>
      <w:tr>
        <w:trPr>
          <w:trHeight w:val="223"/>
        </w:trPr>
        <w:tc>
          <w:tcPr>
            <w:tcW w:w="840" w:type="dxa"/>
            <w:vAlign w:val="bottom"/>
          </w:tcPr>
          <w:p>
            <w:pPr>
              <w:spacing w:after="0"/>
              <w:rPr>
                <w:sz w:val="20"/>
                <w:szCs w:val="20"/>
                <w:color w:val="auto"/>
              </w:rPr>
            </w:pPr>
            <w:r>
              <w:rPr>
                <w:rFonts w:ascii="Arial" w:cs="Arial" w:eastAsia="Arial" w:hAnsi="Arial"/>
                <w:sz w:val="11"/>
                <w:szCs w:val="11"/>
                <w:color w:val="003551"/>
              </w:rPr>
              <w:t>7/1/24</w:t>
            </w:r>
            <w:r>
              <w:rPr>
                <w:rFonts w:ascii="Arial" w:cs="Arial" w:eastAsia="Arial" w:hAnsi="Arial"/>
                <w:sz w:val="18"/>
                <w:szCs w:val="18"/>
                <w:color w:val="003551"/>
                <w:vertAlign w:val="superscript"/>
              </w:rPr>
              <w:t>(18)</w:t>
            </w:r>
          </w:p>
        </w:tc>
        <w:tc>
          <w:tcPr>
            <w:tcW w:w="900" w:type="dxa"/>
            <w:vAlign w:val="bottom"/>
          </w:tcPr>
          <w:p>
            <w:pPr>
              <w:ind w:left="280"/>
              <w:spacing w:after="0"/>
              <w:rPr>
                <w:sz w:val="20"/>
                <w:szCs w:val="20"/>
                <w:color w:val="auto"/>
              </w:rPr>
            </w:pPr>
            <w:r>
              <w:rPr>
                <w:rFonts w:ascii="Arial" w:cs="Arial" w:eastAsia="Arial" w:hAnsi="Arial"/>
                <w:sz w:val="11"/>
                <w:szCs w:val="11"/>
                <w:color w:val="003551"/>
              </w:rPr>
              <w:t>—</w:t>
            </w:r>
          </w:p>
        </w:tc>
        <w:tc>
          <w:tcPr>
            <w:tcW w:w="580" w:type="dxa"/>
            <w:vAlign w:val="bottom"/>
          </w:tcPr>
          <w:p>
            <w:pPr>
              <w:ind w:left="120"/>
              <w:spacing w:after="0"/>
              <w:rPr>
                <w:sz w:val="20"/>
                <w:szCs w:val="20"/>
                <w:color w:val="auto"/>
              </w:rPr>
            </w:pPr>
            <w:r>
              <w:rPr>
                <w:rFonts w:ascii="Arial" w:cs="Arial" w:eastAsia="Arial" w:hAnsi="Arial"/>
                <w:sz w:val="11"/>
                <w:szCs w:val="11"/>
                <w:color w:val="003551"/>
              </w:rPr>
              <w:t>—</w:t>
            </w:r>
          </w:p>
        </w:tc>
        <w:tc>
          <w:tcPr>
            <w:tcW w:w="980" w:type="dxa"/>
            <w:vAlign w:val="bottom"/>
          </w:tcPr>
          <w:p>
            <w:pPr>
              <w:ind w:left="360"/>
              <w:spacing w:after="0"/>
              <w:rPr>
                <w:sz w:val="20"/>
                <w:szCs w:val="20"/>
                <w:color w:val="auto"/>
              </w:rPr>
            </w:pPr>
            <w:r>
              <w:rPr>
                <w:rFonts w:ascii="Arial" w:cs="Arial" w:eastAsia="Arial" w:hAnsi="Arial"/>
                <w:sz w:val="11"/>
                <w:szCs w:val="11"/>
                <w:color w:val="003551"/>
              </w:rPr>
              <w:t>—</w:t>
            </w:r>
          </w:p>
        </w:tc>
        <w:tc>
          <w:tcPr>
            <w:tcW w:w="520" w:type="dxa"/>
            <w:vAlign w:val="bottom"/>
          </w:tcPr>
          <w:p>
            <w:pPr>
              <w:ind w:left="120"/>
              <w:spacing w:after="0"/>
              <w:rPr>
                <w:sz w:val="20"/>
                <w:szCs w:val="20"/>
                <w:color w:val="auto"/>
              </w:rPr>
            </w:pPr>
            <w:r>
              <w:rPr>
                <w:rFonts w:ascii="Arial" w:cs="Arial" w:eastAsia="Arial" w:hAnsi="Arial"/>
                <w:sz w:val="11"/>
                <w:szCs w:val="11"/>
                <w:color w:val="003551"/>
              </w:rPr>
              <w:t>—</w:t>
            </w:r>
          </w:p>
        </w:tc>
        <w:tc>
          <w:tcPr>
            <w:tcW w:w="640" w:type="dxa"/>
            <w:vAlign w:val="bottom"/>
          </w:tcPr>
          <w:p>
            <w:pPr>
              <w:ind w:left="120"/>
              <w:spacing w:after="0"/>
              <w:rPr>
                <w:sz w:val="20"/>
                <w:szCs w:val="20"/>
                <w:color w:val="auto"/>
              </w:rPr>
            </w:pPr>
            <w:r>
              <w:rPr>
                <w:rFonts w:ascii="Arial" w:cs="Arial" w:eastAsia="Arial" w:hAnsi="Arial"/>
                <w:sz w:val="11"/>
                <w:szCs w:val="11"/>
                <w:color w:val="003551"/>
              </w:rPr>
              <w:t>—</w:t>
            </w:r>
          </w:p>
        </w:tc>
        <w:tc>
          <w:tcPr>
            <w:tcW w:w="660" w:type="dxa"/>
            <w:vAlign w:val="bottom"/>
          </w:tcPr>
          <w:p>
            <w:pPr>
              <w:ind w:left="100"/>
              <w:spacing w:after="0"/>
              <w:rPr>
                <w:sz w:val="20"/>
                <w:szCs w:val="20"/>
                <w:color w:val="auto"/>
              </w:rPr>
            </w:pPr>
            <w:r>
              <w:rPr>
                <w:rFonts w:ascii="Arial" w:cs="Arial" w:eastAsia="Arial" w:hAnsi="Arial"/>
                <w:sz w:val="11"/>
                <w:szCs w:val="11"/>
                <w:color w:val="003551"/>
              </w:rPr>
              <w:t>19,364</w:t>
            </w:r>
          </w:p>
        </w:tc>
        <w:tc>
          <w:tcPr>
            <w:tcW w:w="780" w:type="dxa"/>
            <w:vAlign w:val="bottom"/>
          </w:tcPr>
          <w:p>
            <w:pPr>
              <w:ind w:left="40"/>
              <w:spacing w:after="0"/>
              <w:rPr>
                <w:sz w:val="20"/>
                <w:szCs w:val="20"/>
                <w:color w:val="auto"/>
              </w:rPr>
            </w:pPr>
            <w:r>
              <w:rPr>
                <w:rFonts w:ascii="Arial" w:cs="Arial" w:eastAsia="Arial" w:hAnsi="Arial"/>
                <w:sz w:val="11"/>
                <w:szCs w:val="11"/>
                <w:color w:val="003551"/>
              </w:rPr>
              <w:t>$282,133</w:t>
            </w:r>
          </w:p>
        </w:tc>
        <w:tc>
          <w:tcPr>
            <w:tcW w:w="660" w:type="dxa"/>
            <w:vAlign w:val="bottom"/>
          </w:tcPr>
          <w:p>
            <w:pPr>
              <w:ind w:left="80"/>
              <w:spacing w:after="0"/>
              <w:rPr>
                <w:sz w:val="20"/>
                <w:szCs w:val="20"/>
                <w:color w:val="auto"/>
              </w:rPr>
            </w:pPr>
            <w:r>
              <w:rPr>
                <w:rFonts w:ascii="Arial" w:cs="Arial" w:eastAsia="Arial" w:hAnsi="Arial"/>
                <w:sz w:val="11"/>
                <w:szCs w:val="11"/>
                <w:color w:val="003551"/>
              </w:rPr>
              <w:t>—</w:t>
            </w:r>
          </w:p>
        </w:tc>
        <w:tc>
          <w:tcPr>
            <w:tcW w:w="700" w:type="dxa"/>
            <w:vAlign w:val="bottom"/>
          </w:tcPr>
          <w:p>
            <w:pPr>
              <w:ind w:left="80"/>
              <w:spacing w:after="0"/>
              <w:rPr>
                <w:sz w:val="20"/>
                <w:szCs w:val="20"/>
                <w:color w:val="auto"/>
              </w:rPr>
            </w:pPr>
            <w:r>
              <w:rPr>
                <w:rFonts w:ascii="Arial" w:cs="Arial" w:eastAsia="Arial" w:hAnsi="Arial"/>
                <w:sz w:val="11"/>
                <w:szCs w:val="11"/>
                <w:color w:val="003551"/>
              </w:rPr>
              <w:t>—</w:t>
            </w:r>
          </w:p>
        </w:tc>
      </w:tr>
      <w:tr>
        <w:trPr>
          <w:trHeight w:val="223"/>
        </w:trPr>
        <w:tc>
          <w:tcPr>
            <w:tcW w:w="840" w:type="dxa"/>
            <w:vAlign w:val="bottom"/>
          </w:tcPr>
          <w:p>
            <w:pPr>
              <w:spacing w:after="0"/>
              <w:rPr>
                <w:sz w:val="20"/>
                <w:szCs w:val="20"/>
                <w:color w:val="auto"/>
              </w:rPr>
            </w:pPr>
            <w:r>
              <w:rPr>
                <w:rFonts w:ascii="Arial" w:cs="Arial" w:eastAsia="Arial" w:hAnsi="Arial"/>
                <w:sz w:val="11"/>
                <w:szCs w:val="11"/>
                <w:color w:val="003551"/>
              </w:rPr>
              <w:t>7/1/24</w:t>
            </w:r>
            <w:r>
              <w:rPr>
                <w:rFonts w:ascii="Arial" w:cs="Arial" w:eastAsia="Arial" w:hAnsi="Arial"/>
                <w:sz w:val="18"/>
                <w:szCs w:val="18"/>
                <w:color w:val="003551"/>
                <w:vertAlign w:val="superscript"/>
              </w:rPr>
              <w:t>(19)</w:t>
            </w:r>
          </w:p>
        </w:tc>
        <w:tc>
          <w:tcPr>
            <w:tcW w:w="900" w:type="dxa"/>
            <w:vAlign w:val="bottom"/>
          </w:tcPr>
          <w:p>
            <w:pPr>
              <w:ind w:left="280"/>
              <w:spacing w:after="0"/>
              <w:rPr>
                <w:sz w:val="20"/>
                <w:szCs w:val="20"/>
                <w:color w:val="auto"/>
              </w:rPr>
            </w:pPr>
            <w:r>
              <w:rPr>
                <w:rFonts w:ascii="Arial" w:cs="Arial" w:eastAsia="Arial" w:hAnsi="Arial"/>
                <w:sz w:val="11"/>
                <w:szCs w:val="11"/>
                <w:color w:val="003551"/>
              </w:rPr>
              <w:t>—</w:t>
            </w:r>
          </w:p>
        </w:tc>
        <w:tc>
          <w:tcPr>
            <w:tcW w:w="580" w:type="dxa"/>
            <w:vAlign w:val="bottom"/>
          </w:tcPr>
          <w:p>
            <w:pPr>
              <w:ind w:left="120"/>
              <w:spacing w:after="0"/>
              <w:rPr>
                <w:sz w:val="20"/>
                <w:szCs w:val="20"/>
                <w:color w:val="auto"/>
              </w:rPr>
            </w:pPr>
            <w:r>
              <w:rPr>
                <w:rFonts w:ascii="Arial" w:cs="Arial" w:eastAsia="Arial" w:hAnsi="Arial"/>
                <w:sz w:val="11"/>
                <w:szCs w:val="11"/>
                <w:color w:val="003551"/>
              </w:rPr>
              <w:t>—</w:t>
            </w:r>
          </w:p>
        </w:tc>
        <w:tc>
          <w:tcPr>
            <w:tcW w:w="980" w:type="dxa"/>
            <w:vAlign w:val="bottom"/>
          </w:tcPr>
          <w:p>
            <w:pPr>
              <w:ind w:left="360"/>
              <w:spacing w:after="0"/>
              <w:rPr>
                <w:sz w:val="20"/>
                <w:szCs w:val="20"/>
                <w:color w:val="auto"/>
              </w:rPr>
            </w:pPr>
            <w:r>
              <w:rPr>
                <w:rFonts w:ascii="Arial" w:cs="Arial" w:eastAsia="Arial" w:hAnsi="Arial"/>
                <w:sz w:val="11"/>
                <w:szCs w:val="11"/>
                <w:color w:val="003551"/>
              </w:rPr>
              <w:t>—</w:t>
            </w:r>
          </w:p>
        </w:tc>
        <w:tc>
          <w:tcPr>
            <w:tcW w:w="520" w:type="dxa"/>
            <w:vAlign w:val="bottom"/>
          </w:tcPr>
          <w:p>
            <w:pPr>
              <w:ind w:left="120"/>
              <w:spacing w:after="0"/>
              <w:rPr>
                <w:sz w:val="20"/>
                <w:szCs w:val="20"/>
                <w:color w:val="auto"/>
              </w:rPr>
            </w:pPr>
            <w:r>
              <w:rPr>
                <w:rFonts w:ascii="Arial" w:cs="Arial" w:eastAsia="Arial" w:hAnsi="Arial"/>
                <w:sz w:val="11"/>
                <w:szCs w:val="11"/>
                <w:color w:val="003551"/>
              </w:rPr>
              <w:t>—</w:t>
            </w:r>
          </w:p>
        </w:tc>
        <w:tc>
          <w:tcPr>
            <w:tcW w:w="640" w:type="dxa"/>
            <w:vAlign w:val="bottom"/>
          </w:tcPr>
          <w:p>
            <w:pPr>
              <w:ind w:left="120"/>
              <w:spacing w:after="0"/>
              <w:rPr>
                <w:sz w:val="20"/>
                <w:szCs w:val="20"/>
                <w:color w:val="auto"/>
              </w:rPr>
            </w:pPr>
            <w:r>
              <w:rPr>
                <w:rFonts w:ascii="Arial" w:cs="Arial" w:eastAsia="Arial" w:hAnsi="Arial"/>
                <w:sz w:val="11"/>
                <w:szCs w:val="11"/>
                <w:color w:val="003551"/>
              </w:rPr>
              <w:t>—</w:t>
            </w:r>
          </w:p>
        </w:tc>
        <w:tc>
          <w:tcPr>
            <w:tcW w:w="660" w:type="dxa"/>
            <w:vAlign w:val="bottom"/>
          </w:tcPr>
          <w:p>
            <w:pPr>
              <w:ind w:left="100"/>
              <w:spacing w:after="0"/>
              <w:rPr>
                <w:sz w:val="20"/>
                <w:szCs w:val="20"/>
                <w:color w:val="auto"/>
              </w:rPr>
            </w:pPr>
            <w:r>
              <w:rPr>
                <w:rFonts w:ascii="Arial" w:cs="Arial" w:eastAsia="Arial" w:hAnsi="Arial"/>
                <w:sz w:val="11"/>
                <w:szCs w:val="11"/>
                <w:color w:val="003551"/>
              </w:rPr>
              <w:t>—</w:t>
            </w:r>
          </w:p>
        </w:tc>
        <w:tc>
          <w:tcPr>
            <w:tcW w:w="780" w:type="dxa"/>
            <w:vAlign w:val="bottom"/>
          </w:tcPr>
          <w:p>
            <w:pPr>
              <w:ind w:left="40"/>
              <w:spacing w:after="0"/>
              <w:rPr>
                <w:sz w:val="20"/>
                <w:szCs w:val="20"/>
                <w:color w:val="auto"/>
              </w:rPr>
            </w:pPr>
            <w:r>
              <w:rPr>
                <w:rFonts w:ascii="Arial" w:cs="Arial" w:eastAsia="Arial" w:hAnsi="Arial"/>
                <w:sz w:val="11"/>
                <w:szCs w:val="11"/>
                <w:color w:val="003551"/>
              </w:rPr>
              <w:t>—</w:t>
            </w:r>
          </w:p>
        </w:tc>
        <w:tc>
          <w:tcPr>
            <w:tcW w:w="660" w:type="dxa"/>
            <w:vAlign w:val="bottom"/>
          </w:tcPr>
          <w:p>
            <w:pPr>
              <w:ind w:left="80"/>
              <w:spacing w:after="0"/>
              <w:rPr>
                <w:sz w:val="20"/>
                <w:szCs w:val="20"/>
                <w:color w:val="auto"/>
              </w:rPr>
            </w:pPr>
            <w:r>
              <w:rPr>
                <w:rFonts w:ascii="Arial" w:cs="Arial" w:eastAsia="Arial" w:hAnsi="Arial"/>
                <w:sz w:val="11"/>
                <w:szCs w:val="11"/>
                <w:color w:val="003551"/>
              </w:rPr>
              <w:t>17,974</w:t>
            </w:r>
          </w:p>
        </w:tc>
        <w:tc>
          <w:tcPr>
            <w:tcW w:w="700" w:type="dxa"/>
            <w:vAlign w:val="bottom"/>
          </w:tcPr>
          <w:p>
            <w:pPr>
              <w:ind w:left="80"/>
              <w:spacing w:after="0"/>
              <w:rPr>
                <w:sz w:val="20"/>
                <w:szCs w:val="20"/>
                <w:color w:val="auto"/>
              </w:rPr>
            </w:pPr>
            <w:r>
              <w:rPr>
                <w:rFonts w:ascii="Arial" w:cs="Arial" w:eastAsia="Arial" w:hAnsi="Arial"/>
                <w:sz w:val="11"/>
                <w:szCs w:val="11"/>
                <w:color w:val="003551"/>
              </w:rPr>
              <w:t>$261,881</w:t>
            </w:r>
          </w:p>
        </w:tc>
      </w:tr>
      <w:tr>
        <w:trPr>
          <w:trHeight w:val="196"/>
        </w:trPr>
        <w:tc>
          <w:tcPr>
            <w:tcW w:w="840" w:type="dxa"/>
            <w:vAlign w:val="bottom"/>
          </w:tcPr>
          <w:p>
            <w:pPr>
              <w:spacing w:after="0" w:line="196" w:lineRule="exact"/>
              <w:rPr>
                <w:sz w:val="20"/>
                <w:szCs w:val="20"/>
                <w:color w:val="auto"/>
              </w:rPr>
            </w:pPr>
            <w:r>
              <w:rPr>
                <w:rFonts w:ascii="Arial" w:cs="Arial" w:eastAsia="Arial" w:hAnsi="Arial"/>
                <w:sz w:val="11"/>
                <w:szCs w:val="11"/>
                <w:color w:val="003551"/>
              </w:rPr>
              <w:t>6/24/25</w:t>
            </w:r>
            <w:r>
              <w:rPr>
                <w:rFonts w:ascii="Arial" w:cs="Arial" w:eastAsia="Arial" w:hAnsi="Arial"/>
                <w:sz w:val="18"/>
                <w:szCs w:val="18"/>
                <w:color w:val="003551"/>
                <w:vertAlign w:val="superscript"/>
              </w:rPr>
              <w:t>(12)</w:t>
            </w:r>
          </w:p>
        </w:tc>
        <w:tc>
          <w:tcPr>
            <w:tcW w:w="900" w:type="dxa"/>
            <w:vAlign w:val="bottom"/>
          </w:tcPr>
          <w:p>
            <w:pPr>
              <w:ind w:left="280"/>
              <w:spacing w:after="0"/>
              <w:rPr>
                <w:sz w:val="20"/>
                <w:szCs w:val="20"/>
                <w:color w:val="auto"/>
              </w:rPr>
            </w:pPr>
            <w:r>
              <w:rPr>
                <w:rFonts w:ascii="Arial" w:cs="Arial" w:eastAsia="Arial" w:hAnsi="Arial"/>
                <w:sz w:val="11"/>
                <w:szCs w:val="11"/>
                <w:color w:val="003551"/>
              </w:rPr>
              <w:t>—</w:t>
            </w:r>
          </w:p>
        </w:tc>
        <w:tc>
          <w:tcPr>
            <w:tcW w:w="580" w:type="dxa"/>
            <w:vAlign w:val="bottom"/>
          </w:tcPr>
          <w:p>
            <w:pPr>
              <w:ind w:left="120"/>
              <w:spacing w:after="0"/>
              <w:rPr>
                <w:sz w:val="20"/>
                <w:szCs w:val="20"/>
                <w:color w:val="auto"/>
              </w:rPr>
            </w:pPr>
            <w:r>
              <w:rPr>
                <w:rFonts w:ascii="Arial" w:cs="Arial" w:eastAsia="Arial" w:hAnsi="Arial"/>
                <w:sz w:val="11"/>
                <w:szCs w:val="11"/>
                <w:color w:val="003551"/>
              </w:rPr>
              <w:t>—</w:t>
            </w:r>
          </w:p>
        </w:tc>
        <w:tc>
          <w:tcPr>
            <w:tcW w:w="980" w:type="dxa"/>
            <w:vAlign w:val="bottom"/>
          </w:tcPr>
          <w:p>
            <w:pPr>
              <w:ind w:left="360"/>
              <w:spacing w:after="0"/>
              <w:rPr>
                <w:sz w:val="20"/>
                <w:szCs w:val="20"/>
                <w:color w:val="auto"/>
              </w:rPr>
            </w:pPr>
            <w:r>
              <w:rPr>
                <w:rFonts w:ascii="Arial" w:cs="Arial" w:eastAsia="Arial" w:hAnsi="Arial"/>
                <w:sz w:val="11"/>
                <w:szCs w:val="11"/>
                <w:color w:val="003551"/>
              </w:rPr>
              <w:t>—</w:t>
            </w:r>
          </w:p>
        </w:tc>
        <w:tc>
          <w:tcPr>
            <w:tcW w:w="520" w:type="dxa"/>
            <w:vAlign w:val="bottom"/>
          </w:tcPr>
          <w:p>
            <w:pPr>
              <w:ind w:left="120"/>
              <w:spacing w:after="0"/>
              <w:rPr>
                <w:sz w:val="20"/>
                <w:szCs w:val="20"/>
                <w:color w:val="auto"/>
              </w:rPr>
            </w:pPr>
            <w:r>
              <w:rPr>
                <w:rFonts w:ascii="Arial" w:cs="Arial" w:eastAsia="Arial" w:hAnsi="Arial"/>
                <w:sz w:val="11"/>
                <w:szCs w:val="11"/>
                <w:color w:val="003551"/>
              </w:rPr>
              <w:t>—</w:t>
            </w:r>
          </w:p>
        </w:tc>
        <w:tc>
          <w:tcPr>
            <w:tcW w:w="640" w:type="dxa"/>
            <w:vAlign w:val="bottom"/>
          </w:tcPr>
          <w:p>
            <w:pPr>
              <w:ind w:left="120"/>
              <w:spacing w:after="0"/>
              <w:rPr>
                <w:sz w:val="20"/>
                <w:szCs w:val="20"/>
                <w:color w:val="auto"/>
              </w:rPr>
            </w:pPr>
            <w:r>
              <w:rPr>
                <w:rFonts w:ascii="Arial" w:cs="Arial" w:eastAsia="Arial" w:hAnsi="Arial"/>
                <w:sz w:val="11"/>
                <w:szCs w:val="11"/>
                <w:color w:val="003551"/>
              </w:rPr>
              <w:t>—</w:t>
            </w:r>
          </w:p>
        </w:tc>
        <w:tc>
          <w:tcPr>
            <w:tcW w:w="660" w:type="dxa"/>
            <w:vAlign w:val="bottom"/>
          </w:tcPr>
          <w:p>
            <w:pPr>
              <w:ind w:left="100"/>
              <w:spacing w:after="0"/>
              <w:rPr>
                <w:sz w:val="20"/>
                <w:szCs w:val="20"/>
                <w:color w:val="auto"/>
              </w:rPr>
            </w:pPr>
            <w:r>
              <w:rPr>
                <w:rFonts w:ascii="Arial" w:cs="Arial" w:eastAsia="Arial" w:hAnsi="Arial"/>
                <w:sz w:val="11"/>
                <w:szCs w:val="11"/>
                <w:color w:val="003551"/>
              </w:rPr>
              <w:t>75,000</w:t>
            </w:r>
          </w:p>
        </w:tc>
        <w:tc>
          <w:tcPr>
            <w:tcW w:w="780" w:type="dxa"/>
            <w:vAlign w:val="bottom"/>
          </w:tcPr>
          <w:p>
            <w:pPr>
              <w:ind w:left="40"/>
              <w:spacing w:after="0"/>
              <w:rPr>
                <w:sz w:val="20"/>
                <w:szCs w:val="20"/>
                <w:color w:val="auto"/>
              </w:rPr>
            </w:pPr>
            <w:r>
              <w:rPr>
                <w:rFonts w:ascii="Arial" w:cs="Arial" w:eastAsia="Arial" w:hAnsi="Arial"/>
                <w:sz w:val="11"/>
                <w:szCs w:val="11"/>
                <w:color w:val="003551"/>
              </w:rPr>
              <w:t>$1,092,750</w:t>
            </w:r>
          </w:p>
        </w:tc>
        <w:tc>
          <w:tcPr>
            <w:tcW w:w="660" w:type="dxa"/>
            <w:vAlign w:val="bottom"/>
          </w:tcPr>
          <w:p>
            <w:pPr>
              <w:ind w:left="80"/>
              <w:spacing w:after="0"/>
              <w:rPr>
                <w:sz w:val="20"/>
                <w:szCs w:val="20"/>
                <w:color w:val="auto"/>
              </w:rPr>
            </w:pPr>
            <w:r>
              <w:rPr>
                <w:rFonts w:ascii="Arial" w:cs="Arial" w:eastAsia="Arial" w:hAnsi="Arial"/>
                <w:sz w:val="11"/>
                <w:szCs w:val="11"/>
                <w:color w:val="003551"/>
              </w:rPr>
              <w:t>—</w:t>
            </w:r>
          </w:p>
        </w:tc>
        <w:tc>
          <w:tcPr>
            <w:tcW w:w="700" w:type="dxa"/>
            <w:vAlign w:val="bottom"/>
          </w:tcPr>
          <w:p>
            <w:pPr>
              <w:ind w:left="80"/>
              <w:spacing w:after="0"/>
              <w:rPr>
                <w:sz w:val="20"/>
                <w:szCs w:val="20"/>
                <w:color w:val="auto"/>
              </w:rPr>
            </w:pPr>
            <w:r>
              <w:rPr>
                <w:rFonts w:ascii="Arial" w:cs="Arial" w:eastAsia="Arial" w:hAnsi="Arial"/>
                <w:sz w:val="11"/>
                <w:szCs w:val="11"/>
                <w:color w:val="003551"/>
              </w:rPr>
              <w:t>—</w:t>
            </w:r>
          </w:p>
        </w:tc>
      </w:tr>
      <w:tr>
        <w:trPr>
          <w:trHeight w:val="252"/>
        </w:trPr>
        <w:tc>
          <w:tcPr>
            <w:tcW w:w="840" w:type="dxa"/>
            <w:vAlign w:val="bottom"/>
          </w:tcPr>
          <w:p>
            <w:pPr>
              <w:spacing w:after="0"/>
              <w:rPr>
                <w:sz w:val="20"/>
                <w:szCs w:val="20"/>
                <w:color w:val="auto"/>
              </w:rPr>
            </w:pPr>
            <w:r>
              <w:rPr>
                <w:rFonts w:ascii="Arial" w:cs="Arial" w:eastAsia="Arial" w:hAnsi="Arial"/>
                <w:sz w:val="11"/>
                <w:szCs w:val="11"/>
                <w:color w:val="003551"/>
              </w:rPr>
              <w:t>6/24/25</w:t>
            </w:r>
            <w:r>
              <w:rPr>
                <w:rFonts w:ascii="Arial" w:cs="Arial" w:eastAsia="Arial" w:hAnsi="Arial"/>
                <w:sz w:val="18"/>
                <w:szCs w:val="18"/>
                <w:color w:val="003551"/>
                <w:vertAlign w:val="superscript"/>
              </w:rPr>
              <w:t>(13)</w:t>
            </w:r>
          </w:p>
        </w:tc>
        <w:tc>
          <w:tcPr>
            <w:tcW w:w="900" w:type="dxa"/>
            <w:vAlign w:val="bottom"/>
          </w:tcPr>
          <w:p>
            <w:pPr>
              <w:ind w:left="280"/>
              <w:spacing w:after="0"/>
              <w:rPr>
                <w:sz w:val="20"/>
                <w:szCs w:val="20"/>
                <w:color w:val="auto"/>
              </w:rPr>
            </w:pPr>
            <w:r>
              <w:rPr>
                <w:rFonts w:ascii="Arial" w:cs="Arial" w:eastAsia="Arial" w:hAnsi="Arial"/>
                <w:sz w:val="11"/>
                <w:szCs w:val="11"/>
                <w:color w:val="003551"/>
              </w:rPr>
              <w:t>—</w:t>
            </w:r>
          </w:p>
        </w:tc>
        <w:tc>
          <w:tcPr>
            <w:tcW w:w="580" w:type="dxa"/>
            <w:vAlign w:val="bottom"/>
          </w:tcPr>
          <w:p>
            <w:pPr>
              <w:ind w:left="120"/>
              <w:spacing w:after="0"/>
              <w:rPr>
                <w:sz w:val="20"/>
                <w:szCs w:val="20"/>
                <w:color w:val="auto"/>
              </w:rPr>
            </w:pPr>
            <w:r>
              <w:rPr>
                <w:rFonts w:ascii="Arial" w:cs="Arial" w:eastAsia="Arial" w:hAnsi="Arial"/>
                <w:sz w:val="11"/>
                <w:szCs w:val="11"/>
                <w:color w:val="003551"/>
              </w:rPr>
              <w:t>—</w:t>
            </w:r>
          </w:p>
        </w:tc>
        <w:tc>
          <w:tcPr>
            <w:tcW w:w="980" w:type="dxa"/>
            <w:vAlign w:val="bottom"/>
          </w:tcPr>
          <w:p>
            <w:pPr>
              <w:ind w:left="360"/>
              <w:spacing w:after="0"/>
              <w:rPr>
                <w:sz w:val="20"/>
                <w:szCs w:val="20"/>
                <w:color w:val="auto"/>
              </w:rPr>
            </w:pPr>
            <w:r>
              <w:rPr>
                <w:rFonts w:ascii="Arial" w:cs="Arial" w:eastAsia="Arial" w:hAnsi="Arial"/>
                <w:sz w:val="11"/>
                <w:szCs w:val="11"/>
                <w:color w:val="003551"/>
              </w:rPr>
              <w:t>—</w:t>
            </w:r>
          </w:p>
        </w:tc>
        <w:tc>
          <w:tcPr>
            <w:tcW w:w="520" w:type="dxa"/>
            <w:vAlign w:val="bottom"/>
          </w:tcPr>
          <w:p>
            <w:pPr>
              <w:ind w:left="120"/>
              <w:spacing w:after="0"/>
              <w:rPr>
                <w:sz w:val="20"/>
                <w:szCs w:val="20"/>
                <w:color w:val="auto"/>
              </w:rPr>
            </w:pPr>
            <w:r>
              <w:rPr>
                <w:rFonts w:ascii="Arial" w:cs="Arial" w:eastAsia="Arial" w:hAnsi="Arial"/>
                <w:sz w:val="11"/>
                <w:szCs w:val="11"/>
                <w:color w:val="003551"/>
              </w:rPr>
              <w:t>—</w:t>
            </w:r>
          </w:p>
        </w:tc>
        <w:tc>
          <w:tcPr>
            <w:tcW w:w="640" w:type="dxa"/>
            <w:vAlign w:val="bottom"/>
          </w:tcPr>
          <w:p>
            <w:pPr>
              <w:ind w:left="120"/>
              <w:spacing w:after="0"/>
              <w:rPr>
                <w:sz w:val="20"/>
                <w:szCs w:val="20"/>
                <w:color w:val="auto"/>
              </w:rPr>
            </w:pPr>
            <w:r>
              <w:rPr>
                <w:rFonts w:ascii="Arial" w:cs="Arial" w:eastAsia="Arial" w:hAnsi="Arial"/>
                <w:sz w:val="11"/>
                <w:szCs w:val="11"/>
                <w:color w:val="003551"/>
              </w:rPr>
              <w:t>—</w:t>
            </w:r>
          </w:p>
        </w:tc>
        <w:tc>
          <w:tcPr>
            <w:tcW w:w="660" w:type="dxa"/>
            <w:vAlign w:val="bottom"/>
          </w:tcPr>
          <w:p>
            <w:pPr>
              <w:ind w:left="100"/>
              <w:spacing w:after="0"/>
              <w:rPr>
                <w:sz w:val="20"/>
                <w:szCs w:val="20"/>
                <w:color w:val="auto"/>
              </w:rPr>
            </w:pPr>
            <w:r>
              <w:rPr>
                <w:rFonts w:ascii="Arial" w:cs="Arial" w:eastAsia="Arial" w:hAnsi="Arial"/>
                <w:sz w:val="11"/>
                <w:szCs w:val="11"/>
                <w:color w:val="003551"/>
              </w:rPr>
              <w:t>—</w:t>
            </w:r>
          </w:p>
        </w:tc>
        <w:tc>
          <w:tcPr>
            <w:tcW w:w="780" w:type="dxa"/>
            <w:vAlign w:val="bottom"/>
          </w:tcPr>
          <w:p>
            <w:pPr>
              <w:ind w:left="40"/>
              <w:spacing w:after="0"/>
              <w:rPr>
                <w:sz w:val="20"/>
                <w:szCs w:val="20"/>
                <w:color w:val="auto"/>
              </w:rPr>
            </w:pPr>
            <w:r>
              <w:rPr>
                <w:rFonts w:ascii="Arial" w:cs="Arial" w:eastAsia="Arial" w:hAnsi="Arial"/>
                <w:sz w:val="11"/>
                <w:szCs w:val="11"/>
                <w:color w:val="003551"/>
              </w:rPr>
              <w:t>—</w:t>
            </w:r>
          </w:p>
        </w:tc>
        <w:tc>
          <w:tcPr>
            <w:tcW w:w="660" w:type="dxa"/>
            <w:vAlign w:val="bottom"/>
          </w:tcPr>
          <w:p>
            <w:pPr>
              <w:ind w:left="80"/>
              <w:spacing w:after="0"/>
              <w:rPr>
                <w:sz w:val="20"/>
                <w:szCs w:val="20"/>
                <w:color w:val="auto"/>
              </w:rPr>
            </w:pPr>
            <w:r>
              <w:rPr>
                <w:rFonts w:ascii="Arial" w:cs="Arial" w:eastAsia="Arial" w:hAnsi="Arial"/>
                <w:sz w:val="11"/>
                <w:szCs w:val="11"/>
                <w:color w:val="003551"/>
              </w:rPr>
              <w:t>75,000</w:t>
            </w:r>
          </w:p>
        </w:tc>
        <w:tc>
          <w:tcPr>
            <w:tcW w:w="700" w:type="dxa"/>
            <w:vAlign w:val="bottom"/>
          </w:tcPr>
          <w:p>
            <w:pPr>
              <w:ind w:left="80"/>
              <w:spacing w:after="0"/>
              <w:rPr>
                <w:sz w:val="20"/>
                <w:szCs w:val="20"/>
                <w:color w:val="auto"/>
              </w:rPr>
            </w:pPr>
            <w:r>
              <w:rPr>
                <w:rFonts w:ascii="Arial" w:cs="Arial" w:eastAsia="Arial" w:hAnsi="Arial"/>
                <w:sz w:val="11"/>
                <w:szCs w:val="11"/>
                <w:color w:val="003551"/>
              </w:rPr>
              <w:t>$1,092,750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-2877820</wp:posOffset>
            </wp:positionV>
            <wp:extent cx="474091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74091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-1172845</wp:posOffset>
            </wp:positionV>
            <wp:extent cx="474091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740910" cy="8255"/>
                    </a:xfrm>
                    <a:prstGeom prst="rect">
                      <a:avLst/>
                    </a:prstGeom>
                    <a:noFill/>
                  </pic:spPr>
                </pic:pic>
              </a:graphicData>
            </a:graphic>
          </wp:anchor>
        </w:drawing>
      </w:r>
    </w:p>
    <w:p>
      <w:pPr>
        <w:spacing w:after="0" w:line="153" w:lineRule="exact"/>
        <w:rPr>
          <w:sz w:val="20"/>
          <w:szCs w:val="20"/>
          <w:color w:val="auto"/>
        </w:rPr>
      </w:pPr>
    </w:p>
    <w:p>
      <w:pPr>
        <w:sectPr>
          <w:pgSz w:w="11900" w:h="16838" w:orient="portrait"/>
          <w:cols w:equalWidth="0" w:num="2">
            <w:col w:w="1560" w:space="160"/>
            <w:col w:w="8180"/>
          </w:cols>
          <w:pgMar w:left="740" w:top="115" w:right="1259" w:bottom="1440" w:gutter="0" w:footer="0" w:header="0"/>
          <w:type w:val="continuous"/>
        </w:sectPr>
      </w:pPr>
    </w:p>
    <w:p>
      <w:pPr>
        <w:ind w:left="1280" w:hanging="337"/>
        <w:spacing w:after="0"/>
        <w:tabs>
          <w:tab w:leader="none" w:pos="1280" w:val="left"/>
        </w:tabs>
        <w:numPr>
          <w:ilvl w:val="0"/>
          <w:numId w:val="37"/>
        </w:numPr>
        <w:rPr>
          <w:rFonts w:ascii="Arial" w:cs="Arial" w:eastAsia="Arial" w:hAnsi="Arial"/>
          <w:sz w:val="12"/>
          <w:szCs w:val="12"/>
          <w:i w:val="1"/>
          <w:iCs w:val="1"/>
          <w:color w:val="003551"/>
        </w:rPr>
      </w:pPr>
      <w:r>
        <w:rPr>
          <w:rFonts w:ascii="Arial" w:cs="Arial" w:eastAsia="Arial" w:hAnsi="Arial"/>
          <w:sz w:val="12"/>
          <w:szCs w:val="12"/>
          <w:i w:val="1"/>
          <w:iCs w:val="1"/>
          <w:color w:val="003551"/>
        </w:rPr>
        <w:t>The market value of unvested stock awards is based on the closing market price of our ordinary shares on June 30, 2025 of $14.57.</w:t>
      </w:r>
    </w:p>
    <w:p>
      <w:pPr>
        <w:spacing w:after="0" w:line="2" w:lineRule="exact"/>
        <w:rPr>
          <w:rFonts w:ascii="Arial" w:cs="Arial" w:eastAsia="Arial" w:hAnsi="Arial"/>
          <w:sz w:val="12"/>
          <w:szCs w:val="12"/>
          <w:i w:val="1"/>
          <w:iCs w:val="1"/>
          <w:color w:val="003551"/>
        </w:rPr>
      </w:pPr>
    </w:p>
    <w:p>
      <w:pPr>
        <w:jc w:val="both"/>
        <w:ind w:left="1280" w:right="740" w:hanging="337"/>
        <w:spacing w:after="0" w:line="238" w:lineRule="auto"/>
        <w:tabs>
          <w:tab w:leader="none" w:pos="1280" w:val="left"/>
        </w:tabs>
        <w:numPr>
          <w:ilvl w:val="0"/>
          <w:numId w:val="37"/>
        </w:numPr>
        <w:rPr>
          <w:rFonts w:ascii="Arial" w:cs="Arial" w:eastAsia="Arial" w:hAnsi="Arial"/>
          <w:sz w:val="12"/>
          <w:szCs w:val="12"/>
          <w:i w:val="1"/>
          <w:iCs w:val="1"/>
          <w:color w:val="003551"/>
        </w:rPr>
      </w:pPr>
      <w:r>
        <w:rPr>
          <w:rFonts w:ascii="Arial" w:cs="Arial" w:eastAsia="Arial" w:hAnsi="Arial"/>
          <w:sz w:val="12"/>
          <w:szCs w:val="12"/>
          <w:i w:val="1"/>
          <w:iCs w:val="1"/>
          <w:color w:val="003551"/>
        </w:rPr>
        <w:t>Represents grants of options under the Iris Energy 2021 Executive Director Liquidity and Price Target Option Plan that vested on completion of IREN’s initial public offering on November 17, 2021. The exercise price of each option is payable in Australian dollars at AUD $5.005 per share and converted into U.S. dollars using the exchange rate of USD $1.00 = AUD $1.53 on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125730</wp:posOffset>
            </wp:positionV>
            <wp:extent cx="540385" cy="6318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left="1280" w:right="740" w:hanging="337"/>
        <w:spacing w:after="0" w:line="230" w:lineRule="auto"/>
        <w:tabs>
          <w:tab w:leader="none" w:pos="1280" w:val="left"/>
        </w:tabs>
        <w:numPr>
          <w:ilvl w:val="0"/>
          <w:numId w:val="38"/>
        </w:numPr>
        <w:rPr>
          <w:rFonts w:ascii="Arial" w:cs="Arial" w:eastAsia="Arial" w:hAnsi="Arial"/>
          <w:sz w:val="12"/>
          <w:szCs w:val="12"/>
          <w:i w:val="1"/>
          <w:iCs w:val="1"/>
          <w:color w:val="003551"/>
        </w:rPr>
      </w:pPr>
      <w:r>
        <w:rPr>
          <w:rFonts w:ascii="Arial" w:cs="Arial" w:eastAsia="Arial" w:hAnsi="Arial"/>
          <w:sz w:val="12"/>
          <w:szCs w:val="12"/>
          <w:i w:val="1"/>
          <w:iCs w:val="1"/>
          <w:color w:val="003551"/>
        </w:rPr>
        <w:t>Represents grants of options under the Iris Energy 2021 Executive Director Long-Term Target Option Plan to acquire ordinary shares at an exercise price of $75 per option. The options vest in four tranches of 600,000 ordinary shares each, subject to the volume-weighted average price (“</w:t>
      </w:r>
      <w:r>
        <w:rPr>
          <w:rFonts w:ascii="Arial" w:cs="Arial" w:eastAsia="Arial" w:hAnsi="Arial"/>
          <w:sz w:val="12"/>
          <w:szCs w:val="12"/>
          <w:b w:val="1"/>
          <w:bCs w:val="1"/>
          <w:i w:val="1"/>
          <w:iCs w:val="1"/>
          <w:color w:val="003551"/>
        </w:rPr>
        <w:t>VWAP</w:t>
      </w:r>
      <w:r>
        <w:rPr>
          <w:rFonts w:ascii="Arial" w:cs="Arial" w:eastAsia="Arial" w:hAnsi="Arial"/>
          <w:sz w:val="12"/>
          <w:szCs w:val="12"/>
          <w:i w:val="1"/>
          <w:iCs w:val="1"/>
          <w:color w:val="003551"/>
        </w:rPr>
        <w:t>”) of an ordinary share equaling or exceeding specified vesting thresholds over any period of 20 consecutive trading days. The options are subject to customary adjustments to reflect any reorganization of IREN’s capital, as well as adjustments to vesting thresholds including any future issuance of ordinary shares by IREN on a fully dilutive basis. The vesting thresholds as of June 30, 2025 based on the fully dilutive shares on issue were $57, $100, $142 and $285, respectively. The options have an exercise period of 12 years. The VWAP thresholds may also be triggered by a sale or takeover of IREN based upon the price per ordinary share received in such transaction.</w:t>
      </w:r>
    </w:p>
    <w:p>
      <w:pPr>
        <w:spacing w:after="0" w:line="1" w:lineRule="exact"/>
        <w:rPr>
          <w:rFonts w:ascii="Arial" w:cs="Arial" w:eastAsia="Arial" w:hAnsi="Arial"/>
          <w:sz w:val="12"/>
          <w:szCs w:val="12"/>
          <w:i w:val="1"/>
          <w:iCs w:val="1"/>
          <w:color w:val="003551"/>
        </w:rPr>
      </w:pPr>
    </w:p>
    <w:p>
      <w:pPr>
        <w:ind w:left="1280" w:right="740" w:hanging="337"/>
        <w:spacing w:after="0" w:line="227" w:lineRule="auto"/>
        <w:tabs>
          <w:tab w:leader="none" w:pos="1280" w:val="left"/>
        </w:tabs>
        <w:numPr>
          <w:ilvl w:val="0"/>
          <w:numId w:val="38"/>
        </w:numPr>
        <w:rPr>
          <w:rFonts w:ascii="Arial" w:cs="Arial" w:eastAsia="Arial" w:hAnsi="Arial"/>
          <w:sz w:val="12"/>
          <w:szCs w:val="12"/>
          <w:i w:val="1"/>
          <w:iCs w:val="1"/>
          <w:color w:val="003551"/>
        </w:rPr>
      </w:pPr>
      <w:r>
        <w:rPr>
          <w:rFonts w:ascii="Arial" w:cs="Arial" w:eastAsia="Arial" w:hAnsi="Arial"/>
          <w:sz w:val="12"/>
          <w:szCs w:val="12"/>
          <w:i w:val="1"/>
          <w:iCs w:val="1"/>
          <w:color w:val="003551"/>
        </w:rPr>
        <w:t>Reflects the portion of the 2022 Annual PRSUs that were converted into TRSUs in connection with the modification of such awards during May 2025. The modification of this grant is described in further detail under “Award Modifications in Fiscal 2025” above.</w:t>
      </w:r>
    </w:p>
    <w:p>
      <w:pPr>
        <w:jc w:val="both"/>
        <w:ind w:left="1280" w:right="740" w:hanging="337"/>
        <w:spacing w:after="0" w:line="227" w:lineRule="auto"/>
        <w:tabs>
          <w:tab w:leader="none" w:pos="1280" w:val="left"/>
        </w:tabs>
        <w:numPr>
          <w:ilvl w:val="0"/>
          <w:numId w:val="38"/>
        </w:numPr>
        <w:rPr>
          <w:rFonts w:ascii="Arial" w:cs="Arial" w:eastAsia="Arial" w:hAnsi="Arial"/>
          <w:sz w:val="12"/>
          <w:szCs w:val="12"/>
          <w:i w:val="1"/>
          <w:iCs w:val="1"/>
          <w:color w:val="003551"/>
        </w:rPr>
      </w:pPr>
      <w:r>
        <w:rPr>
          <w:rFonts w:ascii="Arial" w:cs="Arial" w:eastAsia="Arial" w:hAnsi="Arial"/>
          <w:sz w:val="12"/>
          <w:szCs w:val="12"/>
          <w:i w:val="1"/>
          <w:iCs w:val="1"/>
          <w:color w:val="003551"/>
        </w:rPr>
        <w:t>Reflects the portion of the 2022 Annual PRSUs that were not converted into TRSUs in connection with the modification of the 2022 Annual PRSUs, which will vest based on TSR against a peer group of Nasdaq listed entities over a three and four-year performance period ending on June 30, 2025 and June 30, 2026 (and continued service until July 1, 2025 and July 1, 2026, respectively).</w:t>
      </w:r>
    </w:p>
    <w:p>
      <w:pPr>
        <w:spacing w:after="0" w:line="1" w:lineRule="exact"/>
        <w:rPr>
          <w:rFonts w:ascii="Arial" w:cs="Arial" w:eastAsia="Arial" w:hAnsi="Arial"/>
          <w:sz w:val="12"/>
          <w:szCs w:val="12"/>
          <w:i w:val="1"/>
          <w:iCs w:val="1"/>
          <w:color w:val="003551"/>
        </w:rPr>
      </w:pPr>
    </w:p>
    <w:p>
      <w:pPr>
        <w:ind w:left="1280" w:hanging="337"/>
        <w:spacing w:after="0" w:line="227" w:lineRule="auto"/>
        <w:tabs>
          <w:tab w:leader="none" w:pos="1280" w:val="left"/>
        </w:tabs>
        <w:numPr>
          <w:ilvl w:val="0"/>
          <w:numId w:val="38"/>
        </w:numPr>
        <w:rPr>
          <w:rFonts w:ascii="Arial" w:cs="Arial" w:eastAsia="Arial" w:hAnsi="Arial"/>
          <w:sz w:val="12"/>
          <w:szCs w:val="12"/>
          <w:i w:val="1"/>
          <w:iCs w:val="1"/>
          <w:color w:val="003551"/>
        </w:rPr>
      </w:pPr>
      <w:r>
        <w:rPr>
          <w:rFonts w:ascii="Arial" w:cs="Arial" w:eastAsia="Arial" w:hAnsi="Arial"/>
          <w:sz w:val="12"/>
          <w:szCs w:val="12"/>
          <w:i w:val="1"/>
          <w:iCs w:val="1"/>
          <w:color w:val="003551"/>
        </w:rPr>
        <w:t>Represents grants of TRSUs, which will vest in two equal installments of 237,722 on each of July 1, 2025, and July 1, 2026.</w:t>
      </w:r>
    </w:p>
    <w:p>
      <w:pPr>
        <w:ind w:left="1280" w:hanging="337"/>
        <w:spacing w:after="0" w:line="227" w:lineRule="auto"/>
        <w:tabs>
          <w:tab w:leader="none" w:pos="1280" w:val="left"/>
        </w:tabs>
        <w:numPr>
          <w:ilvl w:val="0"/>
          <w:numId w:val="38"/>
        </w:numPr>
        <w:rPr>
          <w:rFonts w:ascii="Arial" w:cs="Arial" w:eastAsia="Arial" w:hAnsi="Arial"/>
          <w:sz w:val="12"/>
          <w:szCs w:val="12"/>
          <w:i w:val="1"/>
          <w:iCs w:val="1"/>
          <w:color w:val="003551"/>
        </w:rPr>
      </w:pPr>
      <w:r>
        <w:rPr>
          <w:rFonts w:ascii="Arial" w:cs="Arial" w:eastAsia="Arial" w:hAnsi="Arial"/>
          <w:sz w:val="12"/>
          <w:szCs w:val="12"/>
          <w:i w:val="1"/>
          <w:iCs w:val="1"/>
          <w:color w:val="003551"/>
        </w:rPr>
        <w:t>Represents grants of TRSUs, which vested on July 1, 2025.</w:t>
      </w:r>
    </w:p>
    <w:p>
      <w:pPr>
        <w:ind w:left="1280" w:right="740" w:hanging="337"/>
        <w:spacing w:after="0" w:line="227" w:lineRule="auto"/>
        <w:tabs>
          <w:tab w:leader="none" w:pos="1280" w:val="left"/>
        </w:tabs>
        <w:numPr>
          <w:ilvl w:val="0"/>
          <w:numId w:val="38"/>
        </w:numPr>
        <w:rPr>
          <w:rFonts w:ascii="Arial" w:cs="Arial" w:eastAsia="Arial" w:hAnsi="Arial"/>
          <w:sz w:val="12"/>
          <w:szCs w:val="12"/>
          <w:i w:val="1"/>
          <w:iCs w:val="1"/>
          <w:color w:val="003551"/>
        </w:rPr>
      </w:pPr>
      <w:r>
        <w:rPr>
          <w:rFonts w:ascii="Arial" w:cs="Arial" w:eastAsia="Arial" w:hAnsi="Arial"/>
          <w:sz w:val="12"/>
          <w:szCs w:val="12"/>
          <w:i w:val="1"/>
          <w:iCs w:val="1"/>
          <w:color w:val="003551"/>
        </w:rPr>
        <w:t>Represents grants of PRSUs, which will vest based on IREN’s achievement of TSR over the three-year performance period ending on June 30, 2026, subject to the NEOs’ continued employment with IREN through at the applicable vesting date.</w:t>
      </w:r>
    </w:p>
    <w:p>
      <w:pPr>
        <w:ind w:left="1280" w:right="740" w:hanging="337"/>
        <w:spacing w:after="0" w:line="227" w:lineRule="auto"/>
        <w:tabs>
          <w:tab w:leader="none" w:pos="1280" w:val="left"/>
        </w:tabs>
        <w:numPr>
          <w:ilvl w:val="0"/>
          <w:numId w:val="38"/>
        </w:numPr>
        <w:rPr>
          <w:rFonts w:ascii="Arial" w:cs="Arial" w:eastAsia="Arial" w:hAnsi="Arial"/>
          <w:sz w:val="12"/>
          <w:szCs w:val="12"/>
          <w:i w:val="1"/>
          <w:iCs w:val="1"/>
          <w:color w:val="003551"/>
        </w:rPr>
      </w:pPr>
      <w:r>
        <w:rPr>
          <w:rFonts w:ascii="Arial" w:cs="Arial" w:eastAsia="Arial" w:hAnsi="Arial"/>
          <w:sz w:val="12"/>
          <w:szCs w:val="12"/>
          <w:i w:val="1"/>
          <w:iCs w:val="1"/>
          <w:color w:val="003551"/>
        </w:rPr>
        <w:t>Represents grants of annual TRSUs, which will vest on the following schedule, subject to continued employment through each applicable vesting date: 118,099 on July 1, 2025, 118,099 on July 1, 2026 and 118,099 on July 1, 2027.</w:t>
      </w:r>
    </w:p>
    <w:p>
      <w:pPr>
        <w:jc w:val="both"/>
        <w:ind w:left="1280" w:right="740" w:hanging="337"/>
        <w:spacing w:after="0" w:line="227" w:lineRule="auto"/>
        <w:tabs>
          <w:tab w:leader="none" w:pos="1280" w:val="left"/>
        </w:tabs>
        <w:numPr>
          <w:ilvl w:val="0"/>
          <w:numId w:val="38"/>
        </w:numPr>
        <w:rPr>
          <w:rFonts w:ascii="Arial" w:cs="Arial" w:eastAsia="Arial" w:hAnsi="Arial"/>
          <w:sz w:val="12"/>
          <w:szCs w:val="12"/>
          <w:i w:val="1"/>
          <w:iCs w:val="1"/>
          <w:color w:val="003551"/>
        </w:rPr>
      </w:pPr>
      <w:r>
        <w:rPr>
          <w:rFonts w:ascii="Arial" w:cs="Arial" w:eastAsia="Arial" w:hAnsi="Arial"/>
          <w:sz w:val="12"/>
          <w:szCs w:val="12"/>
          <w:i w:val="1"/>
          <w:iCs w:val="1"/>
          <w:color w:val="003551"/>
        </w:rPr>
        <w:t>Represents grants of the 2025 Annual PRSUs, which will vest as to 116,857 shares if IREN share price reaches $20; 124,359 shares if IREN’s share price reaches $25; 131,970 shares if IREN’s share price reaches $30; 140,228 shares if IREN’s share price reaches $35; 147,466 shares if IREN’s share price reaches $40; 156,129 shares if IREN’s share price reaches $45 and 167,085 shares if IREN’s share price reaches $50, subject to the NEOs’ continued employment with IREN through each applicable vesting date. However, as described in footnote 2 to the Summary Compensation Table, in May 2025, the 2025 Annual PRSUs granted to each of the Co-Chief Executive Officers were modified to provide that they will instead vest in two equal installments based only on continued employment, with 50% vesting on November 18, 2025 and the remaining 50% to vest on May 18, 2026. For additional information on the 2025 Annual PRSUs and the modifications made to the awards during Fiscal 2025, see “Long-Term Equity Incentive Compensation” and “Award Modifications in Fiscal 2025” above.</w:t>
      </w:r>
    </w:p>
    <w:p>
      <w:pPr>
        <w:spacing w:after="0" w:line="3" w:lineRule="exact"/>
        <w:rPr>
          <w:rFonts w:ascii="Arial" w:cs="Arial" w:eastAsia="Arial" w:hAnsi="Arial"/>
          <w:sz w:val="12"/>
          <w:szCs w:val="12"/>
          <w:i w:val="1"/>
          <w:iCs w:val="1"/>
          <w:color w:val="003551"/>
        </w:rPr>
      </w:pPr>
    </w:p>
    <w:p>
      <w:pPr>
        <w:jc w:val="both"/>
        <w:ind w:left="1280" w:right="740" w:hanging="337"/>
        <w:spacing w:after="0" w:line="227" w:lineRule="auto"/>
        <w:tabs>
          <w:tab w:leader="none" w:pos="1280" w:val="left"/>
        </w:tabs>
        <w:numPr>
          <w:ilvl w:val="0"/>
          <w:numId w:val="38"/>
        </w:numPr>
        <w:rPr>
          <w:rFonts w:ascii="Arial" w:cs="Arial" w:eastAsia="Arial" w:hAnsi="Arial"/>
          <w:sz w:val="12"/>
          <w:szCs w:val="12"/>
          <w:i w:val="1"/>
          <w:iCs w:val="1"/>
          <w:color w:val="003551"/>
        </w:rPr>
      </w:pPr>
      <w:r>
        <w:rPr>
          <w:rFonts w:ascii="Arial" w:cs="Arial" w:eastAsia="Arial" w:hAnsi="Arial"/>
          <w:sz w:val="12"/>
          <w:szCs w:val="12"/>
          <w:i w:val="1"/>
          <w:iCs w:val="1"/>
          <w:color w:val="003551"/>
        </w:rPr>
        <w:t>Represents grants of outperformance TRSUs, which will vest as to 1,200,000 shares on November 19, 2025 and 1,200,000 shares on May 19, 2026, subject to the NEOs’ continued employment with IREN through each applicable vesting date. For additional information, see “Outperformance Grants - Co-Chief Executive Officers” above.</w:t>
      </w:r>
    </w:p>
    <w:p>
      <w:pPr>
        <w:spacing w:after="0" w:line="1" w:lineRule="exact"/>
        <w:rPr>
          <w:rFonts w:ascii="Arial" w:cs="Arial" w:eastAsia="Arial" w:hAnsi="Arial"/>
          <w:sz w:val="12"/>
          <w:szCs w:val="12"/>
          <w:i w:val="1"/>
          <w:iCs w:val="1"/>
          <w:color w:val="003551"/>
        </w:rPr>
      </w:pPr>
    </w:p>
    <w:p>
      <w:pPr>
        <w:ind w:left="1280" w:right="740" w:hanging="337"/>
        <w:spacing w:after="0" w:line="227" w:lineRule="auto"/>
        <w:tabs>
          <w:tab w:leader="none" w:pos="1280" w:val="left"/>
        </w:tabs>
        <w:numPr>
          <w:ilvl w:val="0"/>
          <w:numId w:val="38"/>
        </w:numPr>
        <w:rPr>
          <w:rFonts w:ascii="Arial" w:cs="Arial" w:eastAsia="Arial" w:hAnsi="Arial"/>
          <w:sz w:val="12"/>
          <w:szCs w:val="12"/>
          <w:i w:val="1"/>
          <w:iCs w:val="1"/>
          <w:color w:val="003551"/>
        </w:rPr>
      </w:pPr>
      <w:r>
        <w:rPr>
          <w:rFonts w:ascii="Arial" w:cs="Arial" w:eastAsia="Arial" w:hAnsi="Arial"/>
          <w:sz w:val="12"/>
          <w:szCs w:val="12"/>
          <w:i w:val="1"/>
          <w:iCs w:val="1"/>
          <w:color w:val="003551"/>
        </w:rPr>
        <w:t>Represents Retention Grants (TRSUs), which will vest ratably on the first six anniversaries of the grant date, subject to the NEOs’ continued employment with IREN through each applicable vesting date. For additional information, see “Retention Grants - NEOs” above.</w:t>
      </w:r>
    </w:p>
    <w:p>
      <w:pPr>
        <w:jc w:val="both"/>
        <w:ind w:left="1280" w:right="740" w:hanging="337"/>
        <w:spacing w:after="0" w:line="227" w:lineRule="auto"/>
        <w:tabs>
          <w:tab w:leader="none" w:pos="1280" w:val="left"/>
        </w:tabs>
        <w:numPr>
          <w:ilvl w:val="0"/>
          <w:numId w:val="38"/>
        </w:numPr>
        <w:rPr>
          <w:rFonts w:ascii="Arial" w:cs="Arial" w:eastAsia="Arial" w:hAnsi="Arial"/>
          <w:sz w:val="12"/>
          <w:szCs w:val="12"/>
          <w:i w:val="1"/>
          <w:iCs w:val="1"/>
          <w:color w:val="003551"/>
        </w:rPr>
      </w:pPr>
      <w:r>
        <w:rPr>
          <w:rFonts w:ascii="Arial" w:cs="Arial" w:eastAsia="Arial" w:hAnsi="Arial"/>
          <w:sz w:val="12"/>
          <w:szCs w:val="12"/>
          <w:i w:val="1"/>
          <w:iCs w:val="1"/>
          <w:color w:val="003551"/>
        </w:rPr>
        <w:t>Represents Retention Grants (PRSUs), which are eligible to vest based on achievement of share price hurdles on or before June 23, 2031, subject to the NEOs’ continued employment with IREN through each applicable vesting date. For additional information, see “Retention Grants - NEOs” above.</w:t>
      </w:r>
    </w:p>
    <w:p>
      <w:pPr>
        <w:spacing w:after="0" w:line="1" w:lineRule="exact"/>
        <w:rPr>
          <w:rFonts w:ascii="Arial" w:cs="Arial" w:eastAsia="Arial" w:hAnsi="Arial"/>
          <w:sz w:val="12"/>
          <w:szCs w:val="12"/>
          <w:i w:val="1"/>
          <w:iCs w:val="1"/>
          <w:color w:val="003551"/>
        </w:rPr>
      </w:pPr>
    </w:p>
    <w:p>
      <w:pPr>
        <w:ind w:left="1280" w:hanging="337"/>
        <w:spacing w:after="0" w:line="227" w:lineRule="auto"/>
        <w:tabs>
          <w:tab w:leader="none" w:pos="1280" w:val="left"/>
        </w:tabs>
        <w:numPr>
          <w:ilvl w:val="0"/>
          <w:numId w:val="38"/>
        </w:numPr>
        <w:rPr>
          <w:rFonts w:ascii="Arial" w:cs="Arial" w:eastAsia="Arial" w:hAnsi="Arial"/>
          <w:sz w:val="12"/>
          <w:szCs w:val="12"/>
          <w:i w:val="1"/>
          <w:iCs w:val="1"/>
          <w:color w:val="003551"/>
        </w:rPr>
      </w:pPr>
      <w:r>
        <w:rPr>
          <w:rFonts w:ascii="Arial" w:cs="Arial" w:eastAsia="Arial" w:hAnsi="Arial"/>
          <w:sz w:val="12"/>
          <w:szCs w:val="12"/>
          <w:i w:val="1"/>
          <w:iCs w:val="1"/>
          <w:color w:val="003551"/>
        </w:rPr>
        <w:t>Represents grants of TRSUs, which will vest as to 32,043 TRSUs on September 30, 2025 and 32,042 on September 30, 2026.</w:t>
      </w:r>
    </w:p>
    <w:p>
      <w:pPr>
        <w:jc w:val="both"/>
        <w:ind w:left="1280" w:right="740" w:hanging="337"/>
        <w:spacing w:after="0"/>
        <w:tabs>
          <w:tab w:leader="none" w:pos="1280" w:val="left"/>
        </w:tabs>
        <w:numPr>
          <w:ilvl w:val="0"/>
          <w:numId w:val="38"/>
        </w:numPr>
        <w:rPr>
          <w:rFonts w:ascii="Arial" w:cs="Arial" w:eastAsia="Arial" w:hAnsi="Arial"/>
          <w:sz w:val="12"/>
          <w:szCs w:val="12"/>
          <w:i w:val="1"/>
          <w:iCs w:val="1"/>
          <w:color w:val="003551"/>
        </w:rPr>
      </w:pPr>
      <w:r>
        <w:rPr>
          <w:rFonts w:ascii="Arial" w:cs="Arial" w:eastAsia="Arial" w:hAnsi="Arial"/>
          <w:sz w:val="12"/>
          <w:szCs w:val="12"/>
          <w:i w:val="1"/>
          <w:iCs w:val="1"/>
          <w:color w:val="003551"/>
        </w:rPr>
        <w:t>Represents grants of PRSUs, which will vest based on IREN TSR against a peer group of companies over a three and four year performance period ending on June 30, 2025 and June 30, 2026, respectively, subject to continued service through September 30, 2025, and September 30, 2026.</w:t>
      </w:r>
    </w:p>
    <w:p>
      <w:pPr>
        <w:spacing w:after="0" w:line="116" w:lineRule="exact"/>
        <w:rPr>
          <w:rFonts w:ascii="Arial" w:cs="Arial" w:eastAsia="Arial" w:hAnsi="Arial"/>
          <w:sz w:val="12"/>
          <w:szCs w:val="12"/>
          <w:i w:val="1"/>
          <w:iCs w:val="1"/>
          <w:color w:val="003551"/>
        </w:rPr>
      </w:pPr>
    </w:p>
    <w:p>
      <w:pPr>
        <w:ind w:left="1280" w:right="740" w:hanging="337"/>
        <w:spacing w:after="0" w:line="227" w:lineRule="auto"/>
        <w:tabs>
          <w:tab w:leader="none" w:pos="1280" w:val="left"/>
        </w:tabs>
        <w:numPr>
          <w:ilvl w:val="0"/>
          <w:numId w:val="38"/>
        </w:numPr>
        <w:rPr>
          <w:rFonts w:ascii="Arial" w:cs="Arial" w:eastAsia="Arial" w:hAnsi="Arial"/>
          <w:sz w:val="12"/>
          <w:szCs w:val="12"/>
          <w:i w:val="1"/>
          <w:iCs w:val="1"/>
          <w:color w:val="003551"/>
        </w:rPr>
      </w:pPr>
      <w:r>
        <w:rPr>
          <w:rFonts w:ascii="Arial" w:cs="Arial" w:eastAsia="Arial" w:hAnsi="Arial"/>
          <w:sz w:val="12"/>
          <w:szCs w:val="12"/>
          <w:i w:val="1"/>
          <w:iCs w:val="1"/>
          <w:color w:val="003551"/>
        </w:rPr>
        <w:t>Represents grants of TRSUs, which will vest within ten days after the release of the annual results for Fiscal 2025 (which is expected to occur on or around September 1, 2025), subject to the NEOs’ continued employment with IREN through the applicable vesting date.</w:t>
      </w:r>
    </w:p>
    <w:p>
      <w:pPr>
        <w:ind w:left="1280" w:right="740" w:hanging="337"/>
        <w:spacing w:after="0" w:line="227" w:lineRule="auto"/>
        <w:tabs>
          <w:tab w:leader="none" w:pos="1280" w:val="left"/>
        </w:tabs>
        <w:numPr>
          <w:ilvl w:val="0"/>
          <w:numId w:val="38"/>
        </w:numPr>
        <w:rPr>
          <w:rFonts w:ascii="Arial" w:cs="Arial" w:eastAsia="Arial" w:hAnsi="Arial"/>
          <w:sz w:val="12"/>
          <w:szCs w:val="12"/>
          <w:i w:val="1"/>
          <w:iCs w:val="1"/>
          <w:color w:val="003551"/>
        </w:rPr>
      </w:pPr>
      <w:r>
        <w:rPr>
          <w:rFonts w:ascii="Arial" w:cs="Arial" w:eastAsia="Arial" w:hAnsi="Arial"/>
          <w:sz w:val="12"/>
          <w:szCs w:val="12"/>
          <w:i w:val="1"/>
          <w:iCs w:val="1"/>
          <w:color w:val="003551"/>
        </w:rPr>
        <w:t>Represents grants of PRSUs, which will vest based on IREN’s achievement of TSR measured against the NQUSS Index over the three-year performance period ending on June 30, 2025, subject to the NEOs’ continued employment with IREN through the applicable vesting date.</w:t>
      </w:r>
    </w:p>
    <w:p>
      <w:pPr>
        <w:jc w:val="both"/>
        <w:ind w:left="1280" w:right="740" w:hanging="337"/>
        <w:spacing w:after="0" w:line="227" w:lineRule="auto"/>
        <w:tabs>
          <w:tab w:leader="none" w:pos="1280" w:val="left"/>
        </w:tabs>
        <w:numPr>
          <w:ilvl w:val="0"/>
          <w:numId w:val="38"/>
        </w:numPr>
        <w:rPr>
          <w:rFonts w:ascii="Arial" w:cs="Arial" w:eastAsia="Arial" w:hAnsi="Arial"/>
          <w:sz w:val="12"/>
          <w:szCs w:val="12"/>
          <w:i w:val="1"/>
          <w:iCs w:val="1"/>
          <w:color w:val="003551"/>
        </w:rPr>
      </w:pPr>
      <w:r>
        <w:rPr>
          <w:rFonts w:ascii="Arial" w:cs="Arial" w:eastAsia="Arial" w:hAnsi="Arial"/>
          <w:sz w:val="12"/>
          <w:szCs w:val="12"/>
          <w:i w:val="1"/>
          <w:iCs w:val="1"/>
          <w:color w:val="003551"/>
        </w:rPr>
        <w:t>Represents grants of the 2025 Annual TRSUs to Ms. Nucifora, which will vest ratably within ten days after release of annual results for Fiscal 2025 and Fiscal 2026 (which occurred on August 28, 2025 for Fiscal 2025 and is expected to occur on September 1, 2026 for Fiscal 2026), subject to the NEOs’ continued employment with IREN through the applicable vesting date.</w:t>
      </w:r>
    </w:p>
    <w:p>
      <w:pPr>
        <w:spacing w:after="0" w:line="1" w:lineRule="exact"/>
        <w:rPr>
          <w:rFonts w:ascii="Arial" w:cs="Arial" w:eastAsia="Arial" w:hAnsi="Arial"/>
          <w:sz w:val="12"/>
          <w:szCs w:val="12"/>
          <w:i w:val="1"/>
          <w:iCs w:val="1"/>
          <w:color w:val="003551"/>
        </w:rPr>
      </w:pPr>
    </w:p>
    <w:p>
      <w:pPr>
        <w:ind w:left="1280" w:right="740" w:hanging="337"/>
        <w:spacing w:after="0" w:line="246" w:lineRule="auto"/>
        <w:tabs>
          <w:tab w:leader="none" w:pos="1280" w:val="left"/>
        </w:tabs>
        <w:numPr>
          <w:ilvl w:val="0"/>
          <w:numId w:val="38"/>
        </w:numPr>
        <w:rPr>
          <w:rFonts w:ascii="Arial" w:cs="Arial" w:eastAsia="Arial" w:hAnsi="Arial"/>
          <w:sz w:val="12"/>
          <w:szCs w:val="12"/>
          <w:i w:val="1"/>
          <w:iCs w:val="1"/>
          <w:color w:val="003551"/>
        </w:rPr>
      </w:pPr>
      <w:r>
        <w:rPr>
          <w:rFonts w:ascii="Arial" w:cs="Arial" w:eastAsia="Arial" w:hAnsi="Arial"/>
          <w:sz w:val="12"/>
          <w:szCs w:val="12"/>
          <w:i w:val="1"/>
          <w:iCs w:val="1"/>
          <w:color w:val="003551"/>
        </w:rPr>
        <w:t>Represents the 2025 Annual PRSUs to Ms. Nucifora, which vest based on IREN’s achievement of TSR over the three-year performance period ending on June 30, 2027.</w:t>
      </w:r>
    </w:p>
    <w:p>
      <w:pPr>
        <w:spacing w:after="0" w:line="17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Options Exercised and Shares Vested</w:t>
      </w:r>
    </w:p>
    <w:p>
      <w:pPr>
        <w:spacing w:after="0" w:line="41" w:lineRule="exact"/>
        <w:rPr>
          <w:sz w:val="20"/>
          <w:szCs w:val="20"/>
          <w:color w:val="auto"/>
        </w:rPr>
      </w:pPr>
    </w:p>
    <w:p>
      <w:pPr>
        <w:ind w:left="940" w:right="1180"/>
        <w:spacing w:after="0" w:line="263" w:lineRule="auto"/>
        <w:rPr>
          <w:sz w:val="20"/>
          <w:szCs w:val="20"/>
          <w:color w:val="auto"/>
        </w:rPr>
      </w:pPr>
      <w:r>
        <w:rPr>
          <w:rFonts w:ascii="Arial" w:cs="Arial" w:eastAsia="Arial" w:hAnsi="Arial"/>
          <w:sz w:val="17"/>
          <w:szCs w:val="17"/>
          <w:color w:val="003551"/>
        </w:rPr>
        <w:t>The following table sets forth information concerning stock awards vested for our NEOs during Fiscal 2025. None of our NEOs exercised any options during Fiscal 2025.</w:t>
      </w:r>
    </w:p>
    <w:p>
      <w:pPr>
        <w:spacing w:after="0" w:line="109" w:lineRule="exact"/>
        <w:rPr>
          <w:sz w:val="20"/>
          <w:szCs w:val="20"/>
          <w:color w:val="auto"/>
        </w:rPr>
      </w:pPr>
    </w:p>
    <w:tbl>
      <w:tblPr>
        <w:tblLayout w:type="fixed"/>
        <w:tblInd w:w="940" w:type="dxa"/>
        <w:tblCellMar>
          <w:top w:w="0" w:type="dxa"/>
          <w:left w:w="0" w:type="dxa"/>
          <w:bottom w:w="0" w:type="dxa"/>
          <w:right w:w="0" w:type="dxa"/>
        </w:tblCellMar>
      </w:tblPr>
      <w:tr>
        <w:trPr>
          <w:trHeight w:val="339"/>
        </w:trPr>
        <w:tc>
          <w:tcPr>
            <w:tcW w:w="2080" w:type="dxa"/>
            <w:vAlign w:val="bottom"/>
            <w:shd w:val="clear" w:color="auto" w:fill="77C483"/>
          </w:tcPr>
          <w:p>
            <w:pPr>
              <w:spacing w:after="0"/>
              <w:rPr>
                <w:sz w:val="24"/>
                <w:szCs w:val="24"/>
                <w:color w:val="auto"/>
              </w:rPr>
            </w:pPr>
          </w:p>
        </w:tc>
        <w:tc>
          <w:tcPr>
            <w:tcW w:w="3420" w:type="dxa"/>
            <w:vAlign w:val="bottom"/>
            <w:shd w:val="clear" w:color="auto" w:fill="77C483"/>
          </w:tcPr>
          <w:p>
            <w:pPr>
              <w:ind w:left="540"/>
              <w:spacing w:after="0"/>
              <w:rPr>
                <w:sz w:val="20"/>
                <w:szCs w:val="20"/>
                <w:color w:val="auto"/>
              </w:rPr>
            </w:pPr>
            <w:r>
              <w:rPr>
                <w:rFonts w:ascii="Arial" w:cs="Arial" w:eastAsia="Arial" w:hAnsi="Arial"/>
                <w:sz w:val="17"/>
                <w:szCs w:val="17"/>
                <w:b w:val="1"/>
                <w:bCs w:val="1"/>
                <w:color w:val="003551"/>
              </w:rPr>
              <w:t>Number of Shares Acquired on</w:t>
            </w:r>
          </w:p>
        </w:tc>
        <w:tc>
          <w:tcPr>
            <w:tcW w:w="2740" w:type="dxa"/>
            <w:vAlign w:val="bottom"/>
            <w:shd w:val="clear" w:color="auto" w:fill="77C483"/>
          </w:tcPr>
          <w:p>
            <w:pPr>
              <w:spacing w:after="0"/>
              <w:rPr>
                <w:sz w:val="24"/>
                <w:szCs w:val="24"/>
                <w:color w:val="auto"/>
              </w:rPr>
            </w:pPr>
          </w:p>
        </w:tc>
      </w:tr>
      <w:tr>
        <w:trPr>
          <w:trHeight w:val="368"/>
        </w:trPr>
        <w:tc>
          <w:tcPr>
            <w:tcW w:w="2080" w:type="dxa"/>
            <w:vAlign w:val="bottom"/>
            <w:tcBorders>
              <w:bottom w:val="single" w:sz="8" w:color="003551"/>
            </w:tcBorders>
            <w:shd w:val="clear" w:color="auto" w:fill="77C483"/>
          </w:tcPr>
          <w:p>
            <w:pPr>
              <w:ind w:left="140"/>
              <w:spacing w:after="0"/>
              <w:rPr>
                <w:sz w:val="20"/>
                <w:szCs w:val="20"/>
                <w:color w:val="auto"/>
              </w:rPr>
            </w:pPr>
            <w:r>
              <w:rPr>
                <w:rFonts w:ascii="Arial" w:cs="Arial" w:eastAsia="Arial" w:hAnsi="Arial"/>
                <w:sz w:val="17"/>
                <w:szCs w:val="17"/>
                <w:b w:val="1"/>
                <w:bCs w:val="1"/>
                <w:color w:val="003551"/>
              </w:rPr>
              <w:t>Name</w:t>
            </w:r>
          </w:p>
        </w:tc>
        <w:tc>
          <w:tcPr>
            <w:tcW w:w="3420" w:type="dxa"/>
            <w:vAlign w:val="bottom"/>
            <w:tcBorders>
              <w:bottom w:val="single" w:sz="8" w:color="003551"/>
            </w:tcBorders>
            <w:shd w:val="clear" w:color="auto" w:fill="77C483"/>
          </w:tcPr>
          <w:p>
            <w:pPr>
              <w:ind w:left="540"/>
              <w:spacing w:after="0"/>
              <w:rPr>
                <w:sz w:val="20"/>
                <w:szCs w:val="20"/>
                <w:color w:val="auto"/>
              </w:rPr>
            </w:pPr>
            <w:r>
              <w:rPr>
                <w:rFonts w:ascii="Arial" w:cs="Arial" w:eastAsia="Arial" w:hAnsi="Arial"/>
                <w:sz w:val="17"/>
                <w:szCs w:val="17"/>
                <w:b w:val="1"/>
                <w:bCs w:val="1"/>
                <w:color w:val="003551"/>
              </w:rPr>
              <w:t>Vesting</w:t>
            </w:r>
            <w:r>
              <w:rPr>
                <w:rFonts w:ascii="Arial" w:cs="Arial" w:eastAsia="Arial" w:hAnsi="Arial"/>
                <w:sz w:val="29"/>
                <w:szCs w:val="29"/>
                <w:b w:val="1"/>
                <w:bCs w:val="1"/>
                <w:color w:val="003551"/>
                <w:vertAlign w:val="superscript"/>
              </w:rPr>
              <w:t>(1)</w:t>
            </w:r>
          </w:p>
        </w:tc>
        <w:tc>
          <w:tcPr>
            <w:tcW w:w="2740" w:type="dxa"/>
            <w:vAlign w:val="bottom"/>
            <w:tcBorders>
              <w:bottom w:val="single" w:sz="8" w:color="003551"/>
            </w:tcBorders>
            <w:shd w:val="clear" w:color="auto" w:fill="77C483"/>
          </w:tcPr>
          <w:p>
            <w:pPr>
              <w:ind w:left="300"/>
              <w:spacing w:after="0"/>
              <w:rPr>
                <w:sz w:val="20"/>
                <w:szCs w:val="20"/>
                <w:color w:val="auto"/>
              </w:rPr>
            </w:pPr>
            <w:r>
              <w:rPr>
                <w:rFonts w:ascii="Arial" w:cs="Arial" w:eastAsia="Arial" w:hAnsi="Arial"/>
                <w:sz w:val="17"/>
                <w:szCs w:val="17"/>
                <w:b w:val="1"/>
                <w:bCs w:val="1"/>
                <w:color w:val="003551"/>
              </w:rPr>
              <w:t>Value Realized on Vesting</w:t>
            </w:r>
            <w:r>
              <w:rPr>
                <w:rFonts w:ascii="Arial" w:cs="Arial" w:eastAsia="Arial" w:hAnsi="Arial"/>
                <w:sz w:val="29"/>
                <w:szCs w:val="29"/>
                <w:b w:val="1"/>
                <w:bCs w:val="1"/>
                <w:color w:val="003551"/>
                <w:vertAlign w:val="superscript"/>
              </w:rPr>
              <w:t>(2)</w:t>
            </w:r>
          </w:p>
        </w:tc>
      </w:tr>
      <w:tr>
        <w:trPr>
          <w:trHeight w:val="332"/>
        </w:trPr>
        <w:tc>
          <w:tcPr>
            <w:tcW w:w="2080" w:type="dxa"/>
            <w:vAlign w:val="bottom"/>
          </w:tcPr>
          <w:p>
            <w:pPr>
              <w:ind w:left="140"/>
              <w:spacing w:after="0"/>
              <w:rPr>
                <w:sz w:val="20"/>
                <w:szCs w:val="20"/>
                <w:color w:val="auto"/>
              </w:rPr>
            </w:pPr>
            <w:r>
              <w:rPr>
                <w:rFonts w:ascii="Arial" w:cs="Arial" w:eastAsia="Arial" w:hAnsi="Arial"/>
                <w:sz w:val="17"/>
                <w:szCs w:val="17"/>
                <w:b w:val="1"/>
                <w:bCs w:val="1"/>
                <w:color w:val="003551"/>
              </w:rPr>
              <w:t>William Roberts</w:t>
            </w:r>
          </w:p>
        </w:tc>
        <w:tc>
          <w:tcPr>
            <w:tcW w:w="3420" w:type="dxa"/>
            <w:vAlign w:val="bottom"/>
          </w:tcPr>
          <w:p>
            <w:pPr>
              <w:ind w:left="540"/>
              <w:spacing w:after="0"/>
              <w:rPr>
                <w:sz w:val="20"/>
                <w:szCs w:val="20"/>
                <w:color w:val="auto"/>
              </w:rPr>
            </w:pPr>
            <w:r>
              <w:rPr>
                <w:rFonts w:ascii="Arial" w:cs="Arial" w:eastAsia="Arial" w:hAnsi="Arial"/>
                <w:sz w:val="17"/>
                <w:szCs w:val="17"/>
                <w:color w:val="003551"/>
              </w:rPr>
              <w:t>509,268</w:t>
            </w:r>
          </w:p>
        </w:tc>
        <w:tc>
          <w:tcPr>
            <w:tcW w:w="2740" w:type="dxa"/>
            <w:vAlign w:val="bottom"/>
          </w:tcPr>
          <w:p>
            <w:pPr>
              <w:ind w:left="300"/>
              <w:spacing w:after="0"/>
              <w:rPr>
                <w:sz w:val="20"/>
                <w:szCs w:val="20"/>
                <w:color w:val="auto"/>
              </w:rPr>
            </w:pPr>
            <w:r>
              <w:rPr>
                <w:rFonts w:ascii="Arial" w:cs="Arial" w:eastAsia="Arial" w:hAnsi="Arial"/>
                <w:sz w:val="17"/>
                <w:szCs w:val="17"/>
                <w:color w:val="003551"/>
              </w:rPr>
              <w:t>$7,420,035</w:t>
            </w:r>
          </w:p>
        </w:tc>
      </w:tr>
      <w:tr>
        <w:trPr>
          <w:trHeight w:val="432"/>
        </w:trPr>
        <w:tc>
          <w:tcPr>
            <w:tcW w:w="2080" w:type="dxa"/>
            <w:vAlign w:val="bottom"/>
          </w:tcPr>
          <w:p>
            <w:pPr>
              <w:ind w:left="140"/>
              <w:spacing w:after="0"/>
              <w:rPr>
                <w:sz w:val="20"/>
                <w:szCs w:val="20"/>
                <w:color w:val="auto"/>
              </w:rPr>
            </w:pPr>
            <w:r>
              <w:rPr>
                <w:rFonts w:ascii="Arial" w:cs="Arial" w:eastAsia="Arial" w:hAnsi="Arial"/>
                <w:sz w:val="17"/>
                <w:szCs w:val="17"/>
                <w:b w:val="1"/>
                <w:bCs w:val="1"/>
                <w:color w:val="003551"/>
              </w:rPr>
              <w:t>Daniel Roberts</w:t>
            </w:r>
          </w:p>
        </w:tc>
        <w:tc>
          <w:tcPr>
            <w:tcW w:w="3420" w:type="dxa"/>
            <w:vAlign w:val="bottom"/>
          </w:tcPr>
          <w:p>
            <w:pPr>
              <w:ind w:left="540"/>
              <w:spacing w:after="0"/>
              <w:rPr>
                <w:sz w:val="20"/>
                <w:szCs w:val="20"/>
                <w:color w:val="auto"/>
              </w:rPr>
            </w:pPr>
            <w:r>
              <w:rPr>
                <w:rFonts w:ascii="Arial" w:cs="Arial" w:eastAsia="Arial" w:hAnsi="Arial"/>
                <w:sz w:val="17"/>
                <w:szCs w:val="17"/>
                <w:color w:val="003551"/>
              </w:rPr>
              <w:t>509,268</w:t>
            </w:r>
          </w:p>
        </w:tc>
        <w:tc>
          <w:tcPr>
            <w:tcW w:w="2740" w:type="dxa"/>
            <w:vAlign w:val="bottom"/>
          </w:tcPr>
          <w:p>
            <w:pPr>
              <w:ind w:left="300"/>
              <w:spacing w:after="0"/>
              <w:rPr>
                <w:sz w:val="20"/>
                <w:szCs w:val="20"/>
                <w:color w:val="auto"/>
              </w:rPr>
            </w:pPr>
            <w:r>
              <w:rPr>
                <w:rFonts w:ascii="Arial" w:cs="Arial" w:eastAsia="Arial" w:hAnsi="Arial"/>
                <w:sz w:val="17"/>
                <w:szCs w:val="17"/>
                <w:color w:val="003551"/>
              </w:rPr>
              <w:t>$7,420,035</w:t>
            </w:r>
          </w:p>
        </w:tc>
      </w:tr>
      <w:tr>
        <w:trPr>
          <w:trHeight w:val="432"/>
        </w:trPr>
        <w:tc>
          <w:tcPr>
            <w:tcW w:w="2080" w:type="dxa"/>
            <w:vAlign w:val="bottom"/>
          </w:tcPr>
          <w:p>
            <w:pPr>
              <w:ind w:left="140"/>
              <w:spacing w:after="0"/>
              <w:rPr>
                <w:sz w:val="20"/>
                <w:szCs w:val="20"/>
                <w:color w:val="auto"/>
              </w:rPr>
            </w:pPr>
            <w:r>
              <w:rPr>
                <w:rFonts w:ascii="Arial" w:cs="Arial" w:eastAsia="Arial" w:hAnsi="Arial"/>
                <w:sz w:val="17"/>
                <w:szCs w:val="17"/>
                <w:b w:val="1"/>
                <w:bCs w:val="1"/>
                <w:color w:val="003551"/>
              </w:rPr>
              <w:t>Belinda Nucifora</w:t>
            </w:r>
          </w:p>
        </w:tc>
        <w:tc>
          <w:tcPr>
            <w:tcW w:w="3420" w:type="dxa"/>
            <w:vAlign w:val="bottom"/>
          </w:tcPr>
          <w:p>
            <w:pPr>
              <w:ind w:left="540"/>
              <w:spacing w:after="0"/>
              <w:rPr>
                <w:sz w:val="20"/>
                <w:szCs w:val="20"/>
                <w:color w:val="auto"/>
              </w:rPr>
            </w:pPr>
            <w:r>
              <w:rPr>
                <w:rFonts w:ascii="Arial" w:cs="Arial" w:eastAsia="Arial" w:hAnsi="Arial"/>
                <w:sz w:val="17"/>
                <w:szCs w:val="17"/>
                <w:color w:val="003551"/>
              </w:rPr>
              <w:t>22,214</w:t>
            </w:r>
          </w:p>
        </w:tc>
        <w:tc>
          <w:tcPr>
            <w:tcW w:w="2740" w:type="dxa"/>
            <w:vAlign w:val="bottom"/>
          </w:tcPr>
          <w:p>
            <w:pPr>
              <w:ind w:left="300"/>
              <w:spacing w:after="0"/>
              <w:rPr>
                <w:sz w:val="20"/>
                <w:szCs w:val="20"/>
                <w:color w:val="auto"/>
              </w:rPr>
            </w:pPr>
            <w:r>
              <w:rPr>
                <w:rFonts w:ascii="Arial" w:cs="Arial" w:eastAsia="Arial" w:hAnsi="Arial"/>
                <w:sz w:val="17"/>
                <w:szCs w:val="17"/>
                <w:color w:val="003551"/>
              </w:rPr>
              <w:t>$323,658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-488950</wp:posOffset>
            </wp:positionV>
            <wp:extent cx="522351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223510"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-214630</wp:posOffset>
            </wp:positionV>
            <wp:extent cx="522351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223510" cy="8255"/>
                    </a:xfrm>
                    <a:prstGeom prst="rect">
                      <a:avLst/>
                    </a:prstGeom>
                    <a:noFill/>
                  </pic:spPr>
                </pic:pic>
              </a:graphicData>
            </a:graphic>
          </wp:anchor>
        </w:drawing>
      </w:r>
    </w:p>
    <w:p>
      <w:pPr>
        <w:spacing w:after="0" w:line="201" w:lineRule="exact"/>
        <w:rPr>
          <w:sz w:val="20"/>
          <w:szCs w:val="20"/>
          <w:color w:val="auto"/>
        </w:rPr>
      </w:pPr>
    </w:p>
    <w:p>
      <w:pPr>
        <w:ind w:left="1280" w:hanging="337"/>
        <w:spacing w:after="0"/>
        <w:tabs>
          <w:tab w:leader="none" w:pos="1280" w:val="left"/>
        </w:tabs>
        <w:numPr>
          <w:ilvl w:val="0"/>
          <w:numId w:val="39"/>
        </w:numPr>
        <w:rPr>
          <w:rFonts w:ascii="Arial" w:cs="Arial" w:eastAsia="Arial" w:hAnsi="Arial"/>
          <w:sz w:val="12"/>
          <w:szCs w:val="12"/>
          <w:i w:val="1"/>
          <w:iCs w:val="1"/>
          <w:color w:val="003551"/>
        </w:rPr>
      </w:pPr>
      <w:r>
        <w:rPr>
          <w:rFonts w:ascii="Arial" w:cs="Arial" w:eastAsia="Arial" w:hAnsi="Arial"/>
          <w:sz w:val="12"/>
          <w:szCs w:val="12"/>
          <w:i w:val="1"/>
          <w:iCs w:val="1"/>
          <w:color w:val="003551"/>
        </w:rPr>
        <w:t>Represents the total number of shares that vested under each outstanding award granted under the 2023 LTIP as of the end of Fiscal 2025.</w:t>
      </w:r>
    </w:p>
    <w:p>
      <w:pPr>
        <w:spacing w:after="0" w:line="2" w:lineRule="exact"/>
        <w:rPr>
          <w:rFonts w:ascii="Arial" w:cs="Arial" w:eastAsia="Arial" w:hAnsi="Arial"/>
          <w:sz w:val="12"/>
          <w:szCs w:val="12"/>
          <w:i w:val="1"/>
          <w:iCs w:val="1"/>
          <w:color w:val="003551"/>
        </w:rPr>
      </w:pPr>
    </w:p>
    <w:p>
      <w:pPr>
        <w:ind w:left="1280" w:right="740" w:hanging="337"/>
        <w:spacing w:after="0" w:line="246" w:lineRule="auto"/>
        <w:tabs>
          <w:tab w:leader="none" w:pos="1280" w:val="left"/>
        </w:tabs>
        <w:numPr>
          <w:ilvl w:val="0"/>
          <w:numId w:val="39"/>
        </w:numPr>
        <w:rPr>
          <w:rFonts w:ascii="Arial" w:cs="Arial" w:eastAsia="Arial" w:hAnsi="Arial"/>
          <w:sz w:val="12"/>
          <w:szCs w:val="12"/>
          <w:i w:val="1"/>
          <w:iCs w:val="1"/>
          <w:color w:val="003551"/>
        </w:rPr>
      </w:pPr>
      <w:r>
        <w:rPr>
          <w:rFonts w:ascii="Arial" w:cs="Arial" w:eastAsia="Arial" w:hAnsi="Arial"/>
          <w:sz w:val="12"/>
          <w:szCs w:val="12"/>
          <w:i w:val="1"/>
          <w:iCs w:val="1"/>
          <w:color w:val="003551"/>
        </w:rPr>
        <w:t>Represents the total value realized upon the vesting of TRSUs and PRSUs during Fiscal 2025 based on the closing share price of $14.57 as of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123190</wp:posOffset>
            </wp:positionV>
            <wp:extent cx="540385" cy="63182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6" w:right="12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Potential Payments Upon Termination or Change in Control</w:t>
      </w:r>
    </w:p>
    <w:p>
      <w:pPr>
        <w:spacing w:after="0" w:line="172"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Co-Chief Executive Officer Employment Agreements</w:t>
      </w:r>
    </w:p>
    <w:p>
      <w:pPr>
        <w:spacing w:after="0" w:line="15" w:lineRule="exact"/>
        <w:rPr>
          <w:sz w:val="20"/>
          <w:szCs w:val="20"/>
          <w:color w:val="auto"/>
        </w:rPr>
      </w:pPr>
    </w:p>
    <w:p>
      <w:pPr>
        <w:ind w:left="940" w:right="1120"/>
        <w:spacing w:after="0" w:line="263" w:lineRule="auto"/>
        <w:rPr>
          <w:sz w:val="20"/>
          <w:szCs w:val="20"/>
          <w:color w:val="auto"/>
        </w:rPr>
      </w:pPr>
      <w:r>
        <w:rPr>
          <w:rFonts w:ascii="Arial" w:cs="Arial" w:eastAsia="Arial" w:hAnsi="Arial"/>
          <w:sz w:val="17"/>
          <w:szCs w:val="17"/>
          <w:b w:val="1"/>
          <w:bCs w:val="1"/>
          <w:i w:val="1"/>
          <w:iCs w:val="1"/>
          <w:color w:val="003551"/>
        </w:rPr>
        <w:t xml:space="preserve">Co-Chief Executive Officers: </w:t>
      </w:r>
      <w:r>
        <w:rPr>
          <w:rFonts w:ascii="Arial" w:cs="Arial" w:eastAsia="Arial" w:hAnsi="Arial"/>
          <w:sz w:val="17"/>
          <w:szCs w:val="17"/>
          <w:color w:val="003551"/>
        </w:rPr>
        <w:t>Neither of our Co-Chief Executive Officers is party to any employment,</w:t>
      </w:r>
      <w:r>
        <w:rPr>
          <w:rFonts w:ascii="Arial" w:cs="Arial" w:eastAsia="Arial" w:hAnsi="Arial"/>
          <w:sz w:val="17"/>
          <w:szCs w:val="17"/>
          <w:b w:val="1"/>
          <w:bCs w:val="1"/>
          <w:i w:val="1"/>
          <w:iCs w:val="1"/>
          <w:color w:val="003551"/>
        </w:rPr>
        <w:t xml:space="preserve"> </w:t>
      </w:r>
      <w:r>
        <w:rPr>
          <w:rFonts w:ascii="Arial" w:cs="Arial" w:eastAsia="Arial" w:hAnsi="Arial"/>
          <w:sz w:val="17"/>
          <w:szCs w:val="17"/>
          <w:color w:val="003551"/>
        </w:rPr>
        <w:t>severance or similar agreement with IREN.</w:t>
      </w:r>
    </w:p>
    <w:p>
      <w:pPr>
        <w:spacing w:after="0" w:line="53" w:lineRule="exact"/>
        <w:rPr>
          <w:sz w:val="20"/>
          <w:szCs w:val="20"/>
          <w:color w:val="auto"/>
        </w:rPr>
      </w:pPr>
    </w:p>
    <w:p>
      <w:pPr>
        <w:ind w:left="940" w:right="740"/>
        <w:spacing w:after="0" w:line="249" w:lineRule="auto"/>
        <w:rPr>
          <w:sz w:val="20"/>
          <w:szCs w:val="20"/>
          <w:color w:val="auto"/>
        </w:rPr>
      </w:pPr>
      <w:r>
        <w:rPr>
          <w:rFonts w:ascii="Arial" w:cs="Arial" w:eastAsia="Arial" w:hAnsi="Arial"/>
          <w:sz w:val="17"/>
          <w:szCs w:val="17"/>
          <w:b w:val="1"/>
          <w:bCs w:val="1"/>
          <w:i w:val="1"/>
          <w:iCs w:val="1"/>
          <w:color w:val="003551"/>
        </w:rPr>
        <w:t xml:space="preserve">Belinda Nucifora: </w:t>
      </w:r>
      <w:r>
        <w:rPr>
          <w:rFonts w:ascii="Arial" w:cs="Arial" w:eastAsia="Arial" w:hAnsi="Arial"/>
          <w:sz w:val="17"/>
          <w:szCs w:val="17"/>
          <w:color w:val="003551"/>
        </w:rPr>
        <w:t>Under her executive service agreement, Ms. Nucifora is entitled to three months’ notice</w:t>
      </w:r>
      <w:r>
        <w:rPr>
          <w:rFonts w:ascii="Arial" w:cs="Arial" w:eastAsia="Arial" w:hAnsi="Arial"/>
          <w:sz w:val="17"/>
          <w:szCs w:val="17"/>
          <w:b w:val="1"/>
          <w:bCs w:val="1"/>
          <w:i w:val="1"/>
          <w:iCs w:val="1"/>
          <w:color w:val="003551"/>
        </w:rPr>
        <w:t xml:space="preserve"> </w:t>
      </w:r>
      <w:r>
        <w:rPr>
          <w:rFonts w:ascii="Arial" w:cs="Arial" w:eastAsia="Arial" w:hAnsi="Arial"/>
          <w:sz w:val="17"/>
          <w:szCs w:val="17"/>
          <w:color w:val="003551"/>
        </w:rPr>
        <w:t>for any termination of her employment without cause and up to six months of base salary if Ms. Nucifora agrees to comply with certain restrictive covenants, including confidentiality obligations, a non-solicitation obligation and a non-compete obligation. IREN may elect to provide payment of her base salary in lieu of notice for the duration of her three-month notice period, which based on Ms. Nucifora’s current base salary, would equal $80,670.</w:t>
      </w:r>
    </w:p>
    <w:p>
      <w:pPr>
        <w:spacing w:after="0" w:line="227"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Short-Term Cash Incentive Awards</w:t>
      </w:r>
    </w:p>
    <w:p>
      <w:pPr>
        <w:spacing w:after="0" w:line="15" w:lineRule="exact"/>
        <w:rPr>
          <w:sz w:val="20"/>
          <w:szCs w:val="20"/>
          <w:color w:val="auto"/>
        </w:rPr>
      </w:pPr>
    </w:p>
    <w:p>
      <w:pPr>
        <w:ind w:left="940" w:right="760"/>
        <w:spacing w:after="0" w:line="246" w:lineRule="auto"/>
        <w:rPr>
          <w:sz w:val="20"/>
          <w:szCs w:val="20"/>
          <w:color w:val="auto"/>
        </w:rPr>
      </w:pPr>
      <w:r>
        <w:rPr>
          <w:rFonts w:ascii="Arial" w:cs="Arial" w:eastAsia="Arial" w:hAnsi="Arial"/>
          <w:sz w:val="17"/>
          <w:szCs w:val="17"/>
          <w:b w:val="1"/>
          <w:bCs w:val="1"/>
          <w:i w:val="1"/>
          <w:iCs w:val="1"/>
          <w:color w:val="003551"/>
        </w:rPr>
        <w:t xml:space="preserve">Termination: </w:t>
      </w:r>
      <w:r>
        <w:rPr>
          <w:rFonts w:ascii="Arial" w:cs="Arial" w:eastAsia="Arial" w:hAnsi="Arial"/>
          <w:sz w:val="17"/>
          <w:szCs w:val="17"/>
          <w:color w:val="003551"/>
        </w:rPr>
        <w:t>There is no default treatment provided for awards upon a Change in Control under the STIP.</w:t>
      </w:r>
      <w:r>
        <w:rPr>
          <w:rFonts w:ascii="Arial" w:cs="Arial" w:eastAsia="Arial" w:hAnsi="Arial"/>
          <w:sz w:val="17"/>
          <w:szCs w:val="17"/>
          <w:b w:val="1"/>
          <w:bCs w:val="1"/>
          <w:i w:val="1"/>
          <w:iCs w:val="1"/>
          <w:color w:val="003551"/>
        </w:rPr>
        <w:t xml:space="preserve"> </w:t>
      </w:r>
      <w:r>
        <w:rPr>
          <w:rFonts w:ascii="Arial" w:cs="Arial" w:eastAsia="Arial" w:hAnsi="Arial"/>
          <w:sz w:val="17"/>
          <w:szCs w:val="17"/>
          <w:color w:val="003551"/>
        </w:rPr>
        <w:t>However, pursuant to the terms of the STIP, in the event of a termination due to retirement, injury, ill health, permanent disability, death, redundancy, termination without cause or other exceptional circumstances, participants may receive a STIP payment, subject to the Board’s discretion. Under the STIP, in the event of a termination due to resignation or termination for cause, participants forfeit all unpaid STIP payments.</w:t>
      </w:r>
    </w:p>
    <w:p>
      <w:pPr>
        <w:spacing w:after="0" w:line="266" w:lineRule="exact"/>
        <w:rPr>
          <w:sz w:val="20"/>
          <w:szCs w:val="20"/>
          <w:color w:val="auto"/>
        </w:rPr>
      </w:pPr>
    </w:p>
    <w:p>
      <w:pPr>
        <w:ind w:left="940" w:right="780"/>
        <w:spacing w:after="0" w:line="255" w:lineRule="auto"/>
        <w:rPr>
          <w:sz w:val="20"/>
          <w:szCs w:val="20"/>
          <w:color w:val="auto"/>
        </w:rPr>
      </w:pPr>
      <w:r>
        <w:rPr>
          <w:rFonts w:ascii="Arial" w:cs="Arial" w:eastAsia="Arial" w:hAnsi="Arial"/>
          <w:sz w:val="17"/>
          <w:szCs w:val="17"/>
          <w:b w:val="1"/>
          <w:bCs w:val="1"/>
          <w:i w:val="1"/>
          <w:iCs w:val="1"/>
          <w:color w:val="003551"/>
        </w:rPr>
        <w:t xml:space="preserve">Change in Control: </w:t>
      </w:r>
      <w:r>
        <w:rPr>
          <w:rFonts w:ascii="Arial" w:cs="Arial" w:eastAsia="Arial" w:hAnsi="Arial"/>
          <w:sz w:val="17"/>
          <w:szCs w:val="17"/>
          <w:color w:val="003551"/>
        </w:rPr>
        <w:t>Pursuant to the terms of the STIP, in the event of a takeover bid or other transaction,</w:t>
      </w:r>
      <w:r>
        <w:rPr>
          <w:rFonts w:ascii="Arial" w:cs="Arial" w:eastAsia="Arial" w:hAnsi="Arial"/>
          <w:sz w:val="17"/>
          <w:szCs w:val="17"/>
          <w:b w:val="1"/>
          <w:bCs w:val="1"/>
          <w:i w:val="1"/>
          <w:iCs w:val="1"/>
          <w:color w:val="003551"/>
        </w:rPr>
        <w:t xml:space="preserve"> </w:t>
      </w:r>
      <w:r>
        <w:rPr>
          <w:rFonts w:ascii="Arial" w:cs="Arial" w:eastAsia="Arial" w:hAnsi="Arial"/>
          <w:sz w:val="17"/>
          <w:szCs w:val="17"/>
          <w:color w:val="003551"/>
        </w:rPr>
        <w:t>event or state of affairs that in the Board’s opinion is likely to result in a change in control of IREN, the Board has discretion to cause the acceleration of vesting of some or all unvested performance awards (no default treatment is provided for).</w:t>
      </w:r>
    </w:p>
    <w:p>
      <w:pPr>
        <w:spacing w:after="0" w:line="207"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Long-Term Equity Incentive Awards</w:t>
      </w:r>
    </w:p>
    <w:p>
      <w:pPr>
        <w:spacing w:after="0" w:line="15" w:lineRule="exact"/>
        <w:rPr>
          <w:sz w:val="20"/>
          <w:szCs w:val="20"/>
          <w:color w:val="auto"/>
        </w:rPr>
      </w:pPr>
    </w:p>
    <w:p>
      <w:pPr>
        <w:ind w:left="940" w:right="760"/>
        <w:spacing w:after="0" w:line="245" w:lineRule="auto"/>
        <w:rPr>
          <w:sz w:val="20"/>
          <w:szCs w:val="20"/>
          <w:color w:val="auto"/>
        </w:rPr>
      </w:pPr>
      <w:r>
        <w:rPr>
          <w:rFonts w:ascii="Arial" w:cs="Arial" w:eastAsia="Arial" w:hAnsi="Arial"/>
          <w:sz w:val="17"/>
          <w:szCs w:val="17"/>
          <w:b w:val="1"/>
          <w:bCs w:val="1"/>
          <w:i w:val="1"/>
          <w:iCs w:val="1"/>
          <w:color w:val="003551"/>
        </w:rPr>
        <w:t xml:space="preserve">Termination Without Cause or Termination Due to Death, Disability or Retirement: </w:t>
      </w:r>
      <w:r>
        <w:rPr>
          <w:rFonts w:ascii="Arial" w:cs="Arial" w:eastAsia="Arial" w:hAnsi="Arial"/>
          <w:sz w:val="17"/>
          <w:szCs w:val="17"/>
          <w:color w:val="003551"/>
        </w:rPr>
        <w:t>Pursuant to the</w:t>
      </w:r>
      <w:r>
        <w:rPr>
          <w:rFonts w:ascii="Arial" w:cs="Arial" w:eastAsia="Arial" w:hAnsi="Arial"/>
          <w:sz w:val="17"/>
          <w:szCs w:val="17"/>
          <w:b w:val="1"/>
          <w:bCs w:val="1"/>
          <w:i w:val="1"/>
          <w:iCs w:val="1"/>
          <w:color w:val="003551"/>
        </w:rPr>
        <w:t xml:space="preserve"> </w:t>
      </w:r>
      <w:r>
        <w:rPr>
          <w:rFonts w:ascii="Arial" w:cs="Arial" w:eastAsia="Arial" w:hAnsi="Arial"/>
          <w:sz w:val="17"/>
          <w:szCs w:val="17"/>
          <w:color w:val="003551"/>
        </w:rPr>
        <w:t>terms of the award agreements evidencing each NEO’s TRSUs and PRSUs under the IREN Limited 2022 Long-Term Incentive Plan (the “</w:t>
      </w:r>
      <w:r>
        <w:rPr>
          <w:rFonts w:ascii="Arial" w:cs="Arial" w:eastAsia="Arial" w:hAnsi="Arial"/>
          <w:sz w:val="17"/>
          <w:szCs w:val="17"/>
          <w:b w:val="1"/>
          <w:bCs w:val="1"/>
          <w:color w:val="003551"/>
        </w:rPr>
        <w:t>2022 LTIP</w:t>
      </w:r>
      <w:r>
        <w:rPr>
          <w:rFonts w:ascii="Arial" w:cs="Arial" w:eastAsia="Arial" w:hAnsi="Arial"/>
          <w:sz w:val="17"/>
          <w:szCs w:val="17"/>
          <w:color w:val="003551"/>
        </w:rPr>
        <w:t>”) and 2023 LTIP, in the event of a termination of employment without cause or due to the NEO’s death or disability (each, a “</w:t>
      </w:r>
      <w:r>
        <w:rPr>
          <w:rFonts w:ascii="Arial" w:cs="Arial" w:eastAsia="Arial" w:hAnsi="Arial"/>
          <w:sz w:val="17"/>
          <w:szCs w:val="17"/>
          <w:b w:val="1"/>
          <w:bCs w:val="1"/>
          <w:color w:val="003551"/>
        </w:rPr>
        <w:t>Qualifying Termination</w:t>
      </w:r>
      <w:r>
        <w:rPr>
          <w:rFonts w:ascii="Arial" w:cs="Arial" w:eastAsia="Arial" w:hAnsi="Arial"/>
          <w:sz w:val="17"/>
          <w:szCs w:val="17"/>
          <w:color w:val="003551"/>
        </w:rPr>
        <w:t>”), unless the Board determines otherwise, each NEO’s TRSUs and PRSUs will continue to vest as though the NEO had remained employed with IREN through the end of the applicable vesting period, with the PRSUs vesting based on actual achievement of applicable performance goals.</w:t>
      </w:r>
    </w:p>
    <w:p>
      <w:pPr>
        <w:spacing w:after="0" w:line="67" w:lineRule="exact"/>
        <w:rPr>
          <w:sz w:val="20"/>
          <w:szCs w:val="20"/>
          <w:color w:val="auto"/>
        </w:rPr>
      </w:pPr>
    </w:p>
    <w:p>
      <w:pPr>
        <w:ind w:left="940" w:right="820"/>
        <w:spacing w:after="0" w:line="262" w:lineRule="auto"/>
        <w:rPr>
          <w:sz w:val="20"/>
          <w:szCs w:val="20"/>
          <w:color w:val="auto"/>
        </w:rPr>
      </w:pPr>
      <w:r>
        <w:rPr>
          <w:rFonts w:ascii="Arial" w:cs="Arial" w:eastAsia="Arial" w:hAnsi="Arial"/>
          <w:sz w:val="17"/>
          <w:szCs w:val="17"/>
          <w:color w:val="003551"/>
        </w:rPr>
        <w:t>In the event of a Qualifying Termination, the aggregate estimated equity award acceleration for each NEO would be as follows, based on the closing market price of our ordinary shares on June 30, 2025, which was $14.57, assuming full achievement of performance conditions of PRSUs:</w:t>
      </w:r>
    </w:p>
    <w:p>
      <w:pPr>
        <w:spacing w:after="0" w:line="93" w:lineRule="exact"/>
        <w:rPr>
          <w:sz w:val="20"/>
          <w:szCs w:val="20"/>
          <w:color w:val="auto"/>
        </w:rPr>
      </w:pPr>
    </w:p>
    <w:p>
      <w:pPr>
        <w:ind w:left="1280" w:hanging="337"/>
        <w:spacing w:after="0"/>
        <w:tabs>
          <w:tab w:leader="none" w:pos="1280" w:val="left"/>
        </w:tabs>
        <w:numPr>
          <w:ilvl w:val="0"/>
          <w:numId w:val="40"/>
        </w:numPr>
        <w:rPr>
          <w:rFonts w:ascii="Arial" w:cs="Arial" w:eastAsia="Arial" w:hAnsi="Arial"/>
          <w:sz w:val="17"/>
          <w:szCs w:val="17"/>
          <w:color w:val="003551"/>
        </w:rPr>
      </w:pPr>
      <w:r>
        <w:rPr>
          <w:rFonts w:ascii="Arial" w:cs="Arial" w:eastAsia="Arial" w:hAnsi="Arial"/>
          <w:sz w:val="17"/>
          <w:szCs w:val="17"/>
          <w:color w:val="003551"/>
        </w:rPr>
        <w:t>William Roberts: $134,615,625</w:t>
      </w:r>
    </w:p>
    <w:p>
      <w:pPr>
        <w:spacing w:after="0" w:line="131" w:lineRule="exact"/>
        <w:rPr>
          <w:rFonts w:ascii="Arial" w:cs="Arial" w:eastAsia="Arial" w:hAnsi="Arial"/>
          <w:sz w:val="17"/>
          <w:szCs w:val="17"/>
          <w:color w:val="003551"/>
        </w:rPr>
      </w:pPr>
    </w:p>
    <w:p>
      <w:pPr>
        <w:ind w:left="1280" w:hanging="337"/>
        <w:spacing w:after="0"/>
        <w:tabs>
          <w:tab w:leader="none" w:pos="1280" w:val="left"/>
        </w:tabs>
        <w:numPr>
          <w:ilvl w:val="0"/>
          <w:numId w:val="40"/>
        </w:numPr>
        <w:rPr>
          <w:rFonts w:ascii="Arial" w:cs="Arial" w:eastAsia="Arial" w:hAnsi="Arial"/>
          <w:sz w:val="17"/>
          <w:szCs w:val="17"/>
          <w:color w:val="003551"/>
        </w:rPr>
      </w:pPr>
      <w:r>
        <w:rPr>
          <w:rFonts w:ascii="Arial" w:cs="Arial" w:eastAsia="Arial" w:hAnsi="Arial"/>
          <w:sz w:val="17"/>
          <w:szCs w:val="17"/>
          <w:color w:val="003551"/>
        </w:rPr>
        <w:t>Daniel Roberts: $134,615,625</w:t>
      </w:r>
    </w:p>
    <w:p>
      <w:pPr>
        <w:spacing w:after="0" w:line="145" w:lineRule="exact"/>
        <w:rPr>
          <w:rFonts w:ascii="Arial" w:cs="Arial" w:eastAsia="Arial" w:hAnsi="Arial"/>
          <w:sz w:val="17"/>
          <w:szCs w:val="17"/>
          <w:color w:val="003551"/>
        </w:rPr>
      </w:pPr>
    </w:p>
    <w:p>
      <w:pPr>
        <w:ind w:left="1280" w:hanging="337"/>
        <w:spacing w:after="0"/>
        <w:tabs>
          <w:tab w:leader="none" w:pos="1280" w:val="left"/>
        </w:tabs>
        <w:numPr>
          <w:ilvl w:val="0"/>
          <w:numId w:val="40"/>
        </w:numPr>
        <w:rPr>
          <w:rFonts w:ascii="Arial" w:cs="Arial" w:eastAsia="Arial" w:hAnsi="Arial"/>
          <w:sz w:val="17"/>
          <w:szCs w:val="17"/>
          <w:color w:val="003551"/>
        </w:rPr>
      </w:pPr>
      <w:r>
        <w:rPr>
          <w:rFonts w:ascii="Arial" w:cs="Arial" w:eastAsia="Arial" w:hAnsi="Arial"/>
          <w:sz w:val="17"/>
          <w:szCs w:val="17"/>
          <w:color w:val="003551"/>
        </w:rPr>
        <w:t>Belinda Nucifora: $4,851,169</w:t>
      </w:r>
    </w:p>
    <w:p>
      <w:pPr>
        <w:spacing w:after="0" w:line="106" w:lineRule="exact"/>
        <w:rPr>
          <w:sz w:val="20"/>
          <w:szCs w:val="20"/>
          <w:color w:val="auto"/>
        </w:rPr>
      </w:pPr>
    </w:p>
    <w:p>
      <w:pPr>
        <w:ind w:left="940" w:right="920"/>
        <w:spacing w:after="0" w:line="283" w:lineRule="auto"/>
        <w:rPr>
          <w:sz w:val="20"/>
          <w:szCs w:val="20"/>
          <w:color w:val="auto"/>
        </w:rPr>
      </w:pPr>
      <w:r>
        <w:rPr>
          <w:rFonts w:ascii="Arial" w:cs="Arial" w:eastAsia="Arial" w:hAnsi="Arial"/>
          <w:sz w:val="17"/>
          <w:szCs w:val="17"/>
          <w:b w:val="1"/>
          <w:bCs w:val="1"/>
          <w:i w:val="1"/>
          <w:iCs w:val="1"/>
          <w:color w:val="003551"/>
        </w:rPr>
        <w:t>Any Other Termination</w:t>
      </w:r>
      <w:r>
        <w:rPr>
          <w:rFonts w:ascii="Arial" w:cs="Arial" w:eastAsia="Arial" w:hAnsi="Arial"/>
          <w:sz w:val="17"/>
          <w:szCs w:val="17"/>
          <w:color w:val="003551"/>
        </w:rPr>
        <w:t>: Upon a termination that is not a Qualifying Termination, the NEOs will forfeit all</w:t>
      </w:r>
      <w:r>
        <w:rPr>
          <w:rFonts w:ascii="Arial" w:cs="Arial" w:eastAsia="Arial" w:hAnsi="Arial"/>
          <w:sz w:val="17"/>
          <w:szCs w:val="17"/>
          <w:b w:val="1"/>
          <w:bCs w:val="1"/>
          <w:i w:val="1"/>
          <w:iCs w:val="1"/>
          <w:color w:val="003551"/>
        </w:rPr>
        <w:t xml:space="preserve"> </w:t>
      </w:r>
      <w:r>
        <w:rPr>
          <w:rFonts w:ascii="Arial" w:cs="Arial" w:eastAsia="Arial" w:hAnsi="Arial"/>
          <w:sz w:val="17"/>
          <w:szCs w:val="17"/>
          <w:color w:val="003551"/>
        </w:rPr>
        <w:t>outstanding PRSUs and TRSUs outstanding under the 2022 LTIP and the 2023 LTIP.</w:t>
      </w:r>
    </w:p>
    <w:p>
      <w:pPr>
        <w:spacing w:after="0" w:line="37" w:lineRule="exact"/>
        <w:rPr>
          <w:sz w:val="20"/>
          <w:szCs w:val="20"/>
          <w:color w:val="auto"/>
        </w:rPr>
      </w:pPr>
    </w:p>
    <w:p>
      <w:pPr>
        <w:ind w:left="940" w:right="820"/>
        <w:spacing w:after="0" w:line="248" w:lineRule="auto"/>
        <w:rPr>
          <w:sz w:val="20"/>
          <w:szCs w:val="20"/>
          <w:color w:val="auto"/>
        </w:rPr>
      </w:pPr>
      <w:r>
        <w:rPr>
          <w:rFonts w:ascii="Arial" w:cs="Arial" w:eastAsia="Arial" w:hAnsi="Arial"/>
          <w:sz w:val="17"/>
          <w:szCs w:val="17"/>
          <w:b w:val="1"/>
          <w:bCs w:val="1"/>
          <w:i w:val="1"/>
          <w:iCs w:val="1"/>
          <w:color w:val="003551"/>
        </w:rPr>
        <w:t>Change in Control</w:t>
      </w:r>
      <w:r>
        <w:rPr>
          <w:rFonts w:ascii="Arial" w:cs="Arial" w:eastAsia="Arial" w:hAnsi="Arial"/>
          <w:sz w:val="17"/>
          <w:szCs w:val="17"/>
          <w:color w:val="003551"/>
        </w:rPr>
        <w:t>: There is no default treatment provided for awards upon a Change in Control under</w:t>
      </w:r>
      <w:r>
        <w:rPr>
          <w:rFonts w:ascii="Arial" w:cs="Arial" w:eastAsia="Arial" w:hAnsi="Arial"/>
          <w:sz w:val="17"/>
          <w:szCs w:val="17"/>
          <w:b w:val="1"/>
          <w:bCs w:val="1"/>
          <w:i w:val="1"/>
          <w:iCs w:val="1"/>
          <w:color w:val="003551"/>
        </w:rPr>
        <w:t xml:space="preserve"> </w:t>
      </w:r>
      <w:r>
        <w:rPr>
          <w:rFonts w:ascii="Arial" w:cs="Arial" w:eastAsia="Arial" w:hAnsi="Arial"/>
          <w:sz w:val="17"/>
          <w:szCs w:val="17"/>
          <w:color w:val="003551"/>
        </w:rPr>
        <w:t>the 2022 LTIP or the 2023 LTIP. However, pursuant to the terms of the 2022 LTIP and 2023 LTIP, upon a change in control that meets the definition of “sale” under each respective plan, any unvested TRSUs and PRSUs will vest in full and be paid out in cash at the time of consummation of the sale. Upon a change in control that does not meet such definition, there is no default treatment of the unvested TRSUs and PRSUs, but the Board has discretion as to the treatment of TRSUs and PRSUs outstanding under the each of the 2022 LTIP and 2023 LTIP, including to accelerate all outstanding awards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119380</wp:posOffset>
            </wp:positionV>
            <wp:extent cx="540385" cy="6318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228600</wp:posOffset>
            </wp:positionV>
            <wp:extent cx="6786880" cy="165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40" w:right="980"/>
        <w:spacing w:after="0" w:line="262" w:lineRule="auto"/>
        <w:rPr>
          <w:sz w:val="20"/>
          <w:szCs w:val="20"/>
          <w:color w:val="auto"/>
        </w:rPr>
      </w:pPr>
      <w:r>
        <w:rPr>
          <w:rFonts w:ascii="Arial" w:cs="Arial" w:eastAsia="Arial" w:hAnsi="Arial"/>
          <w:sz w:val="17"/>
          <w:szCs w:val="17"/>
          <w:color w:val="003551"/>
        </w:rPr>
        <w:t>In the event of a Change in Control that constitutes a “sale,” subject to the Board’s discretion, the aggregate estimated equity award acceleration for each NEO would be as follows, based on the closing market price of our ordinary shares on June 30, 2025, which was $14.57:</w:t>
      </w:r>
    </w:p>
    <w:p>
      <w:pPr>
        <w:spacing w:after="0" w:line="80" w:lineRule="exact"/>
        <w:rPr>
          <w:sz w:val="20"/>
          <w:szCs w:val="20"/>
          <w:color w:val="auto"/>
        </w:rPr>
      </w:pPr>
    </w:p>
    <w:p>
      <w:pPr>
        <w:ind w:left="1280" w:hanging="337"/>
        <w:spacing w:after="0"/>
        <w:tabs>
          <w:tab w:leader="none" w:pos="1280" w:val="left"/>
        </w:tabs>
        <w:numPr>
          <w:ilvl w:val="0"/>
          <w:numId w:val="41"/>
        </w:numPr>
        <w:rPr>
          <w:rFonts w:ascii="Arial" w:cs="Arial" w:eastAsia="Arial" w:hAnsi="Arial"/>
          <w:sz w:val="17"/>
          <w:szCs w:val="17"/>
          <w:color w:val="003551"/>
        </w:rPr>
      </w:pPr>
      <w:r>
        <w:rPr>
          <w:rFonts w:ascii="Arial" w:cs="Arial" w:eastAsia="Arial" w:hAnsi="Arial"/>
          <w:sz w:val="17"/>
          <w:szCs w:val="17"/>
          <w:color w:val="003551"/>
        </w:rPr>
        <w:t>William Roberts: $134,615,625</w:t>
      </w:r>
    </w:p>
    <w:p>
      <w:pPr>
        <w:spacing w:after="0" w:line="145" w:lineRule="exact"/>
        <w:rPr>
          <w:rFonts w:ascii="Arial" w:cs="Arial" w:eastAsia="Arial" w:hAnsi="Arial"/>
          <w:sz w:val="17"/>
          <w:szCs w:val="17"/>
          <w:color w:val="003551"/>
        </w:rPr>
      </w:pPr>
    </w:p>
    <w:p>
      <w:pPr>
        <w:ind w:left="1280" w:hanging="337"/>
        <w:spacing w:after="0"/>
        <w:tabs>
          <w:tab w:leader="none" w:pos="1280" w:val="left"/>
        </w:tabs>
        <w:numPr>
          <w:ilvl w:val="0"/>
          <w:numId w:val="41"/>
        </w:numPr>
        <w:rPr>
          <w:rFonts w:ascii="Arial" w:cs="Arial" w:eastAsia="Arial" w:hAnsi="Arial"/>
          <w:sz w:val="17"/>
          <w:szCs w:val="17"/>
          <w:color w:val="003551"/>
        </w:rPr>
      </w:pPr>
      <w:r>
        <w:rPr>
          <w:rFonts w:ascii="Arial" w:cs="Arial" w:eastAsia="Arial" w:hAnsi="Arial"/>
          <w:sz w:val="17"/>
          <w:szCs w:val="17"/>
          <w:color w:val="003551"/>
        </w:rPr>
        <w:t>Daniel Roberts: $134,615,625</w:t>
      </w:r>
    </w:p>
    <w:p>
      <w:pPr>
        <w:spacing w:after="0" w:line="145" w:lineRule="exact"/>
        <w:rPr>
          <w:rFonts w:ascii="Arial" w:cs="Arial" w:eastAsia="Arial" w:hAnsi="Arial"/>
          <w:sz w:val="17"/>
          <w:szCs w:val="17"/>
          <w:color w:val="003551"/>
        </w:rPr>
      </w:pPr>
    </w:p>
    <w:p>
      <w:pPr>
        <w:ind w:left="1280" w:hanging="337"/>
        <w:spacing w:after="0"/>
        <w:tabs>
          <w:tab w:leader="none" w:pos="1280" w:val="left"/>
        </w:tabs>
        <w:numPr>
          <w:ilvl w:val="0"/>
          <w:numId w:val="41"/>
        </w:numPr>
        <w:rPr>
          <w:rFonts w:ascii="Arial" w:cs="Arial" w:eastAsia="Arial" w:hAnsi="Arial"/>
          <w:sz w:val="17"/>
          <w:szCs w:val="17"/>
          <w:color w:val="003551"/>
        </w:rPr>
      </w:pPr>
      <w:r>
        <w:rPr>
          <w:rFonts w:ascii="Arial" w:cs="Arial" w:eastAsia="Arial" w:hAnsi="Arial"/>
          <w:sz w:val="17"/>
          <w:szCs w:val="17"/>
          <w:color w:val="003551"/>
        </w:rPr>
        <w:t>Belinda Nucifora: $4,851,169</w:t>
      </w:r>
    </w:p>
    <w:p>
      <w:pPr>
        <w:spacing w:after="0" w:line="253"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Belinda Nucifora Termination</w:t>
      </w:r>
    </w:p>
    <w:p>
      <w:pPr>
        <w:spacing w:after="0" w:line="15" w:lineRule="exact"/>
        <w:rPr>
          <w:sz w:val="20"/>
          <w:szCs w:val="20"/>
          <w:color w:val="auto"/>
        </w:rPr>
      </w:pPr>
    </w:p>
    <w:p>
      <w:pPr>
        <w:ind w:left="940" w:right="780"/>
        <w:spacing w:after="0" w:line="245" w:lineRule="auto"/>
        <w:rPr>
          <w:sz w:val="20"/>
          <w:szCs w:val="20"/>
          <w:color w:val="auto"/>
        </w:rPr>
      </w:pPr>
      <w:r>
        <w:rPr>
          <w:rFonts w:ascii="Arial" w:cs="Arial" w:eastAsia="Arial" w:hAnsi="Arial"/>
          <w:sz w:val="17"/>
          <w:szCs w:val="17"/>
          <w:color w:val="003551"/>
        </w:rPr>
        <w:t>Ms. Nucifora’s employment with IREN terminated effective September 8, 2025. In connection with her termination, Ms. Nucifora entered into a deed of release, dated September 7, 2025, which sets forth the terms of Ms. Nucifora’s separation from IREN. Pursuant to the terms of the deed of release, Ms. Nucifora agreed to a release of claims against IREN and its affiliates and to comply with certain confidentiality, non-solicitation and non-disparagement covenants. Ms. Nucifora will receive payments and benefits in accordance with her existing contractual entitlements, consistent with terms previously disclosed by IREN described above.</w:t>
      </w:r>
    </w:p>
    <w:p>
      <w:pPr>
        <w:spacing w:after="0" w:line="19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Pay Ratio Disclosure</w:t>
      </w:r>
    </w:p>
    <w:p>
      <w:pPr>
        <w:spacing w:after="0" w:line="41" w:lineRule="exact"/>
        <w:rPr>
          <w:sz w:val="20"/>
          <w:szCs w:val="20"/>
          <w:color w:val="auto"/>
        </w:rPr>
      </w:pPr>
    </w:p>
    <w:p>
      <w:pPr>
        <w:ind w:left="940" w:right="780"/>
        <w:spacing w:after="0" w:line="246" w:lineRule="auto"/>
        <w:rPr>
          <w:sz w:val="20"/>
          <w:szCs w:val="20"/>
          <w:color w:val="auto"/>
        </w:rPr>
      </w:pPr>
      <w:r>
        <w:rPr>
          <w:rFonts w:ascii="Arial" w:cs="Arial" w:eastAsia="Arial" w:hAnsi="Arial"/>
          <w:sz w:val="17"/>
          <w:szCs w:val="17"/>
          <w:color w:val="003551"/>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our Co-Chief Executive Officers. The pay ratio included in this information is a reasonable estimate calculated in a manner consistent with Item 402(u) of Regulation S-K.</w:t>
      </w:r>
    </w:p>
    <w:p>
      <w:pPr>
        <w:spacing w:after="0" w:line="69" w:lineRule="exact"/>
        <w:rPr>
          <w:sz w:val="20"/>
          <w:szCs w:val="20"/>
          <w:color w:val="auto"/>
        </w:rPr>
      </w:pPr>
    </w:p>
    <w:p>
      <w:pPr>
        <w:ind w:left="940" w:right="760"/>
        <w:spacing w:after="0" w:line="251" w:lineRule="auto"/>
        <w:rPr>
          <w:sz w:val="20"/>
          <w:szCs w:val="20"/>
          <w:color w:val="auto"/>
        </w:rPr>
      </w:pPr>
      <w:r>
        <w:rPr>
          <w:rFonts w:ascii="Arial" w:cs="Arial" w:eastAsia="Arial" w:hAnsi="Arial"/>
          <w:sz w:val="17"/>
          <w:szCs w:val="17"/>
          <w:color w:val="003551"/>
        </w:rPr>
        <w:t>For Fiscal 2025, the median of the annual total compensation of all employees of our company (other than our Co-Chief Executive Officers), was $73,186 and the annual total compensation of each individual Co-Chief Executive Officer, as reported in the Summary Compensation Table, was $72,647,744. Based on this information, the ratio of the annual total compensation to each of our Co-Chief Executive Officers, to the median of the annual total compensation of all employees was 993 to 1.</w:t>
      </w:r>
    </w:p>
    <w:p>
      <w:pPr>
        <w:spacing w:after="0" w:line="225"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Methodology for Identifying our “Median Employee”</w:t>
      </w:r>
    </w:p>
    <w:p>
      <w:pPr>
        <w:spacing w:after="0" w:line="15" w:lineRule="exact"/>
        <w:rPr>
          <w:sz w:val="20"/>
          <w:szCs w:val="20"/>
          <w:color w:val="auto"/>
        </w:rPr>
      </w:pPr>
    </w:p>
    <w:p>
      <w:pPr>
        <w:ind w:left="940" w:right="900"/>
        <w:spacing w:after="0" w:line="252" w:lineRule="auto"/>
        <w:rPr>
          <w:sz w:val="20"/>
          <w:szCs w:val="20"/>
          <w:color w:val="auto"/>
        </w:rPr>
      </w:pPr>
      <w:r>
        <w:rPr>
          <w:rFonts w:ascii="Arial" w:cs="Arial" w:eastAsia="Arial" w:hAnsi="Arial"/>
          <w:sz w:val="17"/>
          <w:szCs w:val="17"/>
          <w:color w:val="003551"/>
        </w:rPr>
        <w:t>To identify the median of the annual total compensation of all our employees, as well as to determine the annual total compensation of the “median employee,” the methodology and the material assumptions, adjustments, and estimates that we used were as follows:</w:t>
      </w:r>
    </w:p>
    <w:p>
      <w:pPr>
        <w:spacing w:after="0" w:line="89" w:lineRule="exact"/>
        <w:rPr>
          <w:sz w:val="20"/>
          <w:szCs w:val="20"/>
          <w:color w:val="auto"/>
        </w:rPr>
      </w:pPr>
    </w:p>
    <w:p>
      <w:pPr>
        <w:ind w:left="1280" w:hanging="337"/>
        <w:spacing w:after="0"/>
        <w:tabs>
          <w:tab w:leader="none" w:pos="1280" w:val="left"/>
        </w:tabs>
        <w:numPr>
          <w:ilvl w:val="0"/>
          <w:numId w:val="42"/>
        </w:numPr>
        <w:rPr>
          <w:rFonts w:ascii="Arial" w:cs="Arial" w:eastAsia="Arial" w:hAnsi="Arial"/>
          <w:sz w:val="17"/>
          <w:szCs w:val="17"/>
          <w:color w:val="003551"/>
        </w:rPr>
      </w:pPr>
      <w:r>
        <w:rPr>
          <w:rFonts w:ascii="Arial" w:cs="Arial" w:eastAsia="Arial" w:hAnsi="Arial"/>
          <w:sz w:val="17"/>
          <w:szCs w:val="17"/>
          <w:color w:val="003551"/>
        </w:rPr>
        <w:t>We determined that, as of June 30, 2025, our employee population consisted of approximately</w:t>
      </w:r>
    </w:p>
    <w:p>
      <w:pPr>
        <w:spacing w:after="0" w:line="17" w:lineRule="exact"/>
        <w:rPr>
          <w:rFonts w:ascii="Arial" w:cs="Arial" w:eastAsia="Arial" w:hAnsi="Arial"/>
          <w:sz w:val="17"/>
          <w:szCs w:val="17"/>
          <w:color w:val="003551"/>
        </w:rPr>
      </w:pPr>
    </w:p>
    <w:p>
      <w:pPr>
        <w:ind w:left="1280" w:right="1200"/>
        <w:spacing w:after="0" w:line="252" w:lineRule="auto"/>
        <w:rPr>
          <w:rFonts w:ascii="Arial" w:cs="Arial" w:eastAsia="Arial" w:hAnsi="Arial"/>
          <w:sz w:val="17"/>
          <w:szCs w:val="17"/>
          <w:color w:val="003551"/>
        </w:rPr>
      </w:pPr>
      <w:r>
        <w:rPr>
          <w:rFonts w:ascii="Arial" w:cs="Arial" w:eastAsia="Arial" w:hAnsi="Arial"/>
          <w:sz w:val="17"/>
          <w:szCs w:val="17"/>
          <w:color w:val="003551"/>
        </w:rPr>
        <w:t>257 individuals working at our parent company and consolidated subsidiaries, with 19% of these individuals located in Australia, 40% of these individuals located in Canada and 41% of these individuals located in the United States.</w:t>
      </w:r>
    </w:p>
    <w:p>
      <w:pPr>
        <w:spacing w:after="0" w:line="101" w:lineRule="exact"/>
        <w:rPr>
          <w:rFonts w:ascii="Arial" w:cs="Arial" w:eastAsia="Arial" w:hAnsi="Arial"/>
          <w:sz w:val="17"/>
          <w:szCs w:val="17"/>
          <w:color w:val="003551"/>
        </w:rPr>
      </w:pPr>
    </w:p>
    <w:p>
      <w:pPr>
        <w:ind w:left="1280" w:right="960" w:hanging="337"/>
        <w:spacing w:after="0" w:line="283" w:lineRule="auto"/>
        <w:tabs>
          <w:tab w:leader="none" w:pos="1280" w:val="left"/>
        </w:tabs>
        <w:numPr>
          <w:ilvl w:val="0"/>
          <w:numId w:val="42"/>
        </w:numPr>
        <w:rPr>
          <w:rFonts w:ascii="Arial" w:cs="Arial" w:eastAsia="Arial" w:hAnsi="Arial"/>
          <w:sz w:val="17"/>
          <w:szCs w:val="17"/>
          <w:color w:val="003551"/>
        </w:rPr>
      </w:pPr>
      <w:r>
        <w:rPr>
          <w:rFonts w:ascii="Arial" w:cs="Arial" w:eastAsia="Arial" w:hAnsi="Arial"/>
          <w:sz w:val="17"/>
          <w:szCs w:val="17"/>
          <w:color w:val="003551"/>
        </w:rPr>
        <w:t>Of these employees, approximately 255 individuals are full-time (or full-time equivalent) employees, with the remainder employed on a part-time (less than 25 hours per week) basis.</w:t>
      </w:r>
    </w:p>
    <w:p>
      <w:pPr>
        <w:spacing w:after="0" w:line="37" w:lineRule="exact"/>
        <w:rPr>
          <w:sz w:val="20"/>
          <w:szCs w:val="20"/>
          <w:color w:val="auto"/>
        </w:rPr>
      </w:pPr>
    </w:p>
    <w:p>
      <w:pPr>
        <w:ind w:left="940" w:right="780"/>
        <w:spacing w:after="0" w:line="249" w:lineRule="auto"/>
        <w:rPr>
          <w:sz w:val="20"/>
          <w:szCs w:val="20"/>
          <w:color w:val="auto"/>
        </w:rPr>
      </w:pPr>
      <w:r>
        <w:rPr>
          <w:rFonts w:ascii="Arial" w:cs="Arial" w:eastAsia="Arial" w:hAnsi="Arial"/>
          <w:sz w:val="17"/>
          <w:szCs w:val="17"/>
          <w:color w:val="003551"/>
        </w:rPr>
        <w:t>For purposes of measuring the compensation of the employees in our sample we selected annual salaries and base wages for our full-time employees as the most appropriate measure of compensation. We identified our “median employee” using this compensation measure, which was consistently applied to all our employees included in the calculation. Using this methodology, we determined that the “median employee” was an operations manager working in British Columbia, Canada with base wages paid for the 12-month period ended June 30, 2025 in the amount of $73,186.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119380</wp:posOffset>
            </wp:positionV>
            <wp:extent cx="540385" cy="6318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228600</wp:posOffset>
            </wp:positionV>
            <wp:extent cx="6786880" cy="165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6" w:right="12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Director Compensation</w:t>
      </w:r>
    </w:p>
    <w:p>
      <w:pPr>
        <w:spacing w:after="0" w:line="41"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During Fiscal 2025, pursuant to our non-employee director compensation program, each non-employee</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director received a $60,000 annual cash retainer, and the Chair received an additional cash retainer of</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$60,000. The chair of the Audit and Risk Committee also received an additional cash retainer of $20,000.</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In addition, during Fiscal 2025, each non-employee director received an award of director restricted stock</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units (“</w:t>
      </w:r>
      <w:r>
        <w:rPr>
          <w:rFonts w:ascii="Arial" w:cs="Arial" w:eastAsia="Arial" w:hAnsi="Arial"/>
          <w:sz w:val="17"/>
          <w:szCs w:val="17"/>
          <w:b w:val="1"/>
          <w:bCs w:val="1"/>
          <w:color w:val="003551"/>
        </w:rPr>
        <w:t>DRSUs</w:t>
      </w:r>
      <w:r>
        <w:rPr>
          <w:rFonts w:ascii="Arial" w:cs="Arial" w:eastAsia="Arial" w:hAnsi="Arial"/>
          <w:sz w:val="17"/>
          <w:szCs w:val="17"/>
          <w:color w:val="003551"/>
        </w:rPr>
        <w:t>”) with a grant date value of $135,006 for each non-employee director other than the Chair</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and $202,509 for the Chair.</w:t>
      </w:r>
    </w:p>
    <w:p>
      <w:pPr>
        <w:spacing w:after="0" w:line="90" w:lineRule="exact"/>
        <w:rPr>
          <w:sz w:val="20"/>
          <w:szCs w:val="20"/>
          <w:color w:val="auto"/>
        </w:rPr>
      </w:pPr>
    </w:p>
    <w:p>
      <w:pPr>
        <w:ind w:left="940" w:right="1340"/>
        <w:spacing w:after="0" w:line="283" w:lineRule="auto"/>
        <w:rPr>
          <w:sz w:val="20"/>
          <w:szCs w:val="20"/>
          <w:color w:val="auto"/>
        </w:rPr>
      </w:pPr>
      <w:r>
        <w:rPr>
          <w:rFonts w:ascii="Arial" w:cs="Arial" w:eastAsia="Arial" w:hAnsi="Arial"/>
          <w:sz w:val="17"/>
          <w:szCs w:val="17"/>
          <w:color w:val="003551"/>
        </w:rPr>
        <w:t>The following table sets forth information concerning the compensation earned by each of our non-employee directors during Fiscal 2025.</w:t>
      </w:r>
    </w:p>
    <w:p>
      <w:pPr>
        <w:spacing w:after="0" w:line="93" w:lineRule="exact"/>
        <w:rPr>
          <w:sz w:val="20"/>
          <w:szCs w:val="20"/>
          <w:color w:val="auto"/>
        </w:rPr>
      </w:pPr>
    </w:p>
    <w:tbl>
      <w:tblPr>
        <w:tblLayout w:type="fixed"/>
        <w:tblInd w:w="940" w:type="dxa"/>
        <w:tblCellMar>
          <w:top w:w="0" w:type="dxa"/>
          <w:left w:w="0" w:type="dxa"/>
          <w:bottom w:w="0" w:type="dxa"/>
          <w:right w:w="0" w:type="dxa"/>
        </w:tblCellMar>
      </w:tblPr>
      <w:tr>
        <w:trPr>
          <w:trHeight w:val="354"/>
        </w:trPr>
        <w:tc>
          <w:tcPr>
            <w:tcW w:w="100" w:type="dxa"/>
            <w:vAlign w:val="bottom"/>
            <w:shd w:val="clear" w:color="auto" w:fill="77C483"/>
          </w:tcPr>
          <w:p>
            <w:pPr>
              <w:spacing w:after="0"/>
              <w:rPr>
                <w:sz w:val="24"/>
                <w:szCs w:val="24"/>
                <w:color w:val="auto"/>
              </w:rPr>
            </w:pPr>
          </w:p>
        </w:tc>
        <w:tc>
          <w:tcPr>
            <w:tcW w:w="720" w:type="dxa"/>
            <w:vAlign w:val="bottom"/>
            <w:shd w:val="clear" w:color="auto" w:fill="77C483"/>
          </w:tcPr>
          <w:p>
            <w:pPr>
              <w:spacing w:after="0"/>
              <w:rPr>
                <w:sz w:val="24"/>
                <w:szCs w:val="24"/>
                <w:color w:val="auto"/>
              </w:rPr>
            </w:pPr>
          </w:p>
        </w:tc>
        <w:tc>
          <w:tcPr>
            <w:tcW w:w="1540" w:type="dxa"/>
            <w:vAlign w:val="bottom"/>
            <w:shd w:val="clear" w:color="auto" w:fill="77C483"/>
          </w:tcPr>
          <w:p>
            <w:pPr>
              <w:spacing w:after="0"/>
              <w:rPr>
                <w:sz w:val="24"/>
                <w:szCs w:val="24"/>
                <w:color w:val="auto"/>
              </w:rPr>
            </w:pPr>
          </w:p>
        </w:tc>
        <w:tc>
          <w:tcPr>
            <w:tcW w:w="2160" w:type="dxa"/>
            <w:vAlign w:val="bottom"/>
            <w:shd w:val="clear" w:color="auto" w:fill="77C483"/>
          </w:tcPr>
          <w:p>
            <w:pPr>
              <w:ind w:left="340"/>
              <w:spacing w:after="0"/>
              <w:rPr>
                <w:sz w:val="20"/>
                <w:szCs w:val="20"/>
                <w:color w:val="auto"/>
              </w:rPr>
            </w:pPr>
            <w:r>
              <w:rPr>
                <w:rFonts w:ascii="Arial" w:cs="Arial" w:eastAsia="Arial" w:hAnsi="Arial"/>
                <w:sz w:val="17"/>
                <w:szCs w:val="17"/>
                <w:b w:val="1"/>
                <w:bCs w:val="1"/>
                <w:color w:val="003551"/>
              </w:rPr>
              <w:t>Fees Earned or Paid</w:t>
            </w:r>
          </w:p>
        </w:tc>
        <w:tc>
          <w:tcPr>
            <w:tcW w:w="80" w:type="dxa"/>
            <w:vAlign w:val="bottom"/>
            <w:shd w:val="clear" w:color="auto" w:fill="77C483"/>
          </w:tcPr>
          <w:p>
            <w:pPr>
              <w:spacing w:after="0"/>
              <w:rPr>
                <w:sz w:val="24"/>
                <w:szCs w:val="24"/>
                <w:color w:val="auto"/>
              </w:rPr>
            </w:pPr>
          </w:p>
        </w:tc>
        <w:tc>
          <w:tcPr>
            <w:tcW w:w="1180" w:type="dxa"/>
            <w:vAlign w:val="bottom"/>
            <w:shd w:val="clear" w:color="auto" w:fill="77C483"/>
          </w:tcPr>
          <w:p>
            <w:pPr>
              <w:ind w:left="60"/>
              <w:spacing w:after="0"/>
              <w:rPr>
                <w:sz w:val="20"/>
                <w:szCs w:val="20"/>
                <w:color w:val="auto"/>
              </w:rPr>
            </w:pPr>
            <w:r>
              <w:rPr>
                <w:rFonts w:ascii="Arial" w:cs="Arial" w:eastAsia="Arial" w:hAnsi="Arial"/>
                <w:sz w:val="17"/>
                <w:szCs w:val="17"/>
                <w:b w:val="1"/>
                <w:bCs w:val="1"/>
                <w:color w:val="003551"/>
              </w:rPr>
              <w:t>Stock</w:t>
            </w:r>
          </w:p>
        </w:tc>
        <w:tc>
          <w:tcPr>
            <w:tcW w:w="1460" w:type="dxa"/>
            <w:vAlign w:val="bottom"/>
            <w:shd w:val="clear" w:color="auto" w:fill="77C483"/>
          </w:tcPr>
          <w:p>
            <w:pPr>
              <w:ind w:left="120"/>
              <w:spacing w:after="0"/>
              <w:rPr>
                <w:sz w:val="20"/>
                <w:szCs w:val="20"/>
                <w:color w:val="auto"/>
              </w:rPr>
            </w:pPr>
            <w:r>
              <w:rPr>
                <w:rFonts w:ascii="Arial" w:cs="Arial" w:eastAsia="Arial" w:hAnsi="Arial"/>
                <w:sz w:val="17"/>
                <w:szCs w:val="17"/>
                <w:b w:val="1"/>
                <w:bCs w:val="1"/>
                <w:color w:val="003551"/>
              </w:rPr>
              <w:t>All Other</w:t>
            </w:r>
          </w:p>
        </w:tc>
        <w:tc>
          <w:tcPr>
            <w:tcW w:w="1000" w:type="dxa"/>
            <w:vAlign w:val="bottom"/>
            <w:shd w:val="clear" w:color="auto" w:fill="77C483"/>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00" w:type="dxa"/>
            <w:vAlign w:val="bottom"/>
            <w:tcBorders>
              <w:bottom w:val="single" w:sz="8" w:color="003551"/>
            </w:tcBorders>
            <w:shd w:val="clear" w:color="auto" w:fill="77C483"/>
          </w:tcPr>
          <w:p>
            <w:pPr>
              <w:spacing w:after="0"/>
              <w:rPr>
                <w:sz w:val="24"/>
                <w:szCs w:val="24"/>
                <w:color w:val="auto"/>
              </w:rPr>
            </w:pPr>
          </w:p>
        </w:tc>
        <w:tc>
          <w:tcPr>
            <w:tcW w:w="720" w:type="dxa"/>
            <w:vAlign w:val="bottom"/>
            <w:tcBorders>
              <w:bottom w:val="single" w:sz="8" w:color="003551"/>
            </w:tcBorders>
            <w:shd w:val="clear" w:color="auto" w:fill="77C483"/>
          </w:tcPr>
          <w:p>
            <w:pPr>
              <w:ind w:left="40"/>
              <w:spacing w:after="0"/>
              <w:rPr>
                <w:sz w:val="20"/>
                <w:szCs w:val="20"/>
                <w:color w:val="auto"/>
              </w:rPr>
            </w:pPr>
            <w:r>
              <w:rPr>
                <w:rFonts w:ascii="Arial" w:cs="Arial" w:eastAsia="Arial" w:hAnsi="Arial"/>
                <w:sz w:val="17"/>
                <w:szCs w:val="17"/>
                <w:b w:val="1"/>
                <w:bCs w:val="1"/>
                <w:color w:val="003551"/>
              </w:rPr>
              <w:t>Name</w:t>
            </w:r>
          </w:p>
        </w:tc>
        <w:tc>
          <w:tcPr>
            <w:tcW w:w="1540" w:type="dxa"/>
            <w:vAlign w:val="bottom"/>
            <w:tcBorders>
              <w:bottom w:val="single" w:sz="8" w:color="003551"/>
            </w:tcBorders>
            <w:shd w:val="clear" w:color="auto" w:fill="77C483"/>
          </w:tcPr>
          <w:p>
            <w:pPr>
              <w:spacing w:after="0"/>
              <w:rPr>
                <w:sz w:val="24"/>
                <w:szCs w:val="24"/>
                <w:color w:val="auto"/>
              </w:rPr>
            </w:pPr>
          </w:p>
        </w:tc>
        <w:tc>
          <w:tcPr>
            <w:tcW w:w="2160" w:type="dxa"/>
            <w:vAlign w:val="bottom"/>
            <w:tcBorders>
              <w:bottom w:val="single" w:sz="8" w:color="003551"/>
            </w:tcBorders>
            <w:shd w:val="clear" w:color="auto" w:fill="77C483"/>
          </w:tcPr>
          <w:p>
            <w:pPr>
              <w:ind w:left="340"/>
              <w:spacing w:after="0"/>
              <w:rPr>
                <w:sz w:val="20"/>
                <w:szCs w:val="20"/>
                <w:color w:val="auto"/>
              </w:rPr>
            </w:pPr>
            <w:r>
              <w:rPr>
                <w:rFonts w:ascii="Arial" w:cs="Arial" w:eastAsia="Arial" w:hAnsi="Arial"/>
                <w:sz w:val="17"/>
                <w:szCs w:val="17"/>
                <w:b w:val="1"/>
                <w:bCs w:val="1"/>
                <w:color w:val="003551"/>
              </w:rPr>
              <w:t>in Cash</w:t>
            </w:r>
          </w:p>
        </w:tc>
        <w:tc>
          <w:tcPr>
            <w:tcW w:w="80" w:type="dxa"/>
            <w:vAlign w:val="bottom"/>
            <w:tcBorders>
              <w:bottom w:val="single" w:sz="8" w:color="003551"/>
            </w:tcBorders>
            <w:shd w:val="clear" w:color="auto" w:fill="77C483"/>
          </w:tcPr>
          <w:p>
            <w:pPr>
              <w:spacing w:after="0"/>
              <w:rPr>
                <w:sz w:val="24"/>
                <w:szCs w:val="24"/>
                <w:color w:val="auto"/>
              </w:rPr>
            </w:pPr>
          </w:p>
        </w:tc>
        <w:tc>
          <w:tcPr>
            <w:tcW w:w="1180" w:type="dxa"/>
            <w:vAlign w:val="bottom"/>
            <w:tcBorders>
              <w:bottom w:val="single" w:sz="8" w:color="003551"/>
            </w:tcBorders>
            <w:shd w:val="clear" w:color="auto" w:fill="77C483"/>
          </w:tcPr>
          <w:p>
            <w:pPr>
              <w:ind w:left="60"/>
              <w:spacing w:after="0"/>
              <w:rPr>
                <w:sz w:val="20"/>
                <w:szCs w:val="20"/>
                <w:color w:val="auto"/>
              </w:rPr>
            </w:pPr>
            <w:r>
              <w:rPr>
                <w:rFonts w:ascii="Arial" w:cs="Arial" w:eastAsia="Arial" w:hAnsi="Arial"/>
                <w:sz w:val="17"/>
                <w:szCs w:val="17"/>
                <w:b w:val="1"/>
                <w:bCs w:val="1"/>
                <w:color w:val="003551"/>
              </w:rPr>
              <w:t>Awards</w:t>
            </w:r>
            <w:r>
              <w:rPr>
                <w:rFonts w:ascii="Arial" w:cs="Arial" w:eastAsia="Arial" w:hAnsi="Arial"/>
                <w:sz w:val="29"/>
                <w:szCs w:val="29"/>
                <w:b w:val="1"/>
                <w:bCs w:val="1"/>
                <w:color w:val="003551"/>
                <w:vertAlign w:val="superscript"/>
              </w:rPr>
              <w:t>(1)(2)</w:t>
            </w:r>
          </w:p>
        </w:tc>
        <w:tc>
          <w:tcPr>
            <w:tcW w:w="1460" w:type="dxa"/>
            <w:vAlign w:val="bottom"/>
            <w:tcBorders>
              <w:bottom w:val="single" w:sz="8" w:color="003551"/>
            </w:tcBorders>
            <w:shd w:val="clear" w:color="auto" w:fill="77C483"/>
          </w:tcPr>
          <w:p>
            <w:pPr>
              <w:ind w:left="120"/>
              <w:spacing w:after="0"/>
              <w:rPr>
                <w:sz w:val="20"/>
                <w:szCs w:val="20"/>
                <w:color w:val="auto"/>
              </w:rPr>
            </w:pPr>
            <w:r>
              <w:rPr>
                <w:rFonts w:ascii="Arial" w:cs="Arial" w:eastAsia="Arial" w:hAnsi="Arial"/>
                <w:sz w:val="17"/>
                <w:szCs w:val="17"/>
                <w:b w:val="1"/>
                <w:bCs w:val="1"/>
                <w:color w:val="003551"/>
              </w:rPr>
              <w:t>Compensation</w:t>
            </w:r>
          </w:p>
        </w:tc>
        <w:tc>
          <w:tcPr>
            <w:tcW w:w="1000" w:type="dxa"/>
            <w:vAlign w:val="bottom"/>
            <w:tcBorders>
              <w:bottom w:val="single" w:sz="8" w:color="003551"/>
            </w:tcBorders>
            <w:shd w:val="clear" w:color="auto" w:fill="77C483"/>
          </w:tcPr>
          <w:p>
            <w:pPr>
              <w:ind w:left="120"/>
              <w:spacing w:after="0"/>
              <w:rPr>
                <w:sz w:val="20"/>
                <w:szCs w:val="20"/>
                <w:color w:val="auto"/>
              </w:rPr>
            </w:pPr>
            <w:r>
              <w:rPr>
                <w:rFonts w:ascii="Arial" w:cs="Arial" w:eastAsia="Arial" w:hAnsi="Arial"/>
                <w:sz w:val="17"/>
                <w:szCs w:val="17"/>
                <w:b w:val="1"/>
                <w:bCs w:val="1"/>
                <w:color w:val="003551"/>
              </w:rPr>
              <w:t>Total</w:t>
            </w:r>
          </w:p>
        </w:tc>
        <w:tc>
          <w:tcPr>
            <w:tcW w:w="0" w:type="dxa"/>
            <w:vAlign w:val="bottom"/>
          </w:tcPr>
          <w:p>
            <w:pPr>
              <w:spacing w:after="0"/>
              <w:rPr>
                <w:sz w:val="1"/>
                <w:szCs w:val="1"/>
                <w:color w:val="auto"/>
              </w:rPr>
            </w:pPr>
          </w:p>
        </w:tc>
      </w:tr>
      <w:tr>
        <w:trPr>
          <w:trHeight w:val="465"/>
        </w:trPr>
        <w:tc>
          <w:tcPr>
            <w:tcW w:w="100" w:type="dxa"/>
            <w:vAlign w:val="bottom"/>
          </w:tcPr>
          <w:p>
            <w:pPr>
              <w:spacing w:after="0"/>
              <w:rPr>
                <w:sz w:val="24"/>
                <w:szCs w:val="24"/>
                <w:color w:val="auto"/>
              </w:rPr>
            </w:pPr>
          </w:p>
        </w:tc>
        <w:tc>
          <w:tcPr>
            <w:tcW w:w="2260" w:type="dxa"/>
            <w:vAlign w:val="bottom"/>
            <w:gridSpan w:val="2"/>
          </w:tcPr>
          <w:p>
            <w:pPr>
              <w:ind w:left="40"/>
              <w:spacing w:after="0"/>
              <w:rPr>
                <w:sz w:val="20"/>
                <w:szCs w:val="20"/>
                <w:color w:val="auto"/>
              </w:rPr>
            </w:pPr>
            <w:r>
              <w:rPr>
                <w:rFonts w:ascii="Arial" w:cs="Arial" w:eastAsia="Arial" w:hAnsi="Arial"/>
                <w:sz w:val="17"/>
                <w:szCs w:val="17"/>
                <w:b w:val="1"/>
                <w:bCs w:val="1"/>
                <w:color w:val="003551"/>
              </w:rPr>
              <w:t>David Bartholomew</w:t>
            </w:r>
          </w:p>
        </w:tc>
        <w:tc>
          <w:tcPr>
            <w:tcW w:w="2160" w:type="dxa"/>
            <w:vAlign w:val="bottom"/>
          </w:tcPr>
          <w:p>
            <w:pPr>
              <w:ind w:left="340"/>
              <w:spacing w:after="0"/>
              <w:rPr>
                <w:sz w:val="20"/>
                <w:szCs w:val="20"/>
                <w:color w:val="auto"/>
              </w:rPr>
            </w:pPr>
            <w:r>
              <w:rPr>
                <w:rFonts w:ascii="Arial" w:cs="Arial" w:eastAsia="Arial" w:hAnsi="Arial"/>
                <w:sz w:val="17"/>
                <w:szCs w:val="17"/>
                <w:color w:val="003551"/>
              </w:rPr>
              <w:t>$112,780</w:t>
            </w:r>
          </w:p>
        </w:tc>
        <w:tc>
          <w:tcPr>
            <w:tcW w:w="80" w:type="dxa"/>
            <w:vAlign w:val="bottom"/>
            <w:tcBorders>
              <w:bottom w:val="single" w:sz="8" w:color="77C483"/>
            </w:tcBorders>
          </w:tcPr>
          <w:p>
            <w:pPr>
              <w:spacing w:after="0"/>
              <w:rPr>
                <w:sz w:val="24"/>
                <w:szCs w:val="24"/>
                <w:color w:val="auto"/>
              </w:rPr>
            </w:pPr>
          </w:p>
        </w:tc>
        <w:tc>
          <w:tcPr>
            <w:tcW w:w="1180" w:type="dxa"/>
            <w:vAlign w:val="bottom"/>
          </w:tcPr>
          <w:p>
            <w:pPr>
              <w:ind w:left="60"/>
              <w:spacing w:after="0"/>
              <w:rPr>
                <w:sz w:val="20"/>
                <w:szCs w:val="20"/>
                <w:color w:val="auto"/>
              </w:rPr>
            </w:pPr>
            <w:r>
              <w:rPr>
                <w:rFonts w:ascii="Arial" w:cs="Arial" w:eastAsia="Arial" w:hAnsi="Arial"/>
                <w:sz w:val="17"/>
                <w:szCs w:val="17"/>
                <w:color w:val="003551"/>
              </w:rPr>
              <w:t>$202,509</w:t>
            </w:r>
          </w:p>
        </w:tc>
        <w:tc>
          <w:tcPr>
            <w:tcW w:w="1460" w:type="dxa"/>
            <w:vAlign w:val="bottom"/>
          </w:tcPr>
          <w:p>
            <w:pPr>
              <w:ind w:left="120"/>
              <w:spacing w:after="0"/>
              <w:rPr>
                <w:sz w:val="20"/>
                <w:szCs w:val="20"/>
                <w:color w:val="auto"/>
              </w:rPr>
            </w:pPr>
            <w:r>
              <w:rPr>
                <w:rFonts w:ascii="Arial" w:cs="Arial" w:eastAsia="Arial" w:hAnsi="Arial"/>
                <w:sz w:val="17"/>
                <w:szCs w:val="17"/>
                <w:color w:val="003551"/>
              </w:rPr>
              <w:t>$7,220</w:t>
            </w:r>
            <w:r>
              <w:rPr>
                <w:rFonts w:ascii="Arial" w:cs="Arial" w:eastAsia="Arial" w:hAnsi="Arial"/>
                <w:sz w:val="29"/>
                <w:szCs w:val="29"/>
                <w:color w:val="003551"/>
                <w:vertAlign w:val="superscript"/>
              </w:rPr>
              <w:t>(3)</w:t>
            </w:r>
          </w:p>
        </w:tc>
        <w:tc>
          <w:tcPr>
            <w:tcW w:w="1000" w:type="dxa"/>
            <w:vAlign w:val="bottom"/>
          </w:tcPr>
          <w:p>
            <w:pPr>
              <w:ind w:left="120"/>
              <w:spacing w:after="0"/>
              <w:rPr>
                <w:sz w:val="20"/>
                <w:szCs w:val="20"/>
                <w:color w:val="auto"/>
              </w:rPr>
            </w:pPr>
            <w:r>
              <w:rPr>
                <w:rFonts w:ascii="Arial" w:cs="Arial" w:eastAsia="Arial" w:hAnsi="Arial"/>
                <w:sz w:val="17"/>
                <w:szCs w:val="17"/>
                <w:color w:val="003551"/>
              </w:rPr>
              <w:t>$322,509</w:t>
            </w:r>
          </w:p>
        </w:tc>
        <w:tc>
          <w:tcPr>
            <w:tcW w:w="0" w:type="dxa"/>
            <w:vAlign w:val="bottom"/>
          </w:tcPr>
          <w:p>
            <w:pPr>
              <w:spacing w:after="0"/>
              <w:rPr>
                <w:sz w:val="1"/>
                <w:szCs w:val="1"/>
                <w:color w:val="auto"/>
              </w:rPr>
            </w:pPr>
          </w:p>
        </w:tc>
      </w:tr>
      <w:tr>
        <w:trPr>
          <w:trHeight w:val="452"/>
        </w:trPr>
        <w:tc>
          <w:tcPr>
            <w:tcW w:w="10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7"/>
                <w:szCs w:val="17"/>
                <w:b w:val="1"/>
                <w:bCs w:val="1"/>
                <w:color w:val="003551"/>
              </w:rPr>
              <w:t>Michael</w:t>
            </w:r>
            <w:r>
              <w:rPr>
                <w:rFonts w:ascii="Arial" w:cs="Arial" w:eastAsia="Arial" w:hAnsi="Arial"/>
                <w:sz w:val="17"/>
                <w:szCs w:val="17"/>
                <w:color w:val="003551"/>
              </w:rPr>
              <w:t>​</w:t>
            </w:r>
          </w:p>
        </w:tc>
        <w:tc>
          <w:tcPr>
            <w:tcW w:w="1540" w:type="dxa"/>
            <w:vAlign w:val="bottom"/>
          </w:tcPr>
          <w:p>
            <w:pPr>
              <w:ind w:left="20"/>
              <w:spacing w:after="0"/>
              <w:rPr>
                <w:sz w:val="20"/>
                <w:szCs w:val="20"/>
                <w:color w:val="auto"/>
              </w:rPr>
            </w:pPr>
            <w:r>
              <w:rPr>
                <w:rFonts w:ascii="Arial" w:cs="Arial" w:eastAsia="Arial" w:hAnsi="Arial"/>
                <w:sz w:val="17"/>
                <w:szCs w:val="17"/>
                <w:b w:val="1"/>
                <w:bCs w:val="1"/>
                <w:color w:val="003551"/>
              </w:rPr>
              <w:t>Alfred</w:t>
            </w:r>
          </w:p>
        </w:tc>
        <w:tc>
          <w:tcPr>
            <w:tcW w:w="2160" w:type="dxa"/>
            <w:vAlign w:val="bottom"/>
          </w:tcPr>
          <w:p>
            <w:pPr>
              <w:ind w:left="340"/>
              <w:spacing w:after="0"/>
              <w:rPr>
                <w:sz w:val="20"/>
                <w:szCs w:val="20"/>
                <w:color w:val="auto"/>
              </w:rPr>
            </w:pPr>
            <w:r>
              <w:rPr>
                <w:rFonts w:ascii="Arial" w:cs="Arial" w:eastAsia="Arial" w:hAnsi="Arial"/>
                <w:sz w:val="17"/>
                <w:szCs w:val="17"/>
                <w:color w:val="003551"/>
              </w:rPr>
              <w:t>$110,000</w:t>
            </w:r>
            <w:r>
              <w:rPr>
                <w:rFonts w:ascii="Arial" w:cs="Arial" w:eastAsia="Arial" w:hAnsi="Arial"/>
                <w:sz w:val="29"/>
                <w:szCs w:val="29"/>
                <w:color w:val="003551"/>
                <w:vertAlign w:val="superscript"/>
              </w:rPr>
              <w:t>(4)</w:t>
            </w:r>
          </w:p>
        </w:tc>
        <w:tc>
          <w:tcPr>
            <w:tcW w:w="80" w:type="dxa"/>
            <w:vAlign w:val="bottom"/>
            <w:tcBorders>
              <w:bottom w:val="single" w:sz="8" w:color="77C483"/>
            </w:tcBorders>
          </w:tcPr>
          <w:p>
            <w:pPr>
              <w:spacing w:after="0"/>
              <w:rPr>
                <w:sz w:val="24"/>
                <w:szCs w:val="24"/>
                <w:color w:val="auto"/>
              </w:rPr>
            </w:pPr>
          </w:p>
        </w:tc>
        <w:tc>
          <w:tcPr>
            <w:tcW w:w="1180" w:type="dxa"/>
            <w:vAlign w:val="bottom"/>
          </w:tcPr>
          <w:p>
            <w:pPr>
              <w:ind w:left="60"/>
              <w:spacing w:after="0"/>
              <w:rPr>
                <w:sz w:val="20"/>
                <w:szCs w:val="20"/>
                <w:color w:val="auto"/>
              </w:rPr>
            </w:pPr>
            <w:r>
              <w:rPr>
                <w:rFonts w:ascii="Arial" w:cs="Arial" w:eastAsia="Arial" w:hAnsi="Arial"/>
                <w:sz w:val="17"/>
                <w:szCs w:val="17"/>
                <w:color w:val="003551"/>
              </w:rPr>
              <w:t>$135,006</w:t>
            </w:r>
          </w:p>
        </w:tc>
        <w:tc>
          <w:tcPr>
            <w:tcW w:w="1460" w:type="dxa"/>
            <w:vAlign w:val="bottom"/>
          </w:tcPr>
          <w:p>
            <w:pPr>
              <w:ind w:left="120"/>
              <w:spacing w:after="0"/>
              <w:rPr>
                <w:sz w:val="20"/>
                <w:szCs w:val="20"/>
                <w:color w:val="auto"/>
              </w:rPr>
            </w:pPr>
            <w:r>
              <w:rPr>
                <w:rFonts w:ascii="Arial" w:cs="Arial" w:eastAsia="Arial" w:hAnsi="Arial"/>
                <w:sz w:val="17"/>
                <w:szCs w:val="17"/>
                <w:color w:val="003551"/>
              </w:rPr>
              <w:t>-</w:t>
            </w:r>
          </w:p>
        </w:tc>
        <w:tc>
          <w:tcPr>
            <w:tcW w:w="1000" w:type="dxa"/>
            <w:vAlign w:val="bottom"/>
          </w:tcPr>
          <w:p>
            <w:pPr>
              <w:ind w:left="120"/>
              <w:spacing w:after="0"/>
              <w:rPr>
                <w:sz w:val="20"/>
                <w:szCs w:val="20"/>
                <w:color w:val="auto"/>
              </w:rPr>
            </w:pPr>
            <w:r>
              <w:rPr>
                <w:rFonts w:ascii="Arial" w:cs="Arial" w:eastAsia="Arial" w:hAnsi="Arial"/>
                <w:sz w:val="17"/>
                <w:szCs w:val="17"/>
                <w:color w:val="003551"/>
              </w:rPr>
              <w:t>$245,006</w:t>
            </w:r>
          </w:p>
        </w:tc>
        <w:tc>
          <w:tcPr>
            <w:tcW w:w="0" w:type="dxa"/>
            <w:vAlign w:val="bottom"/>
          </w:tcPr>
          <w:p>
            <w:pPr>
              <w:spacing w:after="0"/>
              <w:rPr>
                <w:sz w:val="1"/>
                <w:szCs w:val="1"/>
                <w:color w:val="auto"/>
              </w:rPr>
            </w:pPr>
          </w:p>
        </w:tc>
      </w:tr>
      <w:tr>
        <w:trPr>
          <w:trHeight w:val="319"/>
        </w:trPr>
        <w:tc>
          <w:tcPr>
            <w:tcW w:w="100" w:type="dxa"/>
            <w:vAlign w:val="bottom"/>
          </w:tcPr>
          <w:p>
            <w:pPr>
              <w:spacing w:after="0"/>
              <w:rPr>
                <w:sz w:val="24"/>
                <w:szCs w:val="24"/>
                <w:color w:val="auto"/>
              </w:rPr>
            </w:pPr>
          </w:p>
        </w:tc>
        <w:tc>
          <w:tcPr>
            <w:tcW w:w="2260" w:type="dxa"/>
            <w:vAlign w:val="bottom"/>
            <w:gridSpan w:val="2"/>
          </w:tcPr>
          <w:p>
            <w:pPr>
              <w:ind w:left="40"/>
              <w:spacing w:after="0"/>
              <w:rPr>
                <w:sz w:val="20"/>
                <w:szCs w:val="20"/>
                <w:color w:val="auto"/>
              </w:rPr>
            </w:pPr>
            <w:r>
              <w:rPr>
                <w:rFonts w:ascii="Arial" w:cs="Arial" w:eastAsia="Arial" w:hAnsi="Arial"/>
                <w:sz w:val="17"/>
                <w:szCs w:val="17"/>
                <w:b w:val="1"/>
                <w:bCs w:val="1"/>
                <w:color w:val="003551"/>
              </w:rPr>
              <w:t>Christopher Guzowski</w:t>
            </w:r>
          </w:p>
        </w:tc>
        <w:tc>
          <w:tcPr>
            <w:tcW w:w="2160" w:type="dxa"/>
            <w:vAlign w:val="bottom"/>
          </w:tcPr>
          <w:p>
            <w:pPr>
              <w:ind w:left="340"/>
              <w:spacing w:after="0"/>
              <w:rPr>
                <w:sz w:val="20"/>
                <w:szCs w:val="20"/>
                <w:color w:val="auto"/>
              </w:rPr>
            </w:pPr>
            <w:r>
              <w:rPr>
                <w:rFonts w:ascii="Arial" w:cs="Arial" w:eastAsia="Arial" w:hAnsi="Arial"/>
                <w:sz w:val="17"/>
                <w:szCs w:val="17"/>
                <w:color w:val="003551"/>
              </w:rPr>
              <w:t>$60,000</w:t>
            </w:r>
          </w:p>
        </w:tc>
        <w:tc>
          <w:tcPr>
            <w:tcW w:w="1260" w:type="dxa"/>
            <w:vAlign w:val="bottom"/>
            <w:gridSpan w:val="2"/>
          </w:tcPr>
          <w:p>
            <w:pPr>
              <w:ind w:left="140"/>
              <w:spacing w:after="0"/>
              <w:rPr>
                <w:sz w:val="20"/>
                <w:szCs w:val="20"/>
                <w:color w:val="auto"/>
              </w:rPr>
            </w:pPr>
            <w:r>
              <w:rPr>
                <w:rFonts w:ascii="Arial" w:cs="Arial" w:eastAsia="Arial" w:hAnsi="Arial"/>
                <w:sz w:val="17"/>
                <w:szCs w:val="17"/>
                <w:color w:val="003551"/>
              </w:rPr>
              <w:t>$135,006</w:t>
            </w:r>
          </w:p>
        </w:tc>
        <w:tc>
          <w:tcPr>
            <w:tcW w:w="1460" w:type="dxa"/>
            <w:vAlign w:val="bottom"/>
          </w:tcPr>
          <w:p>
            <w:pPr>
              <w:ind w:left="120"/>
              <w:spacing w:after="0"/>
              <w:rPr>
                <w:sz w:val="20"/>
                <w:szCs w:val="20"/>
                <w:color w:val="auto"/>
              </w:rPr>
            </w:pPr>
            <w:r>
              <w:rPr>
                <w:rFonts w:ascii="Arial" w:cs="Arial" w:eastAsia="Arial" w:hAnsi="Arial"/>
                <w:sz w:val="17"/>
                <w:szCs w:val="17"/>
                <w:color w:val="003551"/>
              </w:rPr>
              <w:t>-</w:t>
            </w:r>
          </w:p>
        </w:tc>
        <w:tc>
          <w:tcPr>
            <w:tcW w:w="1000" w:type="dxa"/>
            <w:vAlign w:val="bottom"/>
          </w:tcPr>
          <w:p>
            <w:pPr>
              <w:ind w:left="120"/>
              <w:spacing w:after="0"/>
              <w:rPr>
                <w:sz w:val="20"/>
                <w:szCs w:val="20"/>
                <w:color w:val="auto"/>
              </w:rPr>
            </w:pPr>
            <w:r>
              <w:rPr>
                <w:rFonts w:ascii="Arial" w:cs="Arial" w:eastAsia="Arial" w:hAnsi="Arial"/>
                <w:sz w:val="17"/>
                <w:szCs w:val="17"/>
                <w:color w:val="003551"/>
              </w:rPr>
              <w:t>$195,006</w:t>
            </w:r>
          </w:p>
        </w:tc>
        <w:tc>
          <w:tcPr>
            <w:tcW w:w="0" w:type="dxa"/>
            <w:vAlign w:val="bottom"/>
          </w:tcPr>
          <w:p>
            <w:pPr>
              <w:spacing w:after="0"/>
              <w:rPr>
                <w:sz w:val="1"/>
                <w:szCs w:val="1"/>
                <w:color w:val="auto"/>
              </w:rPr>
            </w:pPr>
          </w:p>
        </w:tc>
      </w:tr>
      <w:tr>
        <w:trPr>
          <w:trHeight w:val="93"/>
        </w:trPr>
        <w:tc>
          <w:tcPr>
            <w:tcW w:w="100" w:type="dxa"/>
            <w:vAlign w:val="bottom"/>
          </w:tcPr>
          <w:p>
            <w:pPr>
              <w:spacing w:after="0"/>
              <w:rPr>
                <w:sz w:val="8"/>
                <w:szCs w:val="8"/>
                <w:color w:val="auto"/>
              </w:rPr>
            </w:pPr>
          </w:p>
        </w:tc>
        <w:tc>
          <w:tcPr>
            <w:tcW w:w="226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003551"/>
              </w:rPr>
              <w:t>Sunita Parasuraman</w:t>
            </w:r>
          </w:p>
        </w:tc>
        <w:tc>
          <w:tcPr>
            <w:tcW w:w="2160" w:type="dxa"/>
            <w:vAlign w:val="bottom"/>
          </w:tcPr>
          <w:p>
            <w:pPr>
              <w:spacing w:after="0"/>
              <w:rPr>
                <w:sz w:val="8"/>
                <w:szCs w:val="8"/>
                <w:color w:val="auto"/>
              </w:rPr>
            </w:pPr>
          </w:p>
        </w:tc>
        <w:tc>
          <w:tcPr>
            <w:tcW w:w="80" w:type="dxa"/>
            <w:vAlign w:val="bottom"/>
            <w:tcBorders>
              <w:bottom w:val="single" w:sz="8" w:color="77C483"/>
            </w:tcBorders>
          </w:tcPr>
          <w:p>
            <w:pPr>
              <w:spacing w:after="0"/>
              <w:rPr>
                <w:sz w:val="8"/>
                <w:szCs w:val="8"/>
                <w:color w:val="auto"/>
              </w:rPr>
            </w:pPr>
          </w:p>
        </w:tc>
        <w:tc>
          <w:tcPr>
            <w:tcW w:w="11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9"/>
        </w:trPr>
        <w:tc>
          <w:tcPr>
            <w:tcW w:w="100" w:type="dxa"/>
            <w:vAlign w:val="bottom"/>
          </w:tcPr>
          <w:p>
            <w:pPr>
              <w:spacing w:after="0"/>
              <w:rPr>
                <w:sz w:val="24"/>
                <w:szCs w:val="24"/>
                <w:color w:val="auto"/>
              </w:rPr>
            </w:pPr>
          </w:p>
        </w:tc>
        <w:tc>
          <w:tcPr>
            <w:tcW w:w="2260" w:type="dxa"/>
            <w:vAlign w:val="bottom"/>
            <w:gridSpan w:val="2"/>
            <w:vMerge w:val="continue"/>
          </w:tcPr>
          <w:p>
            <w:pPr>
              <w:spacing w:after="0"/>
              <w:rPr>
                <w:sz w:val="24"/>
                <w:szCs w:val="24"/>
                <w:color w:val="auto"/>
              </w:rPr>
            </w:pPr>
          </w:p>
        </w:tc>
        <w:tc>
          <w:tcPr>
            <w:tcW w:w="2160" w:type="dxa"/>
            <w:vAlign w:val="bottom"/>
          </w:tcPr>
          <w:p>
            <w:pPr>
              <w:ind w:left="340"/>
              <w:spacing w:after="0"/>
              <w:rPr>
                <w:sz w:val="20"/>
                <w:szCs w:val="20"/>
                <w:color w:val="auto"/>
              </w:rPr>
            </w:pPr>
            <w:r>
              <w:rPr>
                <w:rFonts w:ascii="Arial" w:cs="Arial" w:eastAsia="Arial" w:hAnsi="Arial"/>
                <w:sz w:val="17"/>
                <w:szCs w:val="17"/>
                <w:color w:val="003551"/>
              </w:rPr>
              <w:t>$80,000</w:t>
            </w:r>
          </w:p>
        </w:tc>
        <w:tc>
          <w:tcPr>
            <w:tcW w:w="1260" w:type="dxa"/>
            <w:vAlign w:val="bottom"/>
            <w:gridSpan w:val="2"/>
          </w:tcPr>
          <w:p>
            <w:pPr>
              <w:ind w:left="140"/>
              <w:spacing w:after="0"/>
              <w:rPr>
                <w:sz w:val="20"/>
                <w:szCs w:val="20"/>
                <w:color w:val="auto"/>
              </w:rPr>
            </w:pPr>
            <w:r>
              <w:rPr>
                <w:rFonts w:ascii="Arial" w:cs="Arial" w:eastAsia="Arial" w:hAnsi="Arial"/>
                <w:sz w:val="17"/>
                <w:szCs w:val="17"/>
                <w:color w:val="003551"/>
              </w:rPr>
              <w:t>$135,006</w:t>
            </w:r>
          </w:p>
        </w:tc>
        <w:tc>
          <w:tcPr>
            <w:tcW w:w="1460" w:type="dxa"/>
            <w:vAlign w:val="bottom"/>
          </w:tcPr>
          <w:p>
            <w:pPr>
              <w:ind w:left="120"/>
              <w:spacing w:after="0"/>
              <w:rPr>
                <w:sz w:val="20"/>
                <w:szCs w:val="20"/>
                <w:color w:val="auto"/>
              </w:rPr>
            </w:pPr>
            <w:r>
              <w:rPr>
                <w:rFonts w:ascii="Arial" w:cs="Arial" w:eastAsia="Arial" w:hAnsi="Arial"/>
                <w:sz w:val="17"/>
                <w:szCs w:val="17"/>
                <w:color w:val="003551"/>
              </w:rPr>
              <w:t>-</w:t>
            </w:r>
          </w:p>
        </w:tc>
        <w:tc>
          <w:tcPr>
            <w:tcW w:w="1000" w:type="dxa"/>
            <w:vAlign w:val="bottom"/>
          </w:tcPr>
          <w:p>
            <w:pPr>
              <w:ind w:left="120"/>
              <w:spacing w:after="0"/>
              <w:rPr>
                <w:sz w:val="20"/>
                <w:szCs w:val="20"/>
                <w:color w:val="auto"/>
              </w:rPr>
            </w:pPr>
            <w:r>
              <w:rPr>
                <w:rFonts w:ascii="Arial" w:cs="Arial" w:eastAsia="Arial" w:hAnsi="Arial"/>
                <w:sz w:val="17"/>
                <w:szCs w:val="17"/>
                <w:color w:val="003551"/>
              </w:rPr>
              <w:t>$215,006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-788670</wp:posOffset>
            </wp:positionV>
            <wp:extent cx="522351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223510"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-488950</wp:posOffset>
            </wp:positionV>
            <wp:extent cx="522351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223510"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-214630</wp:posOffset>
            </wp:positionV>
            <wp:extent cx="522351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223510" cy="8255"/>
                    </a:xfrm>
                    <a:prstGeom prst="rect">
                      <a:avLst/>
                    </a:prstGeom>
                    <a:noFill/>
                  </pic:spPr>
                </pic:pic>
              </a:graphicData>
            </a:graphic>
          </wp:anchor>
        </w:drawing>
      </w:r>
    </w:p>
    <w:p>
      <w:pPr>
        <w:spacing w:after="0" w:line="188" w:lineRule="exact"/>
        <w:rPr>
          <w:sz w:val="20"/>
          <w:szCs w:val="20"/>
          <w:color w:val="auto"/>
        </w:rPr>
      </w:pPr>
    </w:p>
    <w:p>
      <w:pPr>
        <w:ind w:left="1280" w:hanging="337"/>
        <w:spacing w:after="0"/>
        <w:tabs>
          <w:tab w:leader="none" w:pos="1280" w:val="left"/>
        </w:tabs>
        <w:numPr>
          <w:ilvl w:val="0"/>
          <w:numId w:val="43"/>
        </w:numPr>
        <w:rPr>
          <w:rFonts w:ascii="Arial" w:cs="Arial" w:eastAsia="Arial" w:hAnsi="Arial"/>
          <w:sz w:val="12"/>
          <w:szCs w:val="12"/>
          <w:i w:val="1"/>
          <w:iCs w:val="1"/>
          <w:color w:val="003551"/>
        </w:rPr>
      </w:pPr>
      <w:r>
        <w:rPr>
          <w:rFonts w:ascii="Arial" w:cs="Arial" w:eastAsia="Arial" w:hAnsi="Arial"/>
          <w:sz w:val="12"/>
          <w:szCs w:val="12"/>
          <w:i w:val="1"/>
          <w:iCs w:val="1"/>
          <w:color w:val="003551"/>
        </w:rPr>
        <w:t>Amounts reflect the grant-date fair value of stock awards granted during 2024 computed in accordance with FASB ASC Topic 718.</w:t>
      </w:r>
    </w:p>
    <w:p>
      <w:pPr>
        <w:spacing w:after="0" w:line="2" w:lineRule="exact"/>
        <w:rPr>
          <w:rFonts w:ascii="Arial" w:cs="Arial" w:eastAsia="Arial" w:hAnsi="Arial"/>
          <w:sz w:val="12"/>
          <w:szCs w:val="12"/>
          <w:i w:val="1"/>
          <w:iCs w:val="1"/>
          <w:color w:val="003551"/>
        </w:rPr>
      </w:pPr>
    </w:p>
    <w:p>
      <w:pPr>
        <w:ind w:left="1280" w:hanging="337"/>
        <w:spacing w:after="0"/>
        <w:tabs>
          <w:tab w:leader="none" w:pos="1280" w:val="left"/>
        </w:tabs>
        <w:numPr>
          <w:ilvl w:val="0"/>
          <w:numId w:val="43"/>
        </w:numPr>
        <w:rPr>
          <w:rFonts w:ascii="Arial" w:cs="Arial" w:eastAsia="Arial" w:hAnsi="Arial"/>
          <w:sz w:val="12"/>
          <w:szCs w:val="12"/>
          <w:i w:val="1"/>
          <w:iCs w:val="1"/>
          <w:color w:val="003551"/>
        </w:rPr>
      </w:pPr>
      <w:r>
        <w:rPr>
          <w:rFonts w:ascii="Arial" w:cs="Arial" w:eastAsia="Arial" w:hAnsi="Arial"/>
          <w:sz w:val="12"/>
          <w:szCs w:val="12"/>
          <w:i w:val="1"/>
          <w:iCs w:val="1"/>
          <w:color w:val="003551"/>
        </w:rPr>
        <w:t>Our non-employee directors held the following equity awards as of June 30, 2025:</w:t>
      </w:r>
    </w:p>
    <w:p>
      <w:pPr>
        <w:spacing w:after="0" w:line="130" w:lineRule="exact"/>
        <w:rPr>
          <w:sz w:val="20"/>
          <w:szCs w:val="20"/>
          <w:color w:val="auto"/>
        </w:rPr>
      </w:pPr>
    </w:p>
    <w:tbl>
      <w:tblPr>
        <w:tblLayout w:type="fixed"/>
        <w:tblInd w:w="1280" w:type="dxa"/>
        <w:tblCellMar>
          <w:top w:w="0" w:type="dxa"/>
          <w:left w:w="0" w:type="dxa"/>
          <w:bottom w:w="0" w:type="dxa"/>
          <w:right w:w="0" w:type="dxa"/>
        </w:tblCellMar>
      </w:tblPr>
      <w:tr>
        <w:trPr>
          <w:trHeight w:val="340"/>
        </w:trPr>
        <w:tc>
          <w:tcPr>
            <w:tcW w:w="700" w:type="dxa"/>
            <w:vAlign w:val="bottom"/>
            <w:shd w:val="clear" w:color="auto" w:fill="77C483"/>
          </w:tcPr>
          <w:p>
            <w:pPr>
              <w:ind w:left="160"/>
              <w:spacing w:after="0"/>
              <w:rPr>
                <w:sz w:val="20"/>
                <w:szCs w:val="20"/>
                <w:color w:val="auto"/>
              </w:rPr>
            </w:pPr>
            <w:r>
              <w:rPr>
                <w:rFonts w:ascii="Arial" w:cs="Arial" w:eastAsia="Arial" w:hAnsi="Arial"/>
                <w:sz w:val="14"/>
                <w:szCs w:val="14"/>
                <w:b w:val="1"/>
                <w:bCs w:val="1"/>
                <w:color w:val="003551"/>
              </w:rPr>
              <w:t>Name</w:t>
            </w:r>
          </w:p>
        </w:tc>
        <w:tc>
          <w:tcPr>
            <w:tcW w:w="1500" w:type="dxa"/>
            <w:vAlign w:val="bottom"/>
            <w:shd w:val="clear" w:color="auto" w:fill="77C483"/>
          </w:tcPr>
          <w:p>
            <w:pPr>
              <w:spacing w:after="0"/>
              <w:rPr>
                <w:sz w:val="24"/>
                <w:szCs w:val="24"/>
                <w:color w:val="auto"/>
              </w:rPr>
            </w:pPr>
          </w:p>
        </w:tc>
        <w:tc>
          <w:tcPr>
            <w:tcW w:w="2140" w:type="dxa"/>
            <w:vAlign w:val="bottom"/>
            <w:shd w:val="clear" w:color="auto" w:fill="77C483"/>
          </w:tcPr>
          <w:p>
            <w:pPr>
              <w:ind w:left="540"/>
              <w:spacing w:after="0"/>
              <w:rPr>
                <w:sz w:val="20"/>
                <w:szCs w:val="20"/>
                <w:color w:val="auto"/>
              </w:rPr>
            </w:pPr>
            <w:r>
              <w:rPr>
                <w:rFonts w:ascii="Arial" w:cs="Arial" w:eastAsia="Arial" w:hAnsi="Arial"/>
                <w:sz w:val="14"/>
                <w:szCs w:val="14"/>
                <w:b w:val="1"/>
                <w:bCs w:val="1"/>
                <w:color w:val="003551"/>
              </w:rPr>
              <w:t>Options</w:t>
            </w:r>
          </w:p>
        </w:tc>
        <w:tc>
          <w:tcPr>
            <w:tcW w:w="3540" w:type="dxa"/>
            <w:vAlign w:val="bottom"/>
            <w:shd w:val="clear" w:color="auto" w:fill="77C483"/>
          </w:tcPr>
          <w:p>
            <w:pPr>
              <w:ind w:left="1020"/>
              <w:spacing w:after="0"/>
              <w:rPr>
                <w:sz w:val="20"/>
                <w:szCs w:val="20"/>
                <w:color w:val="auto"/>
              </w:rPr>
            </w:pPr>
            <w:r>
              <w:rPr>
                <w:rFonts w:ascii="Arial" w:cs="Arial" w:eastAsia="Arial" w:hAnsi="Arial"/>
                <w:sz w:val="14"/>
                <w:szCs w:val="14"/>
                <w:b w:val="1"/>
                <w:bCs w:val="1"/>
                <w:color w:val="003551"/>
              </w:rPr>
              <w:t>DRSUs</w:t>
            </w:r>
          </w:p>
        </w:tc>
      </w:tr>
      <w:tr>
        <w:trPr>
          <w:trHeight w:val="92"/>
        </w:trPr>
        <w:tc>
          <w:tcPr>
            <w:tcW w:w="2200" w:type="dxa"/>
            <w:vAlign w:val="bottom"/>
            <w:tcBorders>
              <w:bottom w:val="single" w:sz="8" w:color="003551"/>
            </w:tcBorders>
            <w:gridSpan w:val="2"/>
            <w:shd w:val="clear" w:color="auto" w:fill="77C483"/>
          </w:tcPr>
          <w:p>
            <w:pPr>
              <w:spacing w:after="0"/>
              <w:rPr>
                <w:sz w:val="8"/>
                <w:szCs w:val="8"/>
                <w:color w:val="auto"/>
              </w:rPr>
            </w:pPr>
          </w:p>
        </w:tc>
        <w:tc>
          <w:tcPr>
            <w:tcW w:w="2140" w:type="dxa"/>
            <w:vAlign w:val="bottom"/>
            <w:tcBorders>
              <w:bottom w:val="single" w:sz="8" w:color="003551"/>
            </w:tcBorders>
            <w:shd w:val="clear" w:color="auto" w:fill="77C483"/>
          </w:tcPr>
          <w:p>
            <w:pPr>
              <w:spacing w:after="0"/>
              <w:rPr>
                <w:sz w:val="8"/>
                <w:szCs w:val="8"/>
                <w:color w:val="auto"/>
              </w:rPr>
            </w:pPr>
          </w:p>
        </w:tc>
        <w:tc>
          <w:tcPr>
            <w:tcW w:w="3540" w:type="dxa"/>
            <w:vAlign w:val="bottom"/>
            <w:tcBorders>
              <w:bottom w:val="single" w:sz="8" w:color="003551"/>
            </w:tcBorders>
            <w:shd w:val="clear" w:color="auto" w:fill="77C483"/>
          </w:tcPr>
          <w:p>
            <w:pPr>
              <w:spacing w:after="0"/>
              <w:rPr>
                <w:sz w:val="8"/>
                <w:szCs w:val="8"/>
                <w:color w:val="auto"/>
              </w:rPr>
            </w:pPr>
          </w:p>
        </w:tc>
      </w:tr>
      <w:tr>
        <w:trPr>
          <w:trHeight w:val="410"/>
        </w:trPr>
        <w:tc>
          <w:tcPr>
            <w:tcW w:w="2200" w:type="dxa"/>
            <w:vAlign w:val="bottom"/>
            <w:gridSpan w:val="2"/>
          </w:tcPr>
          <w:p>
            <w:pPr>
              <w:ind w:left="160"/>
              <w:spacing w:after="0"/>
              <w:rPr>
                <w:sz w:val="20"/>
                <w:szCs w:val="20"/>
                <w:color w:val="auto"/>
              </w:rPr>
            </w:pPr>
            <w:r>
              <w:rPr>
                <w:rFonts w:ascii="Arial" w:cs="Arial" w:eastAsia="Arial" w:hAnsi="Arial"/>
                <w:sz w:val="14"/>
                <w:szCs w:val="14"/>
                <w:b w:val="1"/>
                <w:bCs w:val="1"/>
                <w:color w:val="003551"/>
              </w:rPr>
              <w:t>David Bartholomew</w:t>
            </w:r>
          </w:p>
        </w:tc>
        <w:tc>
          <w:tcPr>
            <w:tcW w:w="2140" w:type="dxa"/>
            <w:vAlign w:val="bottom"/>
          </w:tcPr>
          <w:p>
            <w:pPr>
              <w:ind w:left="540"/>
              <w:spacing w:after="0"/>
              <w:rPr>
                <w:sz w:val="20"/>
                <w:szCs w:val="20"/>
                <w:color w:val="auto"/>
              </w:rPr>
            </w:pPr>
            <w:r>
              <w:rPr>
                <w:rFonts w:ascii="Arial" w:cs="Arial" w:eastAsia="Arial" w:hAnsi="Arial"/>
                <w:sz w:val="14"/>
                <w:szCs w:val="14"/>
                <w:color w:val="003551"/>
              </w:rPr>
              <w:t>42,554</w:t>
            </w:r>
            <w:r>
              <w:rPr>
                <w:rFonts w:ascii="Arial" w:cs="Arial" w:eastAsia="Arial" w:hAnsi="Arial"/>
                <w:sz w:val="23"/>
                <w:szCs w:val="23"/>
                <w:color w:val="003551"/>
                <w:vertAlign w:val="superscript"/>
              </w:rPr>
              <w:t>(a)</w:t>
            </w:r>
          </w:p>
        </w:tc>
        <w:tc>
          <w:tcPr>
            <w:tcW w:w="3540" w:type="dxa"/>
            <w:vAlign w:val="bottom"/>
          </w:tcPr>
          <w:p>
            <w:pPr>
              <w:ind w:left="1020"/>
              <w:spacing w:after="0"/>
              <w:rPr>
                <w:sz w:val="20"/>
                <w:szCs w:val="20"/>
                <w:color w:val="auto"/>
              </w:rPr>
            </w:pPr>
            <w:r>
              <w:rPr>
                <w:rFonts w:ascii="Arial" w:cs="Arial" w:eastAsia="Arial" w:hAnsi="Arial"/>
                <w:sz w:val="14"/>
                <w:szCs w:val="14"/>
                <w:color w:val="003551"/>
              </w:rPr>
              <w:t>61,392</w:t>
            </w:r>
            <w:r>
              <w:rPr>
                <w:rFonts w:ascii="Arial" w:cs="Arial" w:eastAsia="Arial" w:hAnsi="Arial"/>
                <w:sz w:val="23"/>
                <w:szCs w:val="23"/>
                <w:color w:val="003551"/>
                <w:vertAlign w:val="superscript"/>
              </w:rPr>
              <w:t>(b)</w:t>
            </w:r>
          </w:p>
        </w:tc>
      </w:tr>
      <w:tr>
        <w:trPr>
          <w:trHeight w:val="419"/>
        </w:trPr>
        <w:tc>
          <w:tcPr>
            <w:tcW w:w="700" w:type="dxa"/>
            <w:vAlign w:val="bottom"/>
          </w:tcPr>
          <w:p>
            <w:pPr>
              <w:ind w:left="160"/>
              <w:spacing w:after="0"/>
              <w:rPr>
                <w:sz w:val="20"/>
                <w:szCs w:val="20"/>
                <w:color w:val="auto"/>
              </w:rPr>
            </w:pPr>
            <w:r>
              <w:rPr>
                <w:rFonts w:ascii="Arial" w:cs="Arial" w:eastAsia="Arial" w:hAnsi="Arial"/>
                <w:sz w:val="14"/>
                <w:szCs w:val="14"/>
                <w:b w:val="1"/>
                <w:bCs w:val="1"/>
                <w:color w:val="003551"/>
              </w:rPr>
              <w:t>Michael</w:t>
            </w:r>
            <w:r>
              <w:rPr>
                <w:rFonts w:ascii="Arial" w:cs="Arial" w:eastAsia="Arial" w:hAnsi="Arial"/>
                <w:sz w:val="14"/>
                <w:szCs w:val="14"/>
                <w:color w:val="003551"/>
              </w:rPr>
              <w:t>​</w:t>
            </w:r>
          </w:p>
        </w:tc>
        <w:tc>
          <w:tcPr>
            <w:tcW w:w="1500" w:type="dxa"/>
            <w:vAlign w:val="bottom"/>
          </w:tcPr>
          <w:p>
            <w:pPr>
              <w:ind w:left="20"/>
              <w:spacing w:after="0"/>
              <w:rPr>
                <w:sz w:val="20"/>
                <w:szCs w:val="20"/>
                <w:color w:val="auto"/>
              </w:rPr>
            </w:pPr>
            <w:r>
              <w:rPr>
                <w:rFonts w:ascii="Arial" w:cs="Arial" w:eastAsia="Arial" w:hAnsi="Arial"/>
                <w:sz w:val="14"/>
                <w:szCs w:val="14"/>
                <w:b w:val="1"/>
                <w:bCs w:val="1"/>
                <w:color w:val="003551"/>
              </w:rPr>
              <w:t>Alfred</w:t>
            </w:r>
          </w:p>
        </w:tc>
        <w:tc>
          <w:tcPr>
            <w:tcW w:w="2140" w:type="dxa"/>
            <w:vAlign w:val="bottom"/>
          </w:tcPr>
          <w:p>
            <w:pPr>
              <w:ind w:left="540"/>
              <w:spacing w:after="0"/>
              <w:rPr>
                <w:sz w:val="20"/>
                <w:szCs w:val="20"/>
                <w:color w:val="auto"/>
              </w:rPr>
            </w:pPr>
            <w:r>
              <w:rPr>
                <w:rFonts w:ascii="Arial" w:cs="Arial" w:eastAsia="Arial" w:hAnsi="Arial"/>
                <w:sz w:val="14"/>
                <w:szCs w:val="14"/>
                <w:color w:val="003551"/>
              </w:rPr>
              <w:t>14,266</w:t>
            </w:r>
            <w:r>
              <w:rPr>
                <w:rFonts w:ascii="Arial" w:cs="Arial" w:eastAsia="Arial" w:hAnsi="Arial"/>
                <w:sz w:val="23"/>
                <w:szCs w:val="23"/>
                <w:color w:val="003551"/>
                <w:vertAlign w:val="superscript"/>
              </w:rPr>
              <w:t>(c)</w:t>
            </w:r>
          </w:p>
        </w:tc>
        <w:tc>
          <w:tcPr>
            <w:tcW w:w="3540" w:type="dxa"/>
            <w:vAlign w:val="bottom"/>
          </w:tcPr>
          <w:p>
            <w:pPr>
              <w:ind w:left="1020"/>
              <w:spacing w:after="0"/>
              <w:rPr>
                <w:sz w:val="20"/>
                <w:szCs w:val="20"/>
                <w:color w:val="auto"/>
              </w:rPr>
            </w:pPr>
            <w:r>
              <w:rPr>
                <w:rFonts w:ascii="Arial" w:cs="Arial" w:eastAsia="Arial" w:hAnsi="Arial"/>
                <w:sz w:val="14"/>
                <w:szCs w:val="14"/>
                <w:color w:val="003551"/>
              </w:rPr>
              <w:t>11,958</w:t>
            </w:r>
            <w:r>
              <w:rPr>
                <w:rFonts w:ascii="Arial" w:cs="Arial" w:eastAsia="Arial" w:hAnsi="Arial"/>
                <w:sz w:val="23"/>
                <w:szCs w:val="23"/>
                <w:color w:val="003551"/>
                <w:vertAlign w:val="superscript"/>
              </w:rPr>
              <w:t>(d)</w:t>
            </w:r>
          </w:p>
        </w:tc>
      </w:tr>
      <w:tr>
        <w:trPr>
          <w:trHeight w:val="419"/>
        </w:trPr>
        <w:tc>
          <w:tcPr>
            <w:tcW w:w="2200" w:type="dxa"/>
            <w:vAlign w:val="bottom"/>
            <w:gridSpan w:val="2"/>
          </w:tcPr>
          <w:p>
            <w:pPr>
              <w:ind w:left="160"/>
              <w:spacing w:after="0"/>
              <w:rPr>
                <w:sz w:val="20"/>
                <w:szCs w:val="20"/>
                <w:color w:val="auto"/>
              </w:rPr>
            </w:pPr>
            <w:r>
              <w:rPr>
                <w:rFonts w:ascii="Arial" w:cs="Arial" w:eastAsia="Arial" w:hAnsi="Arial"/>
                <w:sz w:val="14"/>
                <w:szCs w:val="14"/>
                <w:b w:val="1"/>
                <w:bCs w:val="1"/>
                <w:color w:val="003551"/>
              </w:rPr>
              <w:t>Christopher Guzowski</w:t>
            </w:r>
          </w:p>
        </w:tc>
        <w:tc>
          <w:tcPr>
            <w:tcW w:w="2140" w:type="dxa"/>
            <w:vAlign w:val="bottom"/>
          </w:tcPr>
          <w:p>
            <w:pPr>
              <w:ind w:left="540"/>
              <w:spacing w:after="0"/>
              <w:rPr>
                <w:sz w:val="20"/>
                <w:szCs w:val="20"/>
                <w:color w:val="auto"/>
              </w:rPr>
            </w:pPr>
            <w:r>
              <w:rPr>
                <w:rFonts w:ascii="Arial" w:cs="Arial" w:eastAsia="Arial" w:hAnsi="Arial"/>
                <w:sz w:val="14"/>
                <w:szCs w:val="14"/>
                <w:color w:val="003551"/>
              </w:rPr>
              <w:t>59,576</w:t>
            </w:r>
            <w:r>
              <w:rPr>
                <w:rFonts w:ascii="Arial" w:cs="Arial" w:eastAsia="Arial" w:hAnsi="Arial"/>
                <w:sz w:val="23"/>
                <w:szCs w:val="23"/>
                <w:color w:val="003551"/>
                <w:vertAlign w:val="superscript"/>
              </w:rPr>
              <w:t>(e)</w:t>
            </w:r>
          </w:p>
        </w:tc>
        <w:tc>
          <w:tcPr>
            <w:tcW w:w="3540" w:type="dxa"/>
            <w:vAlign w:val="bottom"/>
          </w:tcPr>
          <w:p>
            <w:pPr>
              <w:ind w:left="1020"/>
              <w:spacing w:after="0"/>
              <w:rPr>
                <w:sz w:val="20"/>
                <w:szCs w:val="20"/>
                <w:color w:val="auto"/>
              </w:rPr>
            </w:pPr>
            <w:r>
              <w:rPr>
                <w:rFonts w:ascii="Arial" w:cs="Arial" w:eastAsia="Arial" w:hAnsi="Arial"/>
                <w:sz w:val="14"/>
                <w:szCs w:val="14"/>
                <w:color w:val="003551"/>
              </w:rPr>
              <w:t>11,958</w:t>
            </w:r>
            <w:r>
              <w:rPr>
                <w:rFonts w:ascii="Arial" w:cs="Arial" w:eastAsia="Arial" w:hAnsi="Arial"/>
                <w:sz w:val="23"/>
                <w:szCs w:val="23"/>
                <w:color w:val="003551"/>
                <w:vertAlign w:val="superscript"/>
              </w:rPr>
              <w:t>(d)</w:t>
            </w:r>
          </w:p>
        </w:tc>
      </w:tr>
      <w:tr>
        <w:trPr>
          <w:trHeight w:val="419"/>
        </w:trPr>
        <w:tc>
          <w:tcPr>
            <w:tcW w:w="2200" w:type="dxa"/>
            <w:vAlign w:val="bottom"/>
            <w:gridSpan w:val="2"/>
          </w:tcPr>
          <w:p>
            <w:pPr>
              <w:ind w:left="160"/>
              <w:spacing w:after="0"/>
              <w:rPr>
                <w:sz w:val="20"/>
                <w:szCs w:val="20"/>
                <w:color w:val="auto"/>
              </w:rPr>
            </w:pPr>
            <w:r>
              <w:rPr>
                <w:rFonts w:ascii="Arial" w:cs="Arial" w:eastAsia="Arial" w:hAnsi="Arial"/>
                <w:sz w:val="14"/>
                <w:szCs w:val="14"/>
                <w:b w:val="1"/>
                <w:bCs w:val="1"/>
                <w:color w:val="003551"/>
              </w:rPr>
              <w:t>Sunita Parasuraman</w:t>
            </w:r>
          </w:p>
        </w:tc>
        <w:tc>
          <w:tcPr>
            <w:tcW w:w="2140" w:type="dxa"/>
            <w:vAlign w:val="bottom"/>
          </w:tcPr>
          <w:p>
            <w:pPr>
              <w:ind w:left="540"/>
              <w:spacing w:after="0"/>
              <w:rPr>
                <w:sz w:val="20"/>
                <w:szCs w:val="20"/>
                <w:color w:val="auto"/>
              </w:rPr>
            </w:pPr>
            <w:r>
              <w:rPr>
                <w:rFonts w:ascii="Arial" w:cs="Arial" w:eastAsia="Arial" w:hAnsi="Arial"/>
                <w:sz w:val="14"/>
                <w:szCs w:val="14"/>
                <w:color w:val="003551"/>
              </w:rPr>
              <w:t>-</w:t>
            </w:r>
          </w:p>
        </w:tc>
        <w:tc>
          <w:tcPr>
            <w:tcW w:w="3540" w:type="dxa"/>
            <w:vAlign w:val="bottom"/>
          </w:tcPr>
          <w:p>
            <w:pPr>
              <w:ind w:left="1020"/>
              <w:spacing w:after="0"/>
              <w:rPr>
                <w:sz w:val="20"/>
                <w:szCs w:val="20"/>
                <w:color w:val="auto"/>
              </w:rPr>
            </w:pPr>
            <w:r>
              <w:rPr>
                <w:rFonts w:ascii="Arial" w:cs="Arial" w:eastAsia="Arial" w:hAnsi="Arial"/>
                <w:sz w:val="14"/>
                <w:szCs w:val="14"/>
                <w:color w:val="003551"/>
              </w:rPr>
              <w:t>11,958</w:t>
            </w:r>
            <w:r>
              <w:rPr>
                <w:rFonts w:ascii="Arial" w:cs="Arial" w:eastAsia="Arial" w:hAnsi="Arial"/>
                <w:sz w:val="23"/>
                <w:szCs w:val="23"/>
                <w:color w:val="003551"/>
                <w:vertAlign w:val="superscript"/>
              </w:rPr>
              <w:t>(d)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-6350</wp:posOffset>
            </wp:positionV>
            <wp:extent cx="49987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998720"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-796290</wp:posOffset>
            </wp:positionV>
            <wp:extent cx="49987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998720"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-530225</wp:posOffset>
            </wp:positionV>
            <wp:extent cx="49987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998720"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-264160</wp:posOffset>
            </wp:positionV>
            <wp:extent cx="49987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998720" cy="8255"/>
                    </a:xfrm>
                    <a:prstGeom prst="rect">
                      <a:avLst/>
                    </a:prstGeom>
                    <a:noFill/>
                  </pic:spPr>
                </pic:pic>
              </a:graphicData>
            </a:graphic>
          </wp:anchor>
        </w:drawing>
      </w:r>
    </w:p>
    <w:p>
      <w:pPr>
        <w:spacing w:after="0" w:line="98" w:lineRule="exact"/>
        <w:rPr>
          <w:sz w:val="20"/>
          <w:szCs w:val="20"/>
          <w:color w:val="auto"/>
        </w:rPr>
      </w:pPr>
    </w:p>
    <w:p>
      <w:pPr>
        <w:jc w:val="both"/>
        <w:ind w:left="1640" w:right="740" w:hanging="348"/>
        <w:spacing w:after="0" w:line="236" w:lineRule="auto"/>
        <w:tabs>
          <w:tab w:leader="none" w:pos="1640" w:val="left"/>
        </w:tabs>
        <w:numPr>
          <w:ilvl w:val="1"/>
          <w:numId w:val="44"/>
        </w:numPr>
        <w:rPr>
          <w:rFonts w:ascii="Arial" w:cs="Arial" w:eastAsia="Arial" w:hAnsi="Arial"/>
          <w:sz w:val="12"/>
          <w:szCs w:val="12"/>
          <w:i w:val="1"/>
          <w:iCs w:val="1"/>
          <w:color w:val="003551"/>
        </w:rPr>
      </w:pPr>
      <w:r>
        <w:rPr>
          <w:rFonts w:ascii="Arial" w:cs="Arial" w:eastAsia="Arial" w:hAnsi="Arial"/>
          <w:sz w:val="12"/>
          <w:szCs w:val="12"/>
          <w:i w:val="1"/>
          <w:iCs w:val="1"/>
          <w:color w:val="003551"/>
        </w:rPr>
        <w:t>14,183 of the option awards are fully vested and exercisable. 14,188 of the option awards will vest on July 28, 2025 and 14,183 of the option awards will vest on July 28, 2026, subject to the non-employee director’s service on the Board through each applicable vesting date.</w:t>
      </w:r>
    </w:p>
    <w:p>
      <w:pPr>
        <w:ind w:left="1640" w:hanging="348"/>
        <w:spacing w:after="0" w:line="227" w:lineRule="auto"/>
        <w:tabs>
          <w:tab w:leader="none" w:pos="1640" w:val="left"/>
        </w:tabs>
        <w:numPr>
          <w:ilvl w:val="1"/>
          <w:numId w:val="44"/>
        </w:numPr>
        <w:rPr>
          <w:rFonts w:ascii="Arial" w:cs="Arial" w:eastAsia="Arial" w:hAnsi="Arial"/>
          <w:sz w:val="12"/>
          <w:szCs w:val="12"/>
          <w:i w:val="1"/>
          <w:iCs w:val="1"/>
          <w:color w:val="003551"/>
        </w:rPr>
      </w:pPr>
      <w:r>
        <w:rPr>
          <w:rFonts w:ascii="Arial" w:cs="Arial" w:eastAsia="Arial" w:hAnsi="Arial"/>
          <w:sz w:val="12"/>
          <w:szCs w:val="12"/>
          <w:i w:val="1"/>
          <w:iCs w:val="1"/>
          <w:color w:val="003551"/>
        </w:rPr>
        <w:t>43,455 of the DRSUs vested on September 1, 2024 and 17,937 of the DRSUs vested on September 1, 2025.</w:t>
      </w:r>
    </w:p>
    <w:p>
      <w:pPr>
        <w:jc w:val="both"/>
        <w:ind w:left="1640" w:right="740" w:hanging="348"/>
        <w:spacing w:after="0"/>
        <w:tabs>
          <w:tab w:leader="none" w:pos="1640" w:val="left"/>
        </w:tabs>
        <w:numPr>
          <w:ilvl w:val="1"/>
          <w:numId w:val="44"/>
        </w:numPr>
        <w:rPr>
          <w:rFonts w:ascii="Arial" w:cs="Arial" w:eastAsia="Arial" w:hAnsi="Arial"/>
          <w:sz w:val="12"/>
          <w:szCs w:val="12"/>
          <w:i w:val="1"/>
          <w:iCs w:val="1"/>
          <w:color w:val="003551"/>
        </w:rPr>
      </w:pPr>
      <w:r>
        <w:rPr>
          <w:rFonts w:ascii="Arial" w:cs="Arial" w:eastAsia="Arial" w:hAnsi="Arial"/>
          <w:sz w:val="12"/>
          <w:szCs w:val="12"/>
          <w:i w:val="1"/>
          <w:iCs w:val="1"/>
          <w:color w:val="003551"/>
        </w:rPr>
        <w:t>4,755 of the option awards are fully vested and exercisable. 4,756 of the option awards will vest on October 22, 2025 and 4,755 of the option awards will vest on October 22, 2026, subject to the non-employee director’s service on the Board through each applicable vesting date.</w:t>
      </w:r>
    </w:p>
    <w:p>
      <w:pPr>
        <w:spacing w:after="0" w:line="116" w:lineRule="exact"/>
        <w:rPr>
          <w:rFonts w:ascii="Arial" w:cs="Arial" w:eastAsia="Arial" w:hAnsi="Arial"/>
          <w:sz w:val="12"/>
          <w:szCs w:val="12"/>
          <w:i w:val="1"/>
          <w:iCs w:val="1"/>
          <w:color w:val="003551"/>
        </w:rPr>
      </w:pPr>
    </w:p>
    <w:p>
      <w:pPr>
        <w:ind w:left="1640" w:hanging="348"/>
        <w:spacing w:after="0" w:line="227" w:lineRule="auto"/>
        <w:tabs>
          <w:tab w:leader="none" w:pos="1640" w:val="left"/>
        </w:tabs>
        <w:numPr>
          <w:ilvl w:val="1"/>
          <w:numId w:val="44"/>
        </w:numPr>
        <w:rPr>
          <w:rFonts w:ascii="Arial" w:cs="Arial" w:eastAsia="Arial" w:hAnsi="Arial"/>
          <w:sz w:val="12"/>
          <w:szCs w:val="12"/>
          <w:i w:val="1"/>
          <w:iCs w:val="1"/>
          <w:color w:val="003551"/>
        </w:rPr>
      </w:pPr>
      <w:r>
        <w:rPr>
          <w:rFonts w:ascii="Arial" w:cs="Arial" w:eastAsia="Arial" w:hAnsi="Arial"/>
          <w:sz w:val="12"/>
          <w:szCs w:val="12"/>
          <w:i w:val="1"/>
          <w:iCs w:val="1"/>
          <w:color w:val="003551"/>
        </w:rPr>
        <w:t>The DRSUs vested on September 1, 2025.</w:t>
      </w:r>
    </w:p>
    <w:p>
      <w:pPr>
        <w:ind w:left="1640" w:right="740" w:hanging="348"/>
        <w:spacing w:after="0" w:line="227" w:lineRule="auto"/>
        <w:tabs>
          <w:tab w:leader="none" w:pos="1640" w:val="left"/>
        </w:tabs>
        <w:numPr>
          <w:ilvl w:val="1"/>
          <w:numId w:val="44"/>
        </w:numPr>
        <w:rPr>
          <w:rFonts w:ascii="Arial" w:cs="Arial" w:eastAsia="Arial" w:hAnsi="Arial"/>
          <w:sz w:val="12"/>
          <w:szCs w:val="12"/>
          <w:i w:val="1"/>
          <w:iCs w:val="1"/>
          <w:color w:val="003551"/>
        </w:rPr>
      </w:pPr>
      <w:r>
        <w:rPr>
          <w:rFonts w:ascii="Arial" w:cs="Arial" w:eastAsia="Arial" w:hAnsi="Arial"/>
          <w:sz w:val="12"/>
          <w:szCs w:val="12"/>
          <w:i w:val="1"/>
          <w:iCs w:val="1"/>
          <w:color w:val="003551"/>
        </w:rPr>
        <w:t>31,205 of the option awards are fully vested and exercisable. 14,188 of the option awards will vest on July 28, 2025 and 14,183 option awards will vest on July 28, 2026, subject to the non-employee director’s service on the Board through each applicable vesting date.</w:t>
      </w:r>
    </w:p>
    <w:p>
      <w:pPr>
        <w:ind w:left="1280" w:right="740" w:hanging="337"/>
        <w:spacing w:after="0" w:line="227" w:lineRule="auto"/>
        <w:tabs>
          <w:tab w:leader="none" w:pos="1280" w:val="left"/>
        </w:tabs>
        <w:numPr>
          <w:ilvl w:val="0"/>
          <w:numId w:val="45"/>
        </w:numPr>
        <w:rPr>
          <w:rFonts w:ascii="Arial" w:cs="Arial" w:eastAsia="Arial" w:hAnsi="Arial"/>
          <w:sz w:val="12"/>
          <w:szCs w:val="12"/>
          <w:i w:val="1"/>
          <w:iCs w:val="1"/>
          <w:color w:val="003551"/>
        </w:rPr>
      </w:pPr>
      <w:r>
        <w:rPr>
          <w:rFonts w:ascii="Arial" w:cs="Arial" w:eastAsia="Arial" w:hAnsi="Arial"/>
          <w:sz w:val="12"/>
          <w:szCs w:val="12"/>
          <w:i w:val="1"/>
          <w:iCs w:val="1"/>
          <w:color w:val="003551"/>
        </w:rPr>
        <w:t>Amount reflects Superannuation contributions paid with respect to Mr. Bartholomew, as the only non-employee director resident in Australia to which Superannuation applies.</w:t>
      </w:r>
    </w:p>
    <w:p>
      <w:pPr>
        <w:jc w:val="both"/>
        <w:ind w:left="1280" w:right="740" w:hanging="337"/>
        <w:spacing w:after="0" w:line="238" w:lineRule="auto"/>
        <w:tabs>
          <w:tab w:leader="none" w:pos="1280" w:val="left"/>
        </w:tabs>
        <w:numPr>
          <w:ilvl w:val="0"/>
          <w:numId w:val="45"/>
        </w:numPr>
        <w:rPr>
          <w:rFonts w:ascii="Arial" w:cs="Arial" w:eastAsia="Arial" w:hAnsi="Arial"/>
          <w:sz w:val="12"/>
          <w:szCs w:val="12"/>
          <w:i w:val="1"/>
          <w:iCs w:val="1"/>
          <w:color w:val="003551"/>
        </w:rPr>
      </w:pPr>
      <w:r>
        <w:rPr>
          <w:rFonts w:ascii="Arial" w:cs="Arial" w:eastAsia="Arial" w:hAnsi="Arial"/>
          <w:sz w:val="12"/>
          <w:szCs w:val="12"/>
          <w:i w:val="1"/>
          <w:iCs w:val="1"/>
          <w:color w:val="003551"/>
        </w:rPr>
        <w:t>Reflects an additional $50,000 retainer paid to Mr. Alfred in respect of special services rendered to the Board including representing IREN as the Board representative at investor and industry conferences, providing additional services to the Board which include expertise and advice to the Board on market trends and competitor activity, sector insights and perspectives, and U.S. equity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125730</wp:posOffset>
            </wp:positionV>
            <wp:extent cx="540385" cy="6318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6" w:right="12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940"/>
        <w:spacing w:after="0"/>
        <w:rPr>
          <w:sz w:val="20"/>
          <w:szCs w:val="20"/>
          <w:color w:val="auto"/>
        </w:rPr>
      </w:pPr>
      <w:r>
        <w:rPr>
          <w:rFonts w:ascii="Arial" w:cs="Arial" w:eastAsia="Arial" w:hAnsi="Arial"/>
          <w:sz w:val="28"/>
          <w:szCs w:val="28"/>
          <w:color w:val="003551"/>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15240</wp:posOffset>
            </wp:positionV>
            <wp:extent cx="522351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223510" cy="8255"/>
                    </a:xfrm>
                    <a:prstGeom prst="rect">
                      <a:avLst/>
                    </a:prstGeom>
                    <a:noFill/>
                  </pic:spPr>
                </pic:pic>
              </a:graphicData>
            </a:graphic>
          </wp:anchor>
        </w:drawing>
      </w:r>
    </w:p>
    <w:p>
      <w:pPr>
        <w:spacing w:after="0" w:line="92" w:lineRule="exact"/>
        <w:rPr>
          <w:sz w:val="20"/>
          <w:szCs w:val="20"/>
          <w:color w:val="auto"/>
        </w:rPr>
      </w:pPr>
    </w:p>
    <w:p>
      <w:pPr>
        <w:ind w:left="940" w:right="840"/>
        <w:spacing w:after="0" w:line="249" w:lineRule="auto"/>
        <w:rPr>
          <w:sz w:val="20"/>
          <w:szCs w:val="20"/>
          <w:color w:val="auto"/>
        </w:rPr>
      </w:pPr>
      <w:r>
        <w:rPr>
          <w:rFonts w:ascii="Arial" w:cs="Arial" w:eastAsia="Arial" w:hAnsi="Arial"/>
          <w:sz w:val="17"/>
          <w:szCs w:val="17"/>
          <w:color w:val="003551"/>
        </w:rPr>
        <w:t>Pursuant to Section 953(a) of the Dodd-Frank Act and Item 402(v) of SEC Regulation S-K, we are providing the following information about the relationship between executive “compensation actually paid” (or “</w:t>
      </w:r>
      <w:r>
        <w:rPr>
          <w:rFonts w:ascii="Arial" w:cs="Arial" w:eastAsia="Arial" w:hAnsi="Arial"/>
          <w:sz w:val="17"/>
          <w:szCs w:val="17"/>
          <w:b w:val="1"/>
          <w:bCs w:val="1"/>
          <w:color w:val="003551"/>
        </w:rPr>
        <w:t>CAP</w:t>
      </w:r>
      <w:r>
        <w:rPr>
          <w:rFonts w:ascii="Arial" w:cs="Arial" w:eastAsia="Arial" w:hAnsi="Arial"/>
          <w:sz w:val="17"/>
          <w:szCs w:val="17"/>
          <w:color w:val="003551"/>
        </w:rPr>
        <w:t>”) to IREN’s principal executive officer (“</w:t>
      </w:r>
      <w:r>
        <w:rPr>
          <w:rFonts w:ascii="Arial" w:cs="Arial" w:eastAsia="Arial" w:hAnsi="Arial"/>
          <w:sz w:val="17"/>
          <w:szCs w:val="17"/>
          <w:b w:val="1"/>
          <w:bCs w:val="1"/>
          <w:color w:val="003551"/>
        </w:rPr>
        <w:t>PEO</w:t>
      </w:r>
      <w:r>
        <w:rPr>
          <w:rFonts w:ascii="Arial" w:cs="Arial" w:eastAsia="Arial" w:hAnsi="Arial"/>
          <w:sz w:val="17"/>
          <w:szCs w:val="17"/>
          <w:color w:val="003551"/>
        </w:rPr>
        <w:t>”) and non-PEO NEOs (the “</w:t>
      </w:r>
      <w:r>
        <w:rPr>
          <w:rFonts w:ascii="Arial" w:cs="Arial" w:eastAsia="Arial" w:hAnsi="Arial"/>
          <w:sz w:val="17"/>
          <w:szCs w:val="17"/>
          <w:b w:val="1"/>
          <w:bCs w:val="1"/>
          <w:color w:val="003551"/>
        </w:rPr>
        <w:t>Non-PEO NEOs</w:t>
      </w:r>
      <w:r>
        <w:rPr>
          <w:rFonts w:ascii="Arial" w:cs="Arial" w:eastAsia="Arial" w:hAnsi="Arial"/>
          <w:sz w:val="17"/>
          <w:szCs w:val="17"/>
          <w:color w:val="003551"/>
        </w:rPr>
        <w:t>”) and certain aspects of the financial performance of IREN. The Compensation Committee does not utilize CAP as the basis for making compensation decisions. For further information concerning our compensation philosophy and how we align executive compensation with our performance, please see our CD&amp;A.</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Pay Versus Performance</w:t>
      </w:r>
    </w:p>
    <w:p>
      <w:pPr>
        <w:spacing w:after="0" w:line="186" w:lineRule="exact"/>
        <w:rPr>
          <w:sz w:val="20"/>
          <w:szCs w:val="20"/>
          <w:color w:val="auto"/>
        </w:rPr>
      </w:pPr>
    </w:p>
    <w:tbl>
      <w:tblPr>
        <w:tblLayout w:type="fixed"/>
        <w:tblInd w:w="940" w:type="dxa"/>
        <w:tblCellMar>
          <w:top w:w="0" w:type="dxa"/>
          <w:left w:w="0" w:type="dxa"/>
          <w:bottom w:w="0" w:type="dxa"/>
          <w:right w:w="0" w:type="dxa"/>
        </w:tblCellMar>
      </w:tblPr>
      <w:tr>
        <w:trPr>
          <w:trHeight w:val="262"/>
        </w:trPr>
        <w:tc>
          <w:tcPr>
            <w:tcW w:w="500" w:type="dxa"/>
            <w:vAlign w:val="bottom"/>
            <w:shd w:val="clear" w:color="auto" w:fill="77C483"/>
          </w:tcPr>
          <w:p>
            <w:pPr>
              <w:spacing w:after="0"/>
              <w:rPr>
                <w:sz w:val="22"/>
                <w:szCs w:val="22"/>
                <w:color w:val="auto"/>
              </w:rPr>
            </w:pPr>
          </w:p>
        </w:tc>
        <w:tc>
          <w:tcPr>
            <w:tcW w:w="60" w:type="dxa"/>
            <w:vAlign w:val="bottom"/>
            <w:shd w:val="clear" w:color="auto" w:fill="77C483"/>
          </w:tcPr>
          <w:p>
            <w:pPr>
              <w:spacing w:after="0"/>
              <w:rPr>
                <w:sz w:val="22"/>
                <w:szCs w:val="22"/>
                <w:color w:val="auto"/>
              </w:rPr>
            </w:pPr>
          </w:p>
        </w:tc>
        <w:tc>
          <w:tcPr>
            <w:tcW w:w="740" w:type="dxa"/>
            <w:vAlign w:val="bottom"/>
            <w:shd w:val="clear" w:color="auto" w:fill="77C483"/>
          </w:tcPr>
          <w:p>
            <w:pPr>
              <w:spacing w:after="0"/>
              <w:rPr>
                <w:sz w:val="22"/>
                <w:szCs w:val="22"/>
                <w:color w:val="auto"/>
              </w:rPr>
            </w:pPr>
          </w:p>
        </w:tc>
        <w:tc>
          <w:tcPr>
            <w:tcW w:w="80" w:type="dxa"/>
            <w:vAlign w:val="bottom"/>
            <w:shd w:val="clear" w:color="auto" w:fill="77C483"/>
          </w:tcPr>
          <w:p>
            <w:pPr>
              <w:spacing w:after="0"/>
              <w:rPr>
                <w:sz w:val="22"/>
                <w:szCs w:val="22"/>
                <w:color w:val="auto"/>
              </w:rPr>
            </w:pPr>
          </w:p>
        </w:tc>
        <w:tc>
          <w:tcPr>
            <w:tcW w:w="740" w:type="dxa"/>
            <w:vAlign w:val="bottom"/>
            <w:shd w:val="clear" w:color="auto" w:fill="77C483"/>
          </w:tcPr>
          <w:p>
            <w:pPr>
              <w:spacing w:after="0"/>
              <w:rPr>
                <w:sz w:val="22"/>
                <w:szCs w:val="22"/>
                <w:color w:val="auto"/>
              </w:rPr>
            </w:pPr>
          </w:p>
        </w:tc>
        <w:tc>
          <w:tcPr>
            <w:tcW w:w="80" w:type="dxa"/>
            <w:vAlign w:val="bottom"/>
            <w:shd w:val="clear" w:color="auto" w:fill="77C483"/>
          </w:tcPr>
          <w:p>
            <w:pPr>
              <w:spacing w:after="0"/>
              <w:rPr>
                <w:sz w:val="22"/>
                <w:szCs w:val="22"/>
                <w:color w:val="auto"/>
              </w:rPr>
            </w:pPr>
          </w:p>
        </w:tc>
        <w:tc>
          <w:tcPr>
            <w:tcW w:w="720" w:type="dxa"/>
            <w:vAlign w:val="bottom"/>
            <w:shd w:val="clear" w:color="auto" w:fill="77C483"/>
          </w:tcPr>
          <w:p>
            <w:pPr>
              <w:spacing w:after="0"/>
              <w:rPr>
                <w:sz w:val="22"/>
                <w:szCs w:val="22"/>
                <w:color w:val="auto"/>
              </w:rPr>
            </w:pPr>
          </w:p>
        </w:tc>
        <w:tc>
          <w:tcPr>
            <w:tcW w:w="80" w:type="dxa"/>
            <w:vAlign w:val="bottom"/>
            <w:shd w:val="clear" w:color="auto" w:fill="77C483"/>
          </w:tcPr>
          <w:p>
            <w:pPr>
              <w:spacing w:after="0"/>
              <w:rPr>
                <w:sz w:val="22"/>
                <w:szCs w:val="22"/>
                <w:color w:val="auto"/>
              </w:rPr>
            </w:pPr>
          </w:p>
        </w:tc>
        <w:tc>
          <w:tcPr>
            <w:tcW w:w="760" w:type="dxa"/>
            <w:vAlign w:val="bottom"/>
            <w:shd w:val="clear" w:color="auto" w:fill="77C483"/>
          </w:tcPr>
          <w:p>
            <w:pPr>
              <w:spacing w:after="0"/>
              <w:rPr>
                <w:sz w:val="22"/>
                <w:szCs w:val="22"/>
                <w:color w:val="auto"/>
              </w:rPr>
            </w:pPr>
          </w:p>
        </w:tc>
        <w:tc>
          <w:tcPr>
            <w:tcW w:w="80" w:type="dxa"/>
            <w:vAlign w:val="bottom"/>
            <w:shd w:val="clear" w:color="auto" w:fill="77C483"/>
          </w:tcPr>
          <w:p>
            <w:pPr>
              <w:spacing w:after="0"/>
              <w:rPr>
                <w:sz w:val="22"/>
                <w:szCs w:val="22"/>
                <w:color w:val="auto"/>
              </w:rPr>
            </w:pPr>
          </w:p>
        </w:tc>
        <w:tc>
          <w:tcPr>
            <w:tcW w:w="840" w:type="dxa"/>
            <w:vAlign w:val="bottom"/>
            <w:shd w:val="clear" w:color="auto" w:fill="77C483"/>
          </w:tcPr>
          <w:p>
            <w:pPr>
              <w:spacing w:after="0"/>
              <w:rPr>
                <w:sz w:val="22"/>
                <w:szCs w:val="22"/>
                <w:color w:val="auto"/>
              </w:rPr>
            </w:pPr>
          </w:p>
        </w:tc>
        <w:tc>
          <w:tcPr>
            <w:tcW w:w="80" w:type="dxa"/>
            <w:vAlign w:val="bottom"/>
            <w:shd w:val="clear" w:color="auto" w:fill="77C483"/>
          </w:tcPr>
          <w:p>
            <w:pPr>
              <w:spacing w:after="0"/>
              <w:rPr>
                <w:sz w:val="22"/>
                <w:szCs w:val="22"/>
                <w:color w:val="auto"/>
              </w:rPr>
            </w:pPr>
          </w:p>
        </w:tc>
        <w:tc>
          <w:tcPr>
            <w:tcW w:w="860" w:type="dxa"/>
            <w:vAlign w:val="bottom"/>
            <w:shd w:val="clear" w:color="auto" w:fill="77C483"/>
          </w:tcPr>
          <w:p>
            <w:pPr>
              <w:spacing w:after="0"/>
              <w:rPr>
                <w:sz w:val="22"/>
                <w:szCs w:val="22"/>
                <w:color w:val="auto"/>
              </w:rPr>
            </w:pPr>
          </w:p>
        </w:tc>
        <w:tc>
          <w:tcPr>
            <w:tcW w:w="40" w:type="dxa"/>
            <w:vAlign w:val="bottom"/>
            <w:shd w:val="clear" w:color="auto" w:fill="77C483"/>
          </w:tcPr>
          <w:p>
            <w:pPr>
              <w:spacing w:after="0"/>
              <w:rPr>
                <w:sz w:val="22"/>
                <w:szCs w:val="22"/>
                <w:color w:val="auto"/>
              </w:rPr>
            </w:pPr>
          </w:p>
        </w:tc>
        <w:tc>
          <w:tcPr>
            <w:tcW w:w="1380" w:type="dxa"/>
            <w:vAlign w:val="bottom"/>
            <w:gridSpan w:val="5"/>
            <w:shd w:val="clear" w:color="auto" w:fill="77C483"/>
          </w:tcPr>
          <w:p>
            <w:pPr>
              <w:ind w:left="20"/>
              <w:spacing w:after="0"/>
              <w:rPr>
                <w:sz w:val="20"/>
                <w:szCs w:val="20"/>
                <w:color w:val="auto"/>
              </w:rPr>
            </w:pPr>
            <w:r>
              <w:rPr>
                <w:rFonts w:ascii="Arial" w:cs="Arial" w:eastAsia="Arial" w:hAnsi="Arial"/>
                <w:sz w:val="10"/>
                <w:szCs w:val="10"/>
                <w:b w:val="1"/>
                <w:bCs w:val="1"/>
                <w:color w:val="003551"/>
              </w:rPr>
              <w:t>Value of Initial Fixed $100</w:t>
            </w:r>
          </w:p>
        </w:tc>
        <w:tc>
          <w:tcPr>
            <w:tcW w:w="40" w:type="dxa"/>
            <w:vAlign w:val="bottom"/>
            <w:shd w:val="clear" w:color="auto" w:fill="77C483"/>
          </w:tcPr>
          <w:p>
            <w:pPr>
              <w:spacing w:after="0"/>
              <w:rPr>
                <w:sz w:val="22"/>
                <w:szCs w:val="22"/>
                <w:color w:val="auto"/>
              </w:rPr>
            </w:pPr>
          </w:p>
        </w:tc>
        <w:tc>
          <w:tcPr>
            <w:tcW w:w="380" w:type="dxa"/>
            <w:vAlign w:val="bottom"/>
            <w:shd w:val="clear" w:color="auto" w:fill="77C483"/>
          </w:tcPr>
          <w:p>
            <w:pPr>
              <w:spacing w:after="0"/>
              <w:rPr>
                <w:sz w:val="22"/>
                <w:szCs w:val="22"/>
                <w:color w:val="auto"/>
              </w:rPr>
            </w:pPr>
          </w:p>
        </w:tc>
        <w:tc>
          <w:tcPr>
            <w:tcW w:w="80" w:type="dxa"/>
            <w:vAlign w:val="bottom"/>
            <w:shd w:val="clear" w:color="auto" w:fill="77C483"/>
          </w:tcPr>
          <w:p>
            <w:pPr>
              <w:spacing w:after="0"/>
              <w:rPr>
                <w:sz w:val="22"/>
                <w:szCs w:val="22"/>
                <w:color w:val="auto"/>
              </w:rPr>
            </w:pPr>
          </w:p>
        </w:tc>
        <w:tc>
          <w:tcPr>
            <w:tcW w:w="700" w:type="dxa"/>
            <w:vAlign w:val="bottom"/>
            <w:shd w:val="clear" w:color="auto" w:fill="77C483"/>
          </w:tcPr>
          <w:p>
            <w:pPr>
              <w:spacing w:after="0"/>
              <w:rPr>
                <w:sz w:val="22"/>
                <w:szCs w:val="22"/>
                <w:color w:val="auto"/>
              </w:rPr>
            </w:pPr>
          </w:p>
        </w:tc>
      </w:tr>
      <w:tr>
        <w:trPr>
          <w:trHeight w:val="143"/>
        </w:trPr>
        <w:tc>
          <w:tcPr>
            <w:tcW w:w="500" w:type="dxa"/>
            <w:vAlign w:val="bottom"/>
            <w:shd w:val="clear" w:color="auto" w:fill="77C483"/>
          </w:tcPr>
          <w:p>
            <w:pPr>
              <w:spacing w:after="0"/>
              <w:rPr>
                <w:sz w:val="12"/>
                <w:szCs w:val="12"/>
                <w:color w:val="auto"/>
              </w:rPr>
            </w:pPr>
          </w:p>
        </w:tc>
        <w:tc>
          <w:tcPr>
            <w:tcW w:w="60" w:type="dxa"/>
            <w:vAlign w:val="bottom"/>
            <w:shd w:val="clear" w:color="auto" w:fill="77C483"/>
          </w:tcPr>
          <w:p>
            <w:pPr>
              <w:spacing w:after="0"/>
              <w:rPr>
                <w:sz w:val="12"/>
                <w:szCs w:val="12"/>
                <w:color w:val="auto"/>
              </w:rPr>
            </w:pPr>
          </w:p>
        </w:tc>
        <w:tc>
          <w:tcPr>
            <w:tcW w:w="740" w:type="dxa"/>
            <w:vAlign w:val="bottom"/>
            <w:shd w:val="clear" w:color="auto" w:fill="77C483"/>
          </w:tcPr>
          <w:p>
            <w:pPr>
              <w:spacing w:after="0"/>
              <w:rPr>
                <w:sz w:val="12"/>
                <w:szCs w:val="12"/>
                <w:color w:val="auto"/>
              </w:rPr>
            </w:pPr>
          </w:p>
        </w:tc>
        <w:tc>
          <w:tcPr>
            <w:tcW w:w="80" w:type="dxa"/>
            <w:vAlign w:val="bottom"/>
            <w:shd w:val="clear" w:color="auto" w:fill="77C483"/>
          </w:tcPr>
          <w:p>
            <w:pPr>
              <w:spacing w:after="0"/>
              <w:rPr>
                <w:sz w:val="12"/>
                <w:szCs w:val="12"/>
                <w:color w:val="auto"/>
              </w:rPr>
            </w:pPr>
          </w:p>
        </w:tc>
        <w:tc>
          <w:tcPr>
            <w:tcW w:w="740" w:type="dxa"/>
            <w:vAlign w:val="bottom"/>
            <w:shd w:val="clear" w:color="auto" w:fill="77C483"/>
          </w:tcPr>
          <w:p>
            <w:pPr>
              <w:spacing w:after="0"/>
              <w:rPr>
                <w:sz w:val="12"/>
                <w:szCs w:val="12"/>
                <w:color w:val="auto"/>
              </w:rPr>
            </w:pPr>
          </w:p>
        </w:tc>
        <w:tc>
          <w:tcPr>
            <w:tcW w:w="80" w:type="dxa"/>
            <w:vAlign w:val="bottom"/>
            <w:shd w:val="clear" w:color="auto" w:fill="77C483"/>
          </w:tcPr>
          <w:p>
            <w:pPr>
              <w:spacing w:after="0"/>
              <w:rPr>
                <w:sz w:val="12"/>
                <w:szCs w:val="12"/>
                <w:color w:val="auto"/>
              </w:rPr>
            </w:pPr>
          </w:p>
        </w:tc>
        <w:tc>
          <w:tcPr>
            <w:tcW w:w="720" w:type="dxa"/>
            <w:vAlign w:val="bottom"/>
            <w:shd w:val="clear" w:color="auto" w:fill="77C483"/>
          </w:tcPr>
          <w:p>
            <w:pPr>
              <w:spacing w:after="0"/>
              <w:rPr>
                <w:sz w:val="12"/>
                <w:szCs w:val="12"/>
                <w:color w:val="auto"/>
              </w:rPr>
            </w:pPr>
          </w:p>
        </w:tc>
        <w:tc>
          <w:tcPr>
            <w:tcW w:w="80" w:type="dxa"/>
            <w:vAlign w:val="bottom"/>
            <w:shd w:val="clear" w:color="auto" w:fill="77C483"/>
          </w:tcPr>
          <w:p>
            <w:pPr>
              <w:spacing w:after="0"/>
              <w:rPr>
                <w:sz w:val="12"/>
                <w:szCs w:val="12"/>
                <w:color w:val="auto"/>
              </w:rPr>
            </w:pPr>
          </w:p>
        </w:tc>
        <w:tc>
          <w:tcPr>
            <w:tcW w:w="760" w:type="dxa"/>
            <w:vAlign w:val="bottom"/>
            <w:shd w:val="clear" w:color="auto" w:fill="77C483"/>
          </w:tcPr>
          <w:p>
            <w:pPr>
              <w:spacing w:after="0"/>
              <w:rPr>
                <w:sz w:val="12"/>
                <w:szCs w:val="12"/>
                <w:color w:val="auto"/>
              </w:rPr>
            </w:pPr>
          </w:p>
        </w:tc>
        <w:tc>
          <w:tcPr>
            <w:tcW w:w="80" w:type="dxa"/>
            <w:vAlign w:val="bottom"/>
            <w:shd w:val="clear" w:color="auto" w:fill="77C483"/>
          </w:tcPr>
          <w:p>
            <w:pPr>
              <w:spacing w:after="0"/>
              <w:rPr>
                <w:sz w:val="12"/>
                <w:szCs w:val="12"/>
                <w:color w:val="auto"/>
              </w:rPr>
            </w:pPr>
          </w:p>
        </w:tc>
        <w:tc>
          <w:tcPr>
            <w:tcW w:w="840" w:type="dxa"/>
            <w:vAlign w:val="bottom"/>
            <w:shd w:val="clear" w:color="auto" w:fill="77C483"/>
          </w:tcPr>
          <w:p>
            <w:pPr>
              <w:spacing w:after="0"/>
              <w:rPr>
                <w:sz w:val="12"/>
                <w:szCs w:val="12"/>
                <w:color w:val="auto"/>
              </w:rPr>
            </w:pPr>
          </w:p>
        </w:tc>
        <w:tc>
          <w:tcPr>
            <w:tcW w:w="80" w:type="dxa"/>
            <w:vAlign w:val="bottom"/>
            <w:shd w:val="clear" w:color="auto" w:fill="77C483"/>
          </w:tcPr>
          <w:p>
            <w:pPr>
              <w:spacing w:after="0"/>
              <w:rPr>
                <w:sz w:val="12"/>
                <w:szCs w:val="12"/>
                <w:color w:val="auto"/>
              </w:rPr>
            </w:pPr>
          </w:p>
        </w:tc>
        <w:tc>
          <w:tcPr>
            <w:tcW w:w="860" w:type="dxa"/>
            <w:vAlign w:val="bottom"/>
            <w:shd w:val="clear" w:color="auto" w:fill="77C483"/>
          </w:tcPr>
          <w:p>
            <w:pPr>
              <w:spacing w:after="0"/>
              <w:rPr>
                <w:sz w:val="12"/>
                <w:szCs w:val="12"/>
                <w:color w:val="auto"/>
              </w:rPr>
            </w:pPr>
          </w:p>
        </w:tc>
        <w:tc>
          <w:tcPr>
            <w:tcW w:w="40" w:type="dxa"/>
            <w:vAlign w:val="bottom"/>
            <w:shd w:val="clear" w:color="auto" w:fill="77C483"/>
          </w:tcPr>
          <w:p>
            <w:pPr>
              <w:spacing w:after="0"/>
              <w:rPr>
                <w:sz w:val="12"/>
                <w:szCs w:val="12"/>
                <w:color w:val="auto"/>
              </w:rPr>
            </w:pPr>
          </w:p>
        </w:tc>
        <w:tc>
          <w:tcPr>
            <w:tcW w:w="1380" w:type="dxa"/>
            <w:vAlign w:val="bottom"/>
            <w:gridSpan w:val="5"/>
            <w:shd w:val="clear" w:color="auto" w:fill="77C483"/>
          </w:tcPr>
          <w:p>
            <w:pPr>
              <w:ind w:left="20"/>
              <w:spacing w:after="0"/>
              <w:rPr>
                <w:sz w:val="20"/>
                <w:szCs w:val="20"/>
                <w:color w:val="auto"/>
              </w:rPr>
            </w:pPr>
            <w:r>
              <w:rPr>
                <w:rFonts w:ascii="Arial" w:cs="Arial" w:eastAsia="Arial" w:hAnsi="Arial"/>
                <w:sz w:val="10"/>
                <w:szCs w:val="10"/>
                <w:b w:val="1"/>
                <w:bCs w:val="1"/>
                <w:color w:val="003551"/>
              </w:rPr>
              <w:t>Investment Based on:</w:t>
            </w:r>
          </w:p>
        </w:tc>
        <w:tc>
          <w:tcPr>
            <w:tcW w:w="40" w:type="dxa"/>
            <w:vAlign w:val="bottom"/>
            <w:shd w:val="clear" w:color="auto" w:fill="77C483"/>
          </w:tcPr>
          <w:p>
            <w:pPr>
              <w:spacing w:after="0"/>
              <w:rPr>
                <w:sz w:val="12"/>
                <w:szCs w:val="12"/>
                <w:color w:val="auto"/>
              </w:rPr>
            </w:pPr>
          </w:p>
        </w:tc>
        <w:tc>
          <w:tcPr>
            <w:tcW w:w="380" w:type="dxa"/>
            <w:vAlign w:val="bottom"/>
            <w:shd w:val="clear" w:color="auto" w:fill="77C483"/>
          </w:tcPr>
          <w:p>
            <w:pPr>
              <w:spacing w:after="0"/>
              <w:rPr>
                <w:sz w:val="12"/>
                <w:szCs w:val="12"/>
                <w:color w:val="auto"/>
              </w:rPr>
            </w:pPr>
          </w:p>
        </w:tc>
        <w:tc>
          <w:tcPr>
            <w:tcW w:w="80" w:type="dxa"/>
            <w:vAlign w:val="bottom"/>
            <w:shd w:val="clear" w:color="auto" w:fill="77C483"/>
          </w:tcPr>
          <w:p>
            <w:pPr>
              <w:spacing w:after="0"/>
              <w:rPr>
                <w:sz w:val="12"/>
                <w:szCs w:val="12"/>
                <w:color w:val="auto"/>
              </w:rPr>
            </w:pPr>
          </w:p>
        </w:tc>
        <w:tc>
          <w:tcPr>
            <w:tcW w:w="700" w:type="dxa"/>
            <w:vAlign w:val="bottom"/>
            <w:shd w:val="clear" w:color="auto" w:fill="77C483"/>
          </w:tcPr>
          <w:p>
            <w:pPr>
              <w:spacing w:after="0"/>
              <w:rPr>
                <w:sz w:val="12"/>
                <w:szCs w:val="12"/>
                <w:color w:val="auto"/>
              </w:rPr>
            </w:pPr>
          </w:p>
        </w:tc>
      </w:tr>
      <w:tr>
        <w:trPr>
          <w:trHeight w:val="119"/>
        </w:trPr>
        <w:tc>
          <w:tcPr>
            <w:tcW w:w="500" w:type="dxa"/>
            <w:vAlign w:val="bottom"/>
            <w:tcBorders>
              <w:bottom w:val="single" w:sz="8" w:color="77C483"/>
            </w:tcBorders>
            <w:shd w:val="clear" w:color="auto" w:fill="77C483"/>
          </w:tcPr>
          <w:p>
            <w:pPr>
              <w:spacing w:after="0"/>
              <w:rPr>
                <w:sz w:val="10"/>
                <w:szCs w:val="10"/>
                <w:color w:val="auto"/>
              </w:rPr>
            </w:pPr>
          </w:p>
        </w:tc>
        <w:tc>
          <w:tcPr>
            <w:tcW w:w="60" w:type="dxa"/>
            <w:vAlign w:val="bottom"/>
            <w:tcBorders>
              <w:bottom w:val="single" w:sz="8" w:color="77C483"/>
            </w:tcBorders>
            <w:shd w:val="clear" w:color="auto" w:fill="77C483"/>
          </w:tcPr>
          <w:p>
            <w:pPr>
              <w:spacing w:after="0"/>
              <w:rPr>
                <w:sz w:val="10"/>
                <w:szCs w:val="10"/>
                <w:color w:val="auto"/>
              </w:rPr>
            </w:pPr>
          </w:p>
        </w:tc>
        <w:tc>
          <w:tcPr>
            <w:tcW w:w="740" w:type="dxa"/>
            <w:vAlign w:val="bottom"/>
            <w:tcBorders>
              <w:bottom w:val="single" w:sz="8" w:color="77C483"/>
            </w:tcBorders>
            <w:shd w:val="clear" w:color="auto" w:fill="77C483"/>
          </w:tcPr>
          <w:p>
            <w:pPr>
              <w:spacing w:after="0"/>
              <w:rPr>
                <w:sz w:val="10"/>
                <w:szCs w:val="10"/>
                <w:color w:val="auto"/>
              </w:rPr>
            </w:pPr>
          </w:p>
        </w:tc>
        <w:tc>
          <w:tcPr>
            <w:tcW w:w="80" w:type="dxa"/>
            <w:vAlign w:val="bottom"/>
            <w:tcBorders>
              <w:bottom w:val="single" w:sz="8" w:color="77C483"/>
            </w:tcBorders>
            <w:shd w:val="clear" w:color="auto" w:fill="77C483"/>
          </w:tcPr>
          <w:p>
            <w:pPr>
              <w:spacing w:after="0"/>
              <w:rPr>
                <w:sz w:val="10"/>
                <w:szCs w:val="10"/>
                <w:color w:val="auto"/>
              </w:rPr>
            </w:pPr>
          </w:p>
        </w:tc>
        <w:tc>
          <w:tcPr>
            <w:tcW w:w="740" w:type="dxa"/>
            <w:vAlign w:val="bottom"/>
            <w:tcBorders>
              <w:bottom w:val="single" w:sz="8" w:color="77C483"/>
            </w:tcBorders>
            <w:shd w:val="clear" w:color="auto" w:fill="77C483"/>
          </w:tcPr>
          <w:p>
            <w:pPr>
              <w:spacing w:after="0"/>
              <w:rPr>
                <w:sz w:val="10"/>
                <w:szCs w:val="10"/>
                <w:color w:val="auto"/>
              </w:rPr>
            </w:pPr>
          </w:p>
        </w:tc>
        <w:tc>
          <w:tcPr>
            <w:tcW w:w="80" w:type="dxa"/>
            <w:vAlign w:val="bottom"/>
            <w:tcBorders>
              <w:bottom w:val="single" w:sz="8" w:color="77C483"/>
            </w:tcBorders>
            <w:shd w:val="clear" w:color="auto" w:fill="77C483"/>
          </w:tcPr>
          <w:p>
            <w:pPr>
              <w:spacing w:after="0"/>
              <w:rPr>
                <w:sz w:val="10"/>
                <w:szCs w:val="10"/>
                <w:color w:val="auto"/>
              </w:rPr>
            </w:pPr>
          </w:p>
        </w:tc>
        <w:tc>
          <w:tcPr>
            <w:tcW w:w="720" w:type="dxa"/>
            <w:vAlign w:val="bottom"/>
            <w:tcBorders>
              <w:bottom w:val="single" w:sz="8" w:color="77C483"/>
            </w:tcBorders>
            <w:shd w:val="clear" w:color="auto" w:fill="77C483"/>
          </w:tcPr>
          <w:p>
            <w:pPr>
              <w:spacing w:after="0"/>
              <w:rPr>
                <w:sz w:val="10"/>
                <w:szCs w:val="10"/>
                <w:color w:val="auto"/>
              </w:rPr>
            </w:pPr>
          </w:p>
        </w:tc>
        <w:tc>
          <w:tcPr>
            <w:tcW w:w="80" w:type="dxa"/>
            <w:vAlign w:val="bottom"/>
            <w:tcBorders>
              <w:bottom w:val="single" w:sz="8" w:color="77C483"/>
            </w:tcBorders>
            <w:shd w:val="clear" w:color="auto" w:fill="77C483"/>
          </w:tcPr>
          <w:p>
            <w:pPr>
              <w:spacing w:after="0"/>
              <w:rPr>
                <w:sz w:val="10"/>
                <w:szCs w:val="10"/>
                <w:color w:val="auto"/>
              </w:rPr>
            </w:pPr>
          </w:p>
        </w:tc>
        <w:tc>
          <w:tcPr>
            <w:tcW w:w="760" w:type="dxa"/>
            <w:vAlign w:val="bottom"/>
            <w:tcBorders>
              <w:bottom w:val="single" w:sz="8" w:color="77C483"/>
            </w:tcBorders>
            <w:shd w:val="clear" w:color="auto" w:fill="77C483"/>
          </w:tcPr>
          <w:p>
            <w:pPr>
              <w:spacing w:after="0"/>
              <w:rPr>
                <w:sz w:val="10"/>
                <w:szCs w:val="10"/>
                <w:color w:val="auto"/>
              </w:rPr>
            </w:pPr>
          </w:p>
        </w:tc>
        <w:tc>
          <w:tcPr>
            <w:tcW w:w="920" w:type="dxa"/>
            <w:vAlign w:val="bottom"/>
            <w:tcBorders>
              <w:bottom w:val="single" w:sz="8" w:color="77C483"/>
            </w:tcBorders>
            <w:gridSpan w:val="2"/>
            <w:shd w:val="clear" w:color="auto" w:fill="77C483"/>
          </w:tcPr>
          <w:p>
            <w:pPr>
              <w:ind w:left="60"/>
              <w:spacing w:after="0" w:line="99" w:lineRule="exact"/>
              <w:rPr>
                <w:sz w:val="20"/>
                <w:szCs w:val="20"/>
                <w:color w:val="auto"/>
              </w:rPr>
            </w:pPr>
            <w:r>
              <w:rPr>
                <w:rFonts w:ascii="Arial" w:cs="Arial" w:eastAsia="Arial" w:hAnsi="Arial"/>
                <w:sz w:val="10"/>
                <w:szCs w:val="10"/>
                <w:b w:val="1"/>
                <w:bCs w:val="1"/>
                <w:color w:val="003551"/>
              </w:rPr>
              <w:t>Average</w:t>
            </w:r>
          </w:p>
        </w:tc>
        <w:tc>
          <w:tcPr>
            <w:tcW w:w="80" w:type="dxa"/>
            <w:vAlign w:val="bottom"/>
            <w:tcBorders>
              <w:bottom w:val="single" w:sz="8" w:color="77C483"/>
            </w:tcBorders>
            <w:shd w:val="clear" w:color="auto" w:fill="77C483"/>
          </w:tcPr>
          <w:p>
            <w:pPr>
              <w:spacing w:after="0"/>
              <w:rPr>
                <w:sz w:val="10"/>
                <w:szCs w:val="10"/>
                <w:color w:val="auto"/>
              </w:rPr>
            </w:pPr>
          </w:p>
        </w:tc>
        <w:tc>
          <w:tcPr>
            <w:tcW w:w="860" w:type="dxa"/>
            <w:vAlign w:val="bottom"/>
            <w:tcBorders>
              <w:bottom w:val="single" w:sz="8" w:color="77C483"/>
            </w:tcBorders>
            <w:shd w:val="clear" w:color="auto" w:fill="77C483"/>
          </w:tcPr>
          <w:p>
            <w:pPr>
              <w:spacing w:after="0"/>
              <w:rPr>
                <w:sz w:val="10"/>
                <w:szCs w:val="10"/>
                <w:color w:val="auto"/>
              </w:rPr>
            </w:pPr>
          </w:p>
        </w:tc>
        <w:tc>
          <w:tcPr>
            <w:tcW w:w="40" w:type="dxa"/>
            <w:vAlign w:val="bottom"/>
            <w:tcBorders>
              <w:bottom w:val="single" w:sz="8" w:color="77C483"/>
            </w:tcBorders>
            <w:shd w:val="clear" w:color="auto" w:fill="77C483"/>
          </w:tcPr>
          <w:p>
            <w:pPr>
              <w:spacing w:after="0"/>
              <w:rPr>
                <w:sz w:val="10"/>
                <w:szCs w:val="10"/>
                <w:color w:val="auto"/>
              </w:rPr>
            </w:pPr>
          </w:p>
        </w:tc>
        <w:tc>
          <w:tcPr>
            <w:tcW w:w="40" w:type="dxa"/>
            <w:vAlign w:val="bottom"/>
            <w:tcBorders>
              <w:bottom w:val="single" w:sz="8" w:color="003551"/>
            </w:tcBorders>
            <w:shd w:val="clear" w:color="auto" w:fill="77C483"/>
          </w:tcPr>
          <w:p>
            <w:pPr>
              <w:spacing w:after="0"/>
              <w:rPr>
                <w:sz w:val="10"/>
                <w:szCs w:val="10"/>
                <w:color w:val="auto"/>
              </w:rPr>
            </w:pPr>
          </w:p>
        </w:tc>
        <w:tc>
          <w:tcPr>
            <w:tcW w:w="600" w:type="dxa"/>
            <w:vAlign w:val="bottom"/>
            <w:tcBorders>
              <w:bottom w:val="single" w:sz="8" w:color="003551"/>
            </w:tcBorders>
            <w:shd w:val="clear" w:color="auto" w:fill="77C483"/>
          </w:tcPr>
          <w:p>
            <w:pPr>
              <w:spacing w:after="0"/>
              <w:rPr>
                <w:sz w:val="10"/>
                <w:szCs w:val="10"/>
                <w:color w:val="auto"/>
              </w:rPr>
            </w:pPr>
          </w:p>
        </w:tc>
        <w:tc>
          <w:tcPr>
            <w:tcW w:w="80" w:type="dxa"/>
            <w:vAlign w:val="bottom"/>
            <w:tcBorders>
              <w:bottom w:val="single" w:sz="8" w:color="003551"/>
            </w:tcBorders>
            <w:shd w:val="clear" w:color="auto" w:fill="77C483"/>
          </w:tcPr>
          <w:p>
            <w:pPr>
              <w:spacing w:after="0"/>
              <w:rPr>
                <w:sz w:val="10"/>
                <w:szCs w:val="10"/>
                <w:color w:val="auto"/>
              </w:rPr>
            </w:pPr>
          </w:p>
        </w:tc>
        <w:tc>
          <w:tcPr>
            <w:tcW w:w="620" w:type="dxa"/>
            <w:vAlign w:val="bottom"/>
            <w:tcBorders>
              <w:bottom w:val="single" w:sz="8" w:color="003551"/>
            </w:tcBorders>
            <w:shd w:val="clear" w:color="auto" w:fill="77C483"/>
          </w:tcPr>
          <w:p>
            <w:pPr>
              <w:spacing w:after="0"/>
              <w:rPr>
                <w:sz w:val="10"/>
                <w:szCs w:val="10"/>
                <w:color w:val="auto"/>
              </w:rPr>
            </w:pPr>
          </w:p>
        </w:tc>
        <w:tc>
          <w:tcPr>
            <w:tcW w:w="40" w:type="dxa"/>
            <w:vAlign w:val="bottom"/>
            <w:tcBorders>
              <w:bottom w:val="single" w:sz="8" w:color="003551"/>
            </w:tcBorders>
            <w:shd w:val="clear" w:color="auto" w:fill="77C483"/>
          </w:tcPr>
          <w:p>
            <w:pPr>
              <w:spacing w:after="0"/>
              <w:rPr>
                <w:sz w:val="10"/>
                <w:szCs w:val="10"/>
                <w:color w:val="auto"/>
              </w:rPr>
            </w:pPr>
          </w:p>
        </w:tc>
        <w:tc>
          <w:tcPr>
            <w:tcW w:w="40" w:type="dxa"/>
            <w:vAlign w:val="bottom"/>
            <w:tcBorders>
              <w:bottom w:val="single" w:sz="8" w:color="77C483"/>
            </w:tcBorders>
            <w:shd w:val="clear" w:color="auto" w:fill="77C483"/>
          </w:tcPr>
          <w:p>
            <w:pPr>
              <w:spacing w:after="0"/>
              <w:rPr>
                <w:sz w:val="10"/>
                <w:szCs w:val="10"/>
                <w:color w:val="auto"/>
              </w:rPr>
            </w:pPr>
          </w:p>
        </w:tc>
        <w:tc>
          <w:tcPr>
            <w:tcW w:w="380" w:type="dxa"/>
            <w:vAlign w:val="bottom"/>
            <w:tcBorders>
              <w:bottom w:val="single" w:sz="8" w:color="77C483"/>
            </w:tcBorders>
            <w:shd w:val="clear" w:color="auto" w:fill="77C483"/>
          </w:tcPr>
          <w:p>
            <w:pPr>
              <w:spacing w:after="0"/>
              <w:rPr>
                <w:sz w:val="10"/>
                <w:szCs w:val="10"/>
                <w:color w:val="auto"/>
              </w:rPr>
            </w:pPr>
          </w:p>
        </w:tc>
        <w:tc>
          <w:tcPr>
            <w:tcW w:w="780" w:type="dxa"/>
            <w:vAlign w:val="bottom"/>
            <w:tcBorders>
              <w:bottom w:val="single" w:sz="8" w:color="77C483"/>
            </w:tcBorders>
            <w:gridSpan w:val="2"/>
            <w:shd w:val="clear" w:color="auto" w:fill="77C483"/>
          </w:tcPr>
          <w:p>
            <w:pPr>
              <w:ind w:left="80"/>
              <w:spacing w:after="0" w:line="99" w:lineRule="exact"/>
              <w:rPr>
                <w:sz w:val="20"/>
                <w:szCs w:val="20"/>
                <w:color w:val="auto"/>
              </w:rPr>
            </w:pPr>
            <w:r>
              <w:rPr>
                <w:rFonts w:ascii="Arial" w:cs="Arial" w:eastAsia="Arial" w:hAnsi="Arial"/>
                <w:sz w:val="10"/>
                <w:szCs w:val="10"/>
                <w:b w:val="1"/>
                <w:bCs w:val="1"/>
                <w:color w:val="003551"/>
              </w:rPr>
              <w:t>Company</w:t>
            </w:r>
          </w:p>
        </w:tc>
      </w:tr>
      <w:tr>
        <w:trPr>
          <w:trHeight w:val="111"/>
        </w:trPr>
        <w:tc>
          <w:tcPr>
            <w:tcW w:w="500" w:type="dxa"/>
            <w:vAlign w:val="bottom"/>
            <w:shd w:val="clear" w:color="auto" w:fill="77C483"/>
          </w:tcPr>
          <w:p>
            <w:pPr>
              <w:spacing w:after="0"/>
              <w:rPr>
                <w:sz w:val="9"/>
                <w:szCs w:val="9"/>
                <w:color w:val="auto"/>
              </w:rPr>
            </w:pPr>
          </w:p>
        </w:tc>
        <w:tc>
          <w:tcPr>
            <w:tcW w:w="60" w:type="dxa"/>
            <w:vAlign w:val="bottom"/>
            <w:shd w:val="clear" w:color="auto" w:fill="77C483"/>
          </w:tcPr>
          <w:p>
            <w:pPr>
              <w:spacing w:after="0"/>
              <w:rPr>
                <w:sz w:val="9"/>
                <w:szCs w:val="9"/>
                <w:color w:val="auto"/>
              </w:rPr>
            </w:pPr>
          </w:p>
        </w:tc>
        <w:tc>
          <w:tcPr>
            <w:tcW w:w="740" w:type="dxa"/>
            <w:vAlign w:val="bottom"/>
            <w:shd w:val="clear" w:color="auto" w:fill="77C483"/>
          </w:tcPr>
          <w:p>
            <w:pPr>
              <w:spacing w:after="0" w:line="111" w:lineRule="exact"/>
              <w:rPr>
                <w:sz w:val="20"/>
                <w:szCs w:val="20"/>
                <w:color w:val="auto"/>
              </w:rPr>
            </w:pPr>
            <w:r>
              <w:rPr>
                <w:rFonts w:ascii="Arial" w:cs="Arial" w:eastAsia="Arial" w:hAnsi="Arial"/>
                <w:sz w:val="10"/>
                <w:szCs w:val="10"/>
                <w:b w:val="1"/>
                <w:bCs w:val="1"/>
                <w:color w:val="003551"/>
              </w:rPr>
              <w:t>Summary</w:t>
            </w:r>
          </w:p>
        </w:tc>
        <w:tc>
          <w:tcPr>
            <w:tcW w:w="820" w:type="dxa"/>
            <w:vAlign w:val="bottom"/>
            <w:gridSpan w:val="2"/>
            <w:shd w:val="clear" w:color="auto" w:fill="77C483"/>
          </w:tcPr>
          <w:p>
            <w:pPr>
              <w:ind w:left="80"/>
              <w:spacing w:after="0" w:line="111" w:lineRule="exact"/>
              <w:rPr>
                <w:sz w:val="20"/>
                <w:szCs w:val="20"/>
                <w:color w:val="auto"/>
              </w:rPr>
            </w:pPr>
            <w:r>
              <w:rPr>
                <w:rFonts w:ascii="Arial" w:cs="Arial" w:eastAsia="Arial" w:hAnsi="Arial"/>
                <w:sz w:val="10"/>
                <w:szCs w:val="10"/>
                <w:b w:val="1"/>
                <w:bCs w:val="1"/>
                <w:color w:val="003551"/>
              </w:rPr>
              <w:t>Summary</w:t>
            </w:r>
          </w:p>
        </w:tc>
        <w:tc>
          <w:tcPr>
            <w:tcW w:w="80" w:type="dxa"/>
            <w:vAlign w:val="bottom"/>
            <w:shd w:val="clear" w:color="auto" w:fill="77C483"/>
          </w:tcPr>
          <w:p>
            <w:pPr>
              <w:spacing w:after="0"/>
              <w:rPr>
                <w:sz w:val="9"/>
                <w:szCs w:val="9"/>
                <w:color w:val="auto"/>
              </w:rPr>
            </w:pPr>
          </w:p>
        </w:tc>
        <w:tc>
          <w:tcPr>
            <w:tcW w:w="720" w:type="dxa"/>
            <w:vAlign w:val="bottom"/>
            <w:shd w:val="clear" w:color="auto" w:fill="77C483"/>
          </w:tcPr>
          <w:p>
            <w:pPr>
              <w:spacing w:after="0"/>
              <w:rPr>
                <w:sz w:val="9"/>
                <w:szCs w:val="9"/>
                <w:color w:val="auto"/>
              </w:rPr>
            </w:pPr>
          </w:p>
        </w:tc>
        <w:tc>
          <w:tcPr>
            <w:tcW w:w="840" w:type="dxa"/>
            <w:vAlign w:val="bottom"/>
            <w:gridSpan w:val="2"/>
            <w:shd w:val="clear" w:color="auto" w:fill="77C483"/>
          </w:tcPr>
          <w:p>
            <w:pPr>
              <w:ind w:left="80"/>
              <w:spacing w:after="0" w:line="111" w:lineRule="exact"/>
              <w:rPr>
                <w:sz w:val="20"/>
                <w:szCs w:val="20"/>
                <w:color w:val="auto"/>
              </w:rPr>
            </w:pPr>
            <w:r>
              <w:rPr>
                <w:rFonts w:ascii="Arial" w:cs="Arial" w:eastAsia="Arial" w:hAnsi="Arial"/>
                <w:sz w:val="10"/>
                <w:szCs w:val="10"/>
                <w:b w:val="1"/>
                <w:bCs w:val="1"/>
                <w:color w:val="003551"/>
              </w:rPr>
              <w:t>Compensation</w:t>
            </w:r>
          </w:p>
        </w:tc>
        <w:tc>
          <w:tcPr>
            <w:tcW w:w="920" w:type="dxa"/>
            <w:vAlign w:val="bottom"/>
            <w:gridSpan w:val="2"/>
            <w:shd w:val="clear" w:color="auto" w:fill="77C483"/>
          </w:tcPr>
          <w:p>
            <w:pPr>
              <w:ind w:left="60"/>
              <w:spacing w:after="0" w:line="111" w:lineRule="exact"/>
              <w:rPr>
                <w:sz w:val="20"/>
                <w:szCs w:val="20"/>
                <w:color w:val="auto"/>
              </w:rPr>
            </w:pPr>
            <w:r>
              <w:rPr>
                <w:rFonts w:ascii="Arial" w:cs="Arial" w:eastAsia="Arial" w:hAnsi="Arial"/>
                <w:sz w:val="10"/>
                <w:szCs w:val="10"/>
                <w:b w:val="1"/>
                <w:bCs w:val="1"/>
                <w:color w:val="003551"/>
              </w:rPr>
              <w:t>Summary</w:t>
            </w:r>
          </w:p>
        </w:tc>
        <w:tc>
          <w:tcPr>
            <w:tcW w:w="980" w:type="dxa"/>
            <w:vAlign w:val="bottom"/>
            <w:gridSpan w:val="3"/>
            <w:shd w:val="clear" w:color="auto" w:fill="77C483"/>
          </w:tcPr>
          <w:p>
            <w:pPr>
              <w:ind w:left="80"/>
              <w:spacing w:after="0" w:line="111" w:lineRule="exact"/>
              <w:rPr>
                <w:sz w:val="20"/>
                <w:szCs w:val="20"/>
                <w:color w:val="auto"/>
              </w:rPr>
            </w:pPr>
            <w:r>
              <w:rPr>
                <w:rFonts w:ascii="Arial" w:cs="Arial" w:eastAsia="Arial" w:hAnsi="Arial"/>
                <w:sz w:val="10"/>
                <w:szCs w:val="10"/>
                <w:b w:val="1"/>
                <w:bCs w:val="1"/>
                <w:color w:val="003551"/>
              </w:rPr>
              <w:t>Average</w:t>
            </w:r>
          </w:p>
        </w:tc>
        <w:tc>
          <w:tcPr>
            <w:tcW w:w="40" w:type="dxa"/>
            <w:vAlign w:val="bottom"/>
            <w:shd w:val="clear" w:color="auto" w:fill="77C483"/>
          </w:tcPr>
          <w:p>
            <w:pPr>
              <w:spacing w:after="0"/>
              <w:rPr>
                <w:sz w:val="9"/>
                <w:szCs w:val="9"/>
                <w:color w:val="auto"/>
              </w:rPr>
            </w:pPr>
          </w:p>
        </w:tc>
        <w:tc>
          <w:tcPr>
            <w:tcW w:w="600" w:type="dxa"/>
            <w:vAlign w:val="bottom"/>
            <w:shd w:val="clear" w:color="auto" w:fill="77C483"/>
          </w:tcPr>
          <w:p>
            <w:pPr>
              <w:spacing w:after="0"/>
              <w:rPr>
                <w:sz w:val="9"/>
                <w:szCs w:val="9"/>
                <w:color w:val="auto"/>
              </w:rPr>
            </w:pPr>
          </w:p>
        </w:tc>
        <w:tc>
          <w:tcPr>
            <w:tcW w:w="80" w:type="dxa"/>
            <w:vAlign w:val="bottom"/>
            <w:shd w:val="clear" w:color="auto" w:fill="77C483"/>
          </w:tcPr>
          <w:p>
            <w:pPr>
              <w:spacing w:after="0"/>
              <w:rPr>
                <w:sz w:val="9"/>
                <w:szCs w:val="9"/>
                <w:color w:val="auto"/>
              </w:rPr>
            </w:pPr>
          </w:p>
        </w:tc>
        <w:tc>
          <w:tcPr>
            <w:tcW w:w="620" w:type="dxa"/>
            <w:vAlign w:val="bottom"/>
            <w:shd w:val="clear" w:color="auto" w:fill="77C483"/>
          </w:tcPr>
          <w:p>
            <w:pPr>
              <w:spacing w:after="0"/>
              <w:rPr>
                <w:sz w:val="9"/>
                <w:szCs w:val="9"/>
                <w:color w:val="auto"/>
              </w:rPr>
            </w:pPr>
          </w:p>
        </w:tc>
        <w:tc>
          <w:tcPr>
            <w:tcW w:w="40" w:type="dxa"/>
            <w:vAlign w:val="bottom"/>
            <w:shd w:val="clear" w:color="auto" w:fill="77C483"/>
          </w:tcPr>
          <w:p>
            <w:pPr>
              <w:spacing w:after="0"/>
              <w:rPr>
                <w:sz w:val="9"/>
                <w:szCs w:val="9"/>
                <w:color w:val="auto"/>
              </w:rPr>
            </w:pPr>
          </w:p>
        </w:tc>
        <w:tc>
          <w:tcPr>
            <w:tcW w:w="40" w:type="dxa"/>
            <w:vAlign w:val="bottom"/>
            <w:shd w:val="clear" w:color="auto" w:fill="77C483"/>
          </w:tcPr>
          <w:p>
            <w:pPr>
              <w:spacing w:after="0"/>
              <w:rPr>
                <w:sz w:val="9"/>
                <w:szCs w:val="9"/>
                <w:color w:val="auto"/>
              </w:rPr>
            </w:pPr>
          </w:p>
        </w:tc>
        <w:tc>
          <w:tcPr>
            <w:tcW w:w="380" w:type="dxa"/>
            <w:vAlign w:val="bottom"/>
            <w:shd w:val="clear" w:color="auto" w:fill="77C483"/>
          </w:tcPr>
          <w:p>
            <w:pPr>
              <w:spacing w:after="0"/>
              <w:rPr>
                <w:sz w:val="9"/>
                <w:szCs w:val="9"/>
                <w:color w:val="auto"/>
              </w:rPr>
            </w:pPr>
          </w:p>
        </w:tc>
        <w:tc>
          <w:tcPr>
            <w:tcW w:w="780" w:type="dxa"/>
            <w:vAlign w:val="bottom"/>
            <w:gridSpan w:val="2"/>
            <w:shd w:val="clear" w:color="auto" w:fill="77C483"/>
          </w:tcPr>
          <w:p>
            <w:pPr>
              <w:ind w:left="80"/>
              <w:spacing w:after="0" w:line="111" w:lineRule="exact"/>
              <w:rPr>
                <w:sz w:val="20"/>
                <w:szCs w:val="20"/>
                <w:color w:val="auto"/>
              </w:rPr>
            </w:pPr>
            <w:r>
              <w:rPr>
                <w:rFonts w:ascii="Arial" w:cs="Arial" w:eastAsia="Arial" w:hAnsi="Arial"/>
                <w:sz w:val="10"/>
                <w:szCs w:val="10"/>
                <w:b w:val="1"/>
                <w:bCs w:val="1"/>
                <w:color w:val="003551"/>
              </w:rPr>
              <w:t>Selected</w:t>
            </w:r>
          </w:p>
        </w:tc>
      </w:tr>
      <w:tr>
        <w:trPr>
          <w:trHeight w:val="118"/>
        </w:trPr>
        <w:tc>
          <w:tcPr>
            <w:tcW w:w="500" w:type="dxa"/>
            <w:vAlign w:val="bottom"/>
            <w:shd w:val="clear" w:color="auto" w:fill="77C483"/>
          </w:tcPr>
          <w:p>
            <w:pPr>
              <w:spacing w:after="0"/>
              <w:rPr>
                <w:sz w:val="10"/>
                <w:szCs w:val="10"/>
                <w:color w:val="auto"/>
              </w:rPr>
            </w:pPr>
          </w:p>
        </w:tc>
        <w:tc>
          <w:tcPr>
            <w:tcW w:w="60" w:type="dxa"/>
            <w:vAlign w:val="bottom"/>
            <w:shd w:val="clear" w:color="auto" w:fill="77C483"/>
          </w:tcPr>
          <w:p>
            <w:pPr>
              <w:spacing w:after="0"/>
              <w:rPr>
                <w:sz w:val="10"/>
                <w:szCs w:val="10"/>
                <w:color w:val="auto"/>
              </w:rPr>
            </w:pPr>
          </w:p>
        </w:tc>
        <w:tc>
          <w:tcPr>
            <w:tcW w:w="740" w:type="dxa"/>
            <w:vAlign w:val="bottom"/>
            <w:shd w:val="clear" w:color="auto" w:fill="77C483"/>
          </w:tcPr>
          <w:p>
            <w:pPr>
              <w:spacing w:after="0"/>
              <w:rPr>
                <w:sz w:val="20"/>
                <w:szCs w:val="20"/>
                <w:color w:val="auto"/>
              </w:rPr>
            </w:pPr>
            <w:r>
              <w:rPr>
                <w:rFonts w:ascii="Arial" w:cs="Arial" w:eastAsia="Arial" w:hAnsi="Arial"/>
                <w:sz w:val="10"/>
                <w:szCs w:val="10"/>
                <w:b w:val="1"/>
                <w:bCs w:val="1"/>
                <w:color w:val="003551"/>
              </w:rPr>
              <w:t>Compensation</w:t>
            </w:r>
          </w:p>
        </w:tc>
        <w:tc>
          <w:tcPr>
            <w:tcW w:w="820" w:type="dxa"/>
            <w:vAlign w:val="bottom"/>
            <w:gridSpan w:val="2"/>
            <w:shd w:val="clear" w:color="auto" w:fill="77C483"/>
          </w:tcPr>
          <w:p>
            <w:pPr>
              <w:ind w:left="80"/>
              <w:spacing w:after="0"/>
              <w:rPr>
                <w:sz w:val="20"/>
                <w:szCs w:val="20"/>
                <w:color w:val="auto"/>
              </w:rPr>
            </w:pPr>
            <w:r>
              <w:rPr>
                <w:rFonts w:ascii="Arial" w:cs="Arial" w:eastAsia="Arial" w:hAnsi="Arial"/>
                <w:sz w:val="10"/>
                <w:szCs w:val="10"/>
                <w:b w:val="1"/>
                <w:bCs w:val="1"/>
                <w:color w:val="003551"/>
              </w:rPr>
              <w:t>Compensation</w:t>
            </w:r>
          </w:p>
        </w:tc>
        <w:tc>
          <w:tcPr>
            <w:tcW w:w="800" w:type="dxa"/>
            <w:vAlign w:val="bottom"/>
            <w:gridSpan w:val="2"/>
            <w:shd w:val="clear" w:color="auto" w:fill="77C483"/>
          </w:tcPr>
          <w:p>
            <w:pPr>
              <w:ind w:left="80"/>
              <w:spacing w:after="0"/>
              <w:rPr>
                <w:sz w:val="20"/>
                <w:szCs w:val="20"/>
                <w:color w:val="auto"/>
              </w:rPr>
            </w:pPr>
            <w:r>
              <w:rPr>
                <w:rFonts w:ascii="Arial" w:cs="Arial" w:eastAsia="Arial" w:hAnsi="Arial"/>
                <w:sz w:val="10"/>
                <w:szCs w:val="10"/>
                <w:b w:val="1"/>
                <w:bCs w:val="1"/>
                <w:color w:val="003551"/>
              </w:rPr>
              <w:t>Compensation</w:t>
            </w:r>
          </w:p>
        </w:tc>
        <w:tc>
          <w:tcPr>
            <w:tcW w:w="840" w:type="dxa"/>
            <w:vAlign w:val="bottom"/>
            <w:gridSpan w:val="2"/>
            <w:shd w:val="clear" w:color="auto" w:fill="77C483"/>
          </w:tcPr>
          <w:p>
            <w:pPr>
              <w:ind w:left="80"/>
              <w:spacing w:after="0"/>
              <w:rPr>
                <w:sz w:val="20"/>
                <w:szCs w:val="20"/>
                <w:color w:val="auto"/>
              </w:rPr>
            </w:pPr>
            <w:r>
              <w:rPr>
                <w:rFonts w:ascii="Arial" w:cs="Arial" w:eastAsia="Arial" w:hAnsi="Arial"/>
                <w:sz w:val="10"/>
                <w:szCs w:val="10"/>
                <w:b w:val="1"/>
                <w:bCs w:val="1"/>
                <w:color w:val="003551"/>
              </w:rPr>
              <w:t>Actually Paid</w:t>
            </w:r>
          </w:p>
        </w:tc>
        <w:tc>
          <w:tcPr>
            <w:tcW w:w="920" w:type="dxa"/>
            <w:vAlign w:val="bottom"/>
            <w:gridSpan w:val="2"/>
            <w:shd w:val="clear" w:color="auto" w:fill="77C483"/>
          </w:tcPr>
          <w:p>
            <w:pPr>
              <w:ind w:left="60"/>
              <w:spacing w:after="0"/>
              <w:rPr>
                <w:sz w:val="20"/>
                <w:szCs w:val="20"/>
                <w:color w:val="auto"/>
              </w:rPr>
            </w:pPr>
            <w:r>
              <w:rPr>
                <w:rFonts w:ascii="Arial" w:cs="Arial" w:eastAsia="Arial" w:hAnsi="Arial"/>
                <w:sz w:val="10"/>
                <w:szCs w:val="10"/>
                <w:b w:val="1"/>
                <w:bCs w:val="1"/>
                <w:color w:val="003551"/>
              </w:rPr>
              <w:t>Compensation</w:t>
            </w:r>
          </w:p>
        </w:tc>
        <w:tc>
          <w:tcPr>
            <w:tcW w:w="980" w:type="dxa"/>
            <w:vAlign w:val="bottom"/>
            <w:gridSpan w:val="3"/>
            <w:shd w:val="clear" w:color="auto" w:fill="77C483"/>
          </w:tcPr>
          <w:p>
            <w:pPr>
              <w:ind w:left="80"/>
              <w:spacing w:after="0"/>
              <w:rPr>
                <w:sz w:val="20"/>
                <w:szCs w:val="20"/>
                <w:color w:val="auto"/>
              </w:rPr>
            </w:pPr>
            <w:r>
              <w:rPr>
                <w:rFonts w:ascii="Arial" w:cs="Arial" w:eastAsia="Arial" w:hAnsi="Arial"/>
                <w:sz w:val="10"/>
                <w:szCs w:val="10"/>
                <w:b w:val="1"/>
                <w:bCs w:val="1"/>
                <w:color w:val="003551"/>
              </w:rPr>
              <w:t>Compensation</w:t>
            </w:r>
          </w:p>
        </w:tc>
        <w:tc>
          <w:tcPr>
            <w:tcW w:w="640" w:type="dxa"/>
            <w:vAlign w:val="bottom"/>
            <w:gridSpan w:val="2"/>
            <w:shd w:val="clear" w:color="auto" w:fill="77C483"/>
          </w:tcPr>
          <w:p>
            <w:pPr>
              <w:ind w:left="20"/>
              <w:spacing w:after="0"/>
              <w:rPr>
                <w:sz w:val="20"/>
                <w:szCs w:val="20"/>
                <w:color w:val="auto"/>
              </w:rPr>
            </w:pPr>
            <w:r>
              <w:rPr>
                <w:rFonts w:ascii="Arial" w:cs="Arial" w:eastAsia="Arial" w:hAnsi="Arial"/>
                <w:sz w:val="10"/>
                <w:szCs w:val="10"/>
                <w:b w:val="1"/>
                <w:bCs w:val="1"/>
                <w:color w:val="003551"/>
              </w:rPr>
              <w:t>IREN</w:t>
            </w:r>
          </w:p>
        </w:tc>
        <w:tc>
          <w:tcPr>
            <w:tcW w:w="740" w:type="dxa"/>
            <w:vAlign w:val="bottom"/>
            <w:gridSpan w:val="3"/>
            <w:shd w:val="clear" w:color="auto" w:fill="77C483"/>
          </w:tcPr>
          <w:p>
            <w:pPr>
              <w:ind w:left="80"/>
              <w:spacing w:after="0"/>
              <w:rPr>
                <w:sz w:val="20"/>
                <w:szCs w:val="20"/>
                <w:color w:val="auto"/>
              </w:rPr>
            </w:pPr>
            <w:r>
              <w:rPr>
                <w:rFonts w:ascii="Arial" w:cs="Arial" w:eastAsia="Arial" w:hAnsi="Arial"/>
                <w:sz w:val="10"/>
                <w:szCs w:val="10"/>
                <w:b w:val="1"/>
                <w:bCs w:val="1"/>
                <w:color w:val="003551"/>
              </w:rPr>
              <w:t>Peer Group</w:t>
            </w:r>
          </w:p>
        </w:tc>
        <w:tc>
          <w:tcPr>
            <w:tcW w:w="420" w:type="dxa"/>
            <w:vAlign w:val="bottom"/>
            <w:gridSpan w:val="2"/>
            <w:shd w:val="clear" w:color="auto" w:fill="77C483"/>
          </w:tcPr>
          <w:p>
            <w:pPr>
              <w:ind w:left="40"/>
              <w:spacing w:after="0"/>
              <w:rPr>
                <w:sz w:val="20"/>
                <w:szCs w:val="20"/>
                <w:color w:val="auto"/>
              </w:rPr>
            </w:pPr>
            <w:r>
              <w:rPr>
                <w:rFonts w:ascii="Arial" w:cs="Arial" w:eastAsia="Arial" w:hAnsi="Arial"/>
                <w:sz w:val="10"/>
                <w:szCs w:val="10"/>
                <w:b w:val="1"/>
                <w:bCs w:val="1"/>
                <w:color w:val="003551"/>
              </w:rPr>
              <w:t>GAAP</w:t>
            </w:r>
          </w:p>
        </w:tc>
        <w:tc>
          <w:tcPr>
            <w:tcW w:w="780" w:type="dxa"/>
            <w:vAlign w:val="bottom"/>
            <w:gridSpan w:val="2"/>
            <w:shd w:val="clear" w:color="auto" w:fill="77C483"/>
          </w:tcPr>
          <w:p>
            <w:pPr>
              <w:ind w:left="80"/>
              <w:spacing w:after="0"/>
              <w:rPr>
                <w:sz w:val="20"/>
                <w:szCs w:val="20"/>
                <w:color w:val="auto"/>
              </w:rPr>
            </w:pPr>
            <w:r>
              <w:rPr>
                <w:rFonts w:ascii="Arial" w:cs="Arial" w:eastAsia="Arial" w:hAnsi="Arial"/>
                <w:sz w:val="10"/>
                <w:szCs w:val="10"/>
                <w:b w:val="1"/>
                <w:bCs w:val="1"/>
                <w:color w:val="003551"/>
              </w:rPr>
              <w:t>Measure:</w:t>
            </w:r>
          </w:p>
        </w:tc>
      </w:tr>
      <w:tr>
        <w:trPr>
          <w:trHeight w:val="118"/>
        </w:trPr>
        <w:tc>
          <w:tcPr>
            <w:tcW w:w="500" w:type="dxa"/>
            <w:vAlign w:val="bottom"/>
            <w:shd w:val="clear" w:color="auto" w:fill="77C483"/>
          </w:tcPr>
          <w:p>
            <w:pPr>
              <w:spacing w:after="0"/>
              <w:rPr>
                <w:sz w:val="10"/>
                <w:szCs w:val="10"/>
                <w:color w:val="auto"/>
              </w:rPr>
            </w:pPr>
          </w:p>
        </w:tc>
        <w:tc>
          <w:tcPr>
            <w:tcW w:w="60" w:type="dxa"/>
            <w:vAlign w:val="bottom"/>
            <w:shd w:val="clear" w:color="auto" w:fill="77C483"/>
          </w:tcPr>
          <w:p>
            <w:pPr>
              <w:spacing w:after="0"/>
              <w:rPr>
                <w:sz w:val="10"/>
                <w:szCs w:val="10"/>
                <w:color w:val="auto"/>
              </w:rPr>
            </w:pPr>
          </w:p>
        </w:tc>
        <w:tc>
          <w:tcPr>
            <w:tcW w:w="740" w:type="dxa"/>
            <w:vAlign w:val="bottom"/>
            <w:shd w:val="clear" w:color="auto" w:fill="77C483"/>
          </w:tcPr>
          <w:p>
            <w:pPr>
              <w:spacing w:after="0"/>
              <w:rPr>
                <w:sz w:val="20"/>
                <w:szCs w:val="20"/>
                <w:color w:val="auto"/>
              </w:rPr>
            </w:pPr>
            <w:r>
              <w:rPr>
                <w:rFonts w:ascii="Arial" w:cs="Arial" w:eastAsia="Arial" w:hAnsi="Arial"/>
                <w:sz w:val="10"/>
                <w:szCs w:val="10"/>
                <w:b w:val="1"/>
                <w:bCs w:val="1"/>
                <w:color w:val="003551"/>
              </w:rPr>
              <w:t>Table Total for</w:t>
            </w:r>
          </w:p>
        </w:tc>
        <w:tc>
          <w:tcPr>
            <w:tcW w:w="820" w:type="dxa"/>
            <w:vAlign w:val="bottom"/>
            <w:gridSpan w:val="2"/>
            <w:shd w:val="clear" w:color="auto" w:fill="77C483"/>
          </w:tcPr>
          <w:p>
            <w:pPr>
              <w:ind w:left="80"/>
              <w:spacing w:after="0"/>
              <w:rPr>
                <w:sz w:val="20"/>
                <w:szCs w:val="20"/>
                <w:color w:val="auto"/>
              </w:rPr>
            </w:pPr>
            <w:r>
              <w:rPr>
                <w:rFonts w:ascii="Arial" w:cs="Arial" w:eastAsia="Arial" w:hAnsi="Arial"/>
                <w:sz w:val="10"/>
                <w:szCs w:val="10"/>
                <w:b w:val="1"/>
                <w:bCs w:val="1"/>
                <w:color w:val="003551"/>
              </w:rPr>
              <w:t>Table Total for</w:t>
            </w:r>
          </w:p>
        </w:tc>
        <w:tc>
          <w:tcPr>
            <w:tcW w:w="800" w:type="dxa"/>
            <w:vAlign w:val="bottom"/>
            <w:gridSpan w:val="2"/>
            <w:shd w:val="clear" w:color="auto" w:fill="77C483"/>
          </w:tcPr>
          <w:p>
            <w:pPr>
              <w:ind w:left="80"/>
              <w:spacing w:after="0"/>
              <w:rPr>
                <w:sz w:val="20"/>
                <w:szCs w:val="20"/>
                <w:color w:val="auto"/>
              </w:rPr>
            </w:pPr>
            <w:r>
              <w:rPr>
                <w:rFonts w:ascii="Arial" w:cs="Arial" w:eastAsia="Arial" w:hAnsi="Arial"/>
                <w:sz w:val="10"/>
                <w:szCs w:val="10"/>
                <w:b w:val="1"/>
                <w:bCs w:val="1"/>
                <w:color w:val="003551"/>
              </w:rPr>
              <w:t>Actually Paid</w:t>
            </w:r>
          </w:p>
        </w:tc>
        <w:tc>
          <w:tcPr>
            <w:tcW w:w="840" w:type="dxa"/>
            <w:vAlign w:val="bottom"/>
            <w:gridSpan w:val="2"/>
            <w:shd w:val="clear" w:color="auto" w:fill="77C483"/>
          </w:tcPr>
          <w:p>
            <w:pPr>
              <w:ind w:left="80"/>
              <w:spacing w:after="0"/>
              <w:rPr>
                <w:sz w:val="20"/>
                <w:szCs w:val="20"/>
                <w:color w:val="auto"/>
              </w:rPr>
            </w:pPr>
            <w:r>
              <w:rPr>
                <w:rFonts w:ascii="Arial" w:cs="Arial" w:eastAsia="Arial" w:hAnsi="Arial"/>
                <w:sz w:val="10"/>
                <w:szCs w:val="10"/>
                <w:b w:val="1"/>
                <w:bCs w:val="1"/>
                <w:color w:val="003551"/>
              </w:rPr>
              <w:t>to</w:t>
            </w:r>
          </w:p>
        </w:tc>
        <w:tc>
          <w:tcPr>
            <w:tcW w:w="920" w:type="dxa"/>
            <w:vAlign w:val="bottom"/>
            <w:gridSpan w:val="2"/>
            <w:shd w:val="clear" w:color="auto" w:fill="77C483"/>
          </w:tcPr>
          <w:p>
            <w:pPr>
              <w:ind w:left="60"/>
              <w:spacing w:after="0"/>
              <w:rPr>
                <w:sz w:val="20"/>
                <w:szCs w:val="20"/>
                <w:color w:val="auto"/>
              </w:rPr>
            </w:pPr>
            <w:r>
              <w:rPr>
                <w:rFonts w:ascii="Arial" w:cs="Arial" w:eastAsia="Arial" w:hAnsi="Arial"/>
                <w:sz w:val="10"/>
                <w:szCs w:val="10"/>
                <w:b w:val="1"/>
                <w:bCs w:val="1"/>
                <w:color w:val="003551"/>
              </w:rPr>
              <w:t>Table Total for</w:t>
            </w:r>
          </w:p>
        </w:tc>
        <w:tc>
          <w:tcPr>
            <w:tcW w:w="980" w:type="dxa"/>
            <w:vAlign w:val="bottom"/>
            <w:gridSpan w:val="3"/>
            <w:shd w:val="clear" w:color="auto" w:fill="77C483"/>
          </w:tcPr>
          <w:p>
            <w:pPr>
              <w:ind w:left="80"/>
              <w:spacing w:after="0"/>
              <w:rPr>
                <w:sz w:val="20"/>
                <w:szCs w:val="20"/>
                <w:color w:val="auto"/>
              </w:rPr>
            </w:pPr>
            <w:r>
              <w:rPr>
                <w:rFonts w:ascii="Arial" w:cs="Arial" w:eastAsia="Arial" w:hAnsi="Arial"/>
                <w:sz w:val="10"/>
                <w:szCs w:val="10"/>
                <w:b w:val="1"/>
                <w:bCs w:val="1"/>
                <w:color w:val="003551"/>
              </w:rPr>
              <w:t>Actually Paid to</w:t>
            </w:r>
          </w:p>
        </w:tc>
        <w:tc>
          <w:tcPr>
            <w:tcW w:w="640" w:type="dxa"/>
            <w:vAlign w:val="bottom"/>
            <w:gridSpan w:val="2"/>
            <w:shd w:val="clear" w:color="auto" w:fill="77C483"/>
          </w:tcPr>
          <w:p>
            <w:pPr>
              <w:ind w:left="20"/>
              <w:spacing w:after="0"/>
              <w:rPr>
                <w:sz w:val="20"/>
                <w:szCs w:val="20"/>
                <w:color w:val="auto"/>
              </w:rPr>
            </w:pPr>
            <w:r>
              <w:rPr>
                <w:rFonts w:ascii="Arial" w:cs="Arial" w:eastAsia="Arial" w:hAnsi="Arial"/>
                <w:sz w:val="10"/>
                <w:szCs w:val="10"/>
                <w:b w:val="1"/>
                <w:bCs w:val="1"/>
                <w:color w:val="003551"/>
              </w:rPr>
              <w:t>Total</w:t>
            </w:r>
          </w:p>
        </w:tc>
        <w:tc>
          <w:tcPr>
            <w:tcW w:w="740" w:type="dxa"/>
            <w:vAlign w:val="bottom"/>
            <w:gridSpan w:val="3"/>
            <w:shd w:val="clear" w:color="auto" w:fill="77C483"/>
          </w:tcPr>
          <w:p>
            <w:pPr>
              <w:ind w:left="80"/>
              <w:spacing w:after="0"/>
              <w:rPr>
                <w:sz w:val="20"/>
                <w:szCs w:val="20"/>
                <w:color w:val="auto"/>
              </w:rPr>
            </w:pPr>
            <w:r>
              <w:rPr>
                <w:rFonts w:ascii="Arial" w:cs="Arial" w:eastAsia="Arial" w:hAnsi="Arial"/>
                <w:sz w:val="10"/>
                <w:szCs w:val="10"/>
                <w:b w:val="1"/>
                <w:bCs w:val="1"/>
                <w:color w:val="003551"/>
              </w:rPr>
              <w:t>Total</w:t>
            </w:r>
          </w:p>
        </w:tc>
        <w:tc>
          <w:tcPr>
            <w:tcW w:w="420" w:type="dxa"/>
            <w:vAlign w:val="bottom"/>
            <w:gridSpan w:val="2"/>
            <w:shd w:val="clear" w:color="auto" w:fill="77C483"/>
          </w:tcPr>
          <w:p>
            <w:pPr>
              <w:ind w:left="40"/>
              <w:spacing w:after="0"/>
              <w:rPr>
                <w:sz w:val="20"/>
                <w:szCs w:val="20"/>
                <w:color w:val="auto"/>
              </w:rPr>
            </w:pPr>
            <w:r>
              <w:rPr>
                <w:rFonts w:ascii="Arial" w:cs="Arial" w:eastAsia="Arial" w:hAnsi="Arial"/>
                <w:sz w:val="10"/>
                <w:szCs w:val="10"/>
                <w:b w:val="1"/>
                <w:bCs w:val="1"/>
                <w:color w:val="003551"/>
              </w:rPr>
              <w:t>Net</w:t>
            </w:r>
          </w:p>
        </w:tc>
        <w:tc>
          <w:tcPr>
            <w:tcW w:w="780" w:type="dxa"/>
            <w:vAlign w:val="bottom"/>
            <w:gridSpan w:val="2"/>
            <w:shd w:val="clear" w:color="auto" w:fill="77C483"/>
          </w:tcPr>
          <w:p>
            <w:pPr>
              <w:ind w:left="80"/>
              <w:spacing w:after="0"/>
              <w:rPr>
                <w:sz w:val="20"/>
                <w:szCs w:val="20"/>
                <w:color w:val="auto"/>
              </w:rPr>
            </w:pPr>
            <w:r>
              <w:rPr>
                <w:rFonts w:ascii="Arial" w:cs="Arial" w:eastAsia="Arial" w:hAnsi="Arial"/>
                <w:sz w:val="10"/>
                <w:szCs w:val="10"/>
                <w:b w:val="1"/>
                <w:bCs w:val="1"/>
                <w:color w:val="003551"/>
              </w:rPr>
              <w:t>Share Price</w:t>
            </w:r>
          </w:p>
        </w:tc>
      </w:tr>
      <w:tr>
        <w:trPr>
          <w:trHeight w:val="105"/>
        </w:trPr>
        <w:tc>
          <w:tcPr>
            <w:tcW w:w="500" w:type="dxa"/>
            <w:vAlign w:val="bottom"/>
            <w:shd w:val="clear" w:color="auto" w:fill="77C483"/>
          </w:tcPr>
          <w:p>
            <w:pPr>
              <w:ind w:left="160"/>
              <w:spacing w:after="0" w:line="105" w:lineRule="exact"/>
              <w:rPr>
                <w:sz w:val="20"/>
                <w:szCs w:val="20"/>
                <w:color w:val="auto"/>
              </w:rPr>
            </w:pPr>
            <w:r>
              <w:rPr>
                <w:rFonts w:ascii="Arial" w:cs="Arial" w:eastAsia="Arial" w:hAnsi="Arial"/>
                <w:sz w:val="10"/>
                <w:szCs w:val="10"/>
                <w:b w:val="1"/>
                <w:bCs w:val="1"/>
                <w:color w:val="003551"/>
              </w:rPr>
              <w:t>Fiscal</w:t>
            </w:r>
          </w:p>
        </w:tc>
        <w:tc>
          <w:tcPr>
            <w:tcW w:w="60" w:type="dxa"/>
            <w:vAlign w:val="bottom"/>
            <w:shd w:val="clear" w:color="auto" w:fill="77C483"/>
          </w:tcPr>
          <w:p>
            <w:pPr>
              <w:spacing w:after="0"/>
              <w:rPr>
                <w:sz w:val="9"/>
                <w:szCs w:val="9"/>
                <w:color w:val="auto"/>
              </w:rPr>
            </w:pPr>
          </w:p>
        </w:tc>
        <w:tc>
          <w:tcPr>
            <w:tcW w:w="740" w:type="dxa"/>
            <w:vAlign w:val="bottom"/>
            <w:shd w:val="clear" w:color="auto" w:fill="77C483"/>
          </w:tcPr>
          <w:p>
            <w:pPr>
              <w:spacing w:after="0" w:line="105" w:lineRule="exact"/>
              <w:rPr>
                <w:sz w:val="20"/>
                <w:szCs w:val="20"/>
                <w:color w:val="auto"/>
              </w:rPr>
            </w:pPr>
            <w:r>
              <w:rPr>
                <w:rFonts w:ascii="Arial" w:cs="Arial" w:eastAsia="Arial" w:hAnsi="Arial"/>
                <w:sz w:val="10"/>
                <w:szCs w:val="10"/>
                <w:b w:val="1"/>
                <w:bCs w:val="1"/>
                <w:color w:val="003551"/>
              </w:rPr>
              <w:t>Co-PEO</w:t>
            </w:r>
          </w:p>
        </w:tc>
        <w:tc>
          <w:tcPr>
            <w:tcW w:w="820" w:type="dxa"/>
            <w:vAlign w:val="bottom"/>
            <w:gridSpan w:val="2"/>
            <w:shd w:val="clear" w:color="auto" w:fill="77C483"/>
          </w:tcPr>
          <w:p>
            <w:pPr>
              <w:ind w:left="80"/>
              <w:spacing w:after="0" w:line="105" w:lineRule="exact"/>
              <w:rPr>
                <w:sz w:val="20"/>
                <w:szCs w:val="20"/>
                <w:color w:val="auto"/>
              </w:rPr>
            </w:pPr>
            <w:r>
              <w:rPr>
                <w:rFonts w:ascii="Arial" w:cs="Arial" w:eastAsia="Arial" w:hAnsi="Arial"/>
                <w:sz w:val="10"/>
                <w:szCs w:val="10"/>
                <w:b w:val="1"/>
                <w:bCs w:val="1"/>
                <w:color w:val="003551"/>
              </w:rPr>
              <w:t>Co-PEO</w:t>
            </w:r>
          </w:p>
        </w:tc>
        <w:tc>
          <w:tcPr>
            <w:tcW w:w="800" w:type="dxa"/>
            <w:vAlign w:val="bottom"/>
            <w:gridSpan w:val="2"/>
            <w:shd w:val="clear" w:color="auto" w:fill="77C483"/>
          </w:tcPr>
          <w:p>
            <w:pPr>
              <w:ind w:left="80"/>
              <w:spacing w:after="0" w:line="105" w:lineRule="exact"/>
              <w:rPr>
                <w:sz w:val="20"/>
                <w:szCs w:val="20"/>
                <w:color w:val="auto"/>
              </w:rPr>
            </w:pPr>
            <w:r>
              <w:rPr>
                <w:rFonts w:ascii="Arial" w:cs="Arial" w:eastAsia="Arial" w:hAnsi="Arial"/>
                <w:sz w:val="10"/>
                <w:szCs w:val="10"/>
                <w:b w:val="1"/>
                <w:bCs w:val="1"/>
                <w:color w:val="003551"/>
              </w:rPr>
              <w:t>to Co-PEO</w:t>
            </w:r>
          </w:p>
        </w:tc>
        <w:tc>
          <w:tcPr>
            <w:tcW w:w="840" w:type="dxa"/>
            <w:vAlign w:val="bottom"/>
            <w:gridSpan w:val="2"/>
            <w:shd w:val="clear" w:color="auto" w:fill="77C483"/>
          </w:tcPr>
          <w:p>
            <w:pPr>
              <w:ind w:left="80"/>
              <w:spacing w:after="0" w:line="105" w:lineRule="exact"/>
              <w:rPr>
                <w:sz w:val="20"/>
                <w:szCs w:val="20"/>
                <w:color w:val="auto"/>
              </w:rPr>
            </w:pPr>
            <w:r>
              <w:rPr>
                <w:rFonts w:ascii="Arial" w:cs="Arial" w:eastAsia="Arial" w:hAnsi="Arial"/>
                <w:sz w:val="10"/>
                <w:szCs w:val="10"/>
                <w:b w:val="1"/>
                <w:bCs w:val="1"/>
                <w:color w:val="003551"/>
              </w:rPr>
              <w:t>Co-PEO</w:t>
            </w:r>
          </w:p>
        </w:tc>
        <w:tc>
          <w:tcPr>
            <w:tcW w:w="920" w:type="dxa"/>
            <w:vAlign w:val="bottom"/>
            <w:gridSpan w:val="2"/>
            <w:shd w:val="clear" w:color="auto" w:fill="77C483"/>
          </w:tcPr>
          <w:p>
            <w:pPr>
              <w:ind w:left="60"/>
              <w:spacing w:after="0" w:line="105" w:lineRule="exact"/>
              <w:rPr>
                <w:sz w:val="20"/>
                <w:szCs w:val="20"/>
                <w:color w:val="auto"/>
              </w:rPr>
            </w:pPr>
            <w:r>
              <w:rPr>
                <w:rFonts w:ascii="Arial" w:cs="Arial" w:eastAsia="Arial" w:hAnsi="Arial"/>
                <w:sz w:val="10"/>
                <w:szCs w:val="10"/>
                <w:b w:val="1"/>
                <w:bCs w:val="1"/>
                <w:color w:val="003551"/>
              </w:rPr>
              <w:t>Non-PEO</w:t>
            </w:r>
          </w:p>
        </w:tc>
        <w:tc>
          <w:tcPr>
            <w:tcW w:w="980" w:type="dxa"/>
            <w:vAlign w:val="bottom"/>
            <w:gridSpan w:val="3"/>
            <w:shd w:val="clear" w:color="auto" w:fill="77C483"/>
          </w:tcPr>
          <w:p>
            <w:pPr>
              <w:ind w:left="80"/>
              <w:spacing w:after="0" w:line="105" w:lineRule="exact"/>
              <w:rPr>
                <w:sz w:val="20"/>
                <w:szCs w:val="20"/>
                <w:color w:val="auto"/>
              </w:rPr>
            </w:pPr>
            <w:r>
              <w:rPr>
                <w:rFonts w:ascii="Arial" w:cs="Arial" w:eastAsia="Arial" w:hAnsi="Arial"/>
                <w:sz w:val="10"/>
                <w:szCs w:val="10"/>
                <w:b w:val="1"/>
                <w:bCs w:val="1"/>
                <w:color w:val="003551"/>
              </w:rPr>
              <w:t>Non-PEO</w:t>
            </w:r>
          </w:p>
        </w:tc>
        <w:tc>
          <w:tcPr>
            <w:tcW w:w="640" w:type="dxa"/>
            <w:vAlign w:val="bottom"/>
            <w:gridSpan w:val="2"/>
            <w:shd w:val="clear" w:color="auto" w:fill="77C483"/>
          </w:tcPr>
          <w:p>
            <w:pPr>
              <w:ind w:left="20"/>
              <w:spacing w:after="0" w:line="105" w:lineRule="exact"/>
              <w:rPr>
                <w:sz w:val="20"/>
                <w:szCs w:val="20"/>
                <w:color w:val="auto"/>
              </w:rPr>
            </w:pPr>
            <w:r>
              <w:rPr>
                <w:rFonts w:ascii="Arial" w:cs="Arial" w:eastAsia="Arial" w:hAnsi="Arial"/>
                <w:sz w:val="10"/>
                <w:szCs w:val="10"/>
                <w:b w:val="1"/>
                <w:bCs w:val="1"/>
                <w:color w:val="003551"/>
              </w:rPr>
              <w:t>Shareholder</w:t>
            </w:r>
          </w:p>
        </w:tc>
        <w:tc>
          <w:tcPr>
            <w:tcW w:w="740" w:type="dxa"/>
            <w:vAlign w:val="bottom"/>
            <w:gridSpan w:val="3"/>
            <w:shd w:val="clear" w:color="auto" w:fill="77C483"/>
          </w:tcPr>
          <w:p>
            <w:pPr>
              <w:ind w:left="80"/>
              <w:spacing w:after="0" w:line="105" w:lineRule="exact"/>
              <w:rPr>
                <w:sz w:val="20"/>
                <w:szCs w:val="20"/>
                <w:color w:val="auto"/>
              </w:rPr>
            </w:pPr>
            <w:r>
              <w:rPr>
                <w:rFonts w:ascii="Arial" w:cs="Arial" w:eastAsia="Arial" w:hAnsi="Arial"/>
                <w:sz w:val="10"/>
                <w:szCs w:val="10"/>
                <w:b w:val="1"/>
                <w:bCs w:val="1"/>
                <w:color w:val="003551"/>
              </w:rPr>
              <w:t>Shareholder</w:t>
            </w:r>
          </w:p>
        </w:tc>
        <w:tc>
          <w:tcPr>
            <w:tcW w:w="420" w:type="dxa"/>
            <w:vAlign w:val="bottom"/>
            <w:gridSpan w:val="2"/>
            <w:shd w:val="clear" w:color="auto" w:fill="77C483"/>
          </w:tcPr>
          <w:p>
            <w:pPr>
              <w:ind w:left="40"/>
              <w:spacing w:after="0" w:line="105" w:lineRule="exact"/>
              <w:rPr>
                <w:sz w:val="20"/>
                <w:szCs w:val="20"/>
                <w:color w:val="auto"/>
              </w:rPr>
            </w:pPr>
            <w:r>
              <w:rPr>
                <w:rFonts w:ascii="Arial" w:cs="Arial" w:eastAsia="Arial" w:hAnsi="Arial"/>
                <w:sz w:val="10"/>
                <w:szCs w:val="10"/>
                <w:b w:val="1"/>
                <w:bCs w:val="1"/>
                <w:color w:val="003551"/>
              </w:rPr>
              <w:t>Income</w:t>
            </w:r>
          </w:p>
        </w:tc>
        <w:tc>
          <w:tcPr>
            <w:tcW w:w="780" w:type="dxa"/>
            <w:vAlign w:val="bottom"/>
            <w:gridSpan w:val="2"/>
            <w:shd w:val="clear" w:color="auto" w:fill="77C483"/>
          </w:tcPr>
          <w:p>
            <w:pPr>
              <w:ind w:left="80"/>
              <w:spacing w:after="0" w:line="105" w:lineRule="exact"/>
              <w:rPr>
                <w:sz w:val="20"/>
                <w:szCs w:val="20"/>
                <w:color w:val="auto"/>
              </w:rPr>
            </w:pPr>
            <w:r>
              <w:rPr>
                <w:rFonts w:ascii="Arial" w:cs="Arial" w:eastAsia="Arial" w:hAnsi="Arial"/>
                <w:sz w:val="10"/>
                <w:szCs w:val="10"/>
                <w:b w:val="1"/>
                <w:bCs w:val="1"/>
                <w:color w:val="003551"/>
              </w:rPr>
              <w:t>(as of fiscal</w:t>
            </w:r>
          </w:p>
        </w:tc>
      </w:tr>
      <w:tr>
        <w:trPr>
          <w:trHeight w:val="214"/>
        </w:trPr>
        <w:tc>
          <w:tcPr>
            <w:tcW w:w="500" w:type="dxa"/>
            <w:vAlign w:val="bottom"/>
            <w:shd w:val="clear" w:color="auto" w:fill="77C483"/>
          </w:tcPr>
          <w:p>
            <w:pPr>
              <w:ind w:left="160"/>
              <w:spacing w:after="0"/>
              <w:rPr>
                <w:sz w:val="20"/>
                <w:szCs w:val="20"/>
                <w:color w:val="auto"/>
              </w:rPr>
            </w:pPr>
            <w:r>
              <w:rPr>
                <w:rFonts w:ascii="Arial" w:cs="Arial" w:eastAsia="Arial" w:hAnsi="Arial"/>
                <w:sz w:val="10"/>
                <w:szCs w:val="10"/>
                <w:b w:val="1"/>
                <w:bCs w:val="1"/>
                <w:color w:val="003551"/>
                <w:w w:val="94"/>
              </w:rPr>
              <w:t>Year</w:t>
            </w:r>
            <w:r>
              <w:rPr>
                <w:rFonts w:ascii="Arial" w:cs="Arial" w:eastAsia="Arial" w:hAnsi="Arial"/>
                <w:sz w:val="15"/>
                <w:szCs w:val="15"/>
                <w:b w:val="1"/>
                <w:bCs w:val="1"/>
                <w:color w:val="003551"/>
                <w:w w:val="94"/>
                <w:vertAlign w:val="superscript"/>
              </w:rPr>
              <w:t>(1)</w:t>
            </w:r>
          </w:p>
        </w:tc>
        <w:tc>
          <w:tcPr>
            <w:tcW w:w="60" w:type="dxa"/>
            <w:vAlign w:val="bottom"/>
            <w:shd w:val="clear" w:color="auto" w:fill="77C483"/>
          </w:tcPr>
          <w:p>
            <w:pPr>
              <w:spacing w:after="0"/>
              <w:rPr>
                <w:sz w:val="18"/>
                <w:szCs w:val="18"/>
                <w:color w:val="auto"/>
              </w:rPr>
            </w:pPr>
          </w:p>
        </w:tc>
        <w:tc>
          <w:tcPr>
            <w:tcW w:w="740" w:type="dxa"/>
            <w:vAlign w:val="bottom"/>
            <w:shd w:val="clear" w:color="auto" w:fill="77C483"/>
          </w:tcPr>
          <w:p>
            <w:pPr>
              <w:spacing w:after="0"/>
              <w:rPr>
                <w:sz w:val="20"/>
                <w:szCs w:val="20"/>
                <w:color w:val="auto"/>
              </w:rPr>
            </w:pPr>
            <w:r>
              <w:rPr>
                <w:rFonts w:ascii="Arial" w:cs="Arial" w:eastAsia="Arial" w:hAnsi="Arial"/>
                <w:sz w:val="10"/>
                <w:szCs w:val="10"/>
                <w:b w:val="1"/>
                <w:bCs w:val="1"/>
                <w:color w:val="003551"/>
              </w:rPr>
              <w:t>W. Roberts</w:t>
            </w:r>
            <w:r>
              <w:rPr>
                <w:rFonts w:ascii="Arial" w:cs="Arial" w:eastAsia="Arial" w:hAnsi="Arial"/>
                <w:sz w:val="15"/>
                <w:szCs w:val="15"/>
                <w:b w:val="1"/>
                <w:bCs w:val="1"/>
                <w:color w:val="003551"/>
                <w:vertAlign w:val="superscript"/>
              </w:rPr>
              <w:t>(2)</w:t>
            </w:r>
          </w:p>
        </w:tc>
        <w:tc>
          <w:tcPr>
            <w:tcW w:w="820" w:type="dxa"/>
            <w:vAlign w:val="bottom"/>
            <w:gridSpan w:val="2"/>
            <w:shd w:val="clear" w:color="auto" w:fill="77C483"/>
          </w:tcPr>
          <w:p>
            <w:pPr>
              <w:ind w:left="80"/>
              <w:spacing w:after="0"/>
              <w:rPr>
                <w:sz w:val="20"/>
                <w:szCs w:val="20"/>
                <w:color w:val="auto"/>
              </w:rPr>
            </w:pPr>
            <w:r>
              <w:rPr>
                <w:rFonts w:ascii="Arial" w:cs="Arial" w:eastAsia="Arial" w:hAnsi="Arial"/>
                <w:sz w:val="10"/>
                <w:szCs w:val="10"/>
                <w:b w:val="1"/>
                <w:bCs w:val="1"/>
                <w:color w:val="003551"/>
              </w:rPr>
              <w:t>D. Roberts</w:t>
            </w:r>
            <w:r>
              <w:rPr>
                <w:rFonts w:ascii="Arial" w:cs="Arial" w:eastAsia="Arial" w:hAnsi="Arial"/>
                <w:sz w:val="15"/>
                <w:szCs w:val="15"/>
                <w:b w:val="1"/>
                <w:bCs w:val="1"/>
                <w:color w:val="003551"/>
                <w:vertAlign w:val="superscript"/>
              </w:rPr>
              <w:t>(2)</w:t>
            </w:r>
          </w:p>
        </w:tc>
        <w:tc>
          <w:tcPr>
            <w:tcW w:w="800" w:type="dxa"/>
            <w:vAlign w:val="bottom"/>
            <w:gridSpan w:val="2"/>
            <w:shd w:val="clear" w:color="auto" w:fill="77C483"/>
          </w:tcPr>
          <w:p>
            <w:pPr>
              <w:ind w:left="80"/>
              <w:spacing w:after="0"/>
              <w:rPr>
                <w:sz w:val="20"/>
                <w:szCs w:val="20"/>
                <w:color w:val="auto"/>
              </w:rPr>
            </w:pPr>
            <w:r>
              <w:rPr>
                <w:rFonts w:ascii="Arial" w:cs="Arial" w:eastAsia="Arial" w:hAnsi="Arial"/>
                <w:sz w:val="10"/>
                <w:szCs w:val="10"/>
                <w:b w:val="1"/>
                <w:bCs w:val="1"/>
                <w:color w:val="003551"/>
              </w:rPr>
              <w:t>W. Roberts</w:t>
            </w:r>
            <w:r>
              <w:rPr>
                <w:rFonts w:ascii="Arial" w:cs="Arial" w:eastAsia="Arial" w:hAnsi="Arial"/>
                <w:sz w:val="15"/>
                <w:szCs w:val="15"/>
                <w:b w:val="1"/>
                <w:bCs w:val="1"/>
                <w:color w:val="003551"/>
                <w:vertAlign w:val="superscript"/>
              </w:rPr>
              <w:t>(3)</w:t>
            </w:r>
          </w:p>
        </w:tc>
        <w:tc>
          <w:tcPr>
            <w:tcW w:w="840" w:type="dxa"/>
            <w:vAlign w:val="bottom"/>
            <w:gridSpan w:val="2"/>
            <w:shd w:val="clear" w:color="auto" w:fill="77C483"/>
          </w:tcPr>
          <w:p>
            <w:pPr>
              <w:ind w:left="80"/>
              <w:spacing w:after="0"/>
              <w:rPr>
                <w:sz w:val="20"/>
                <w:szCs w:val="20"/>
                <w:color w:val="auto"/>
              </w:rPr>
            </w:pPr>
            <w:r>
              <w:rPr>
                <w:rFonts w:ascii="Arial" w:cs="Arial" w:eastAsia="Arial" w:hAnsi="Arial"/>
                <w:sz w:val="10"/>
                <w:szCs w:val="10"/>
                <w:b w:val="1"/>
                <w:bCs w:val="1"/>
                <w:color w:val="003551"/>
              </w:rPr>
              <w:t>D. Roberts</w:t>
            </w:r>
            <w:r>
              <w:rPr>
                <w:rFonts w:ascii="Arial" w:cs="Arial" w:eastAsia="Arial" w:hAnsi="Arial"/>
                <w:sz w:val="15"/>
                <w:szCs w:val="15"/>
                <w:b w:val="1"/>
                <w:bCs w:val="1"/>
                <w:color w:val="003551"/>
                <w:vertAlign w:val="superscript"/>
              </w:rPr>
              <w:t>(3)</w:t>
            </w:r>
          </w:p>
        </w:tc>
        <w:tc>
          <w:tcPr>
            <w:tcW w:w="920" w:type="dxa"/>
            <w:vAlign w:val="bottom"/>
            <w:gridSpan w:val="2"/>
            <w:shd w:val="clear" w:color="auto" w:fill="77C483"/>
          </w:tcPr>
          <w:p>
            <w:pPr>
              <w:ind w:left="60"/>
              <w:spacing w:after="0"/>
              <w:rPr>
                <w:sz w:val="20"/>
                <w:szCs w:val="20"/>
                <w:color w:val="auto"/>
              </w:rPr>
            </w:pPr>
            <w:r>
              <w:rPr>
                <w:rFonts w:ascii="Arial" w:cs="Arial" w:eastAsia="Arial" w:hAnsi="Arial"/>
                <w:sz w:val="10"/>
                <w:szCs w:val="10"/>
                <w:b w:val="1"/>
                <w:bCs w:val="1"/>
                <w:color w:val="003551"/>
              </w:rPr>
              <w:t>NEOs</w:t>
            </w:r>
            <w:r>
              <w:rPr>
                <w:rFonts w:ascii="Arial" w:cs="Arial" w:eastAsia="Arial" w:hAnsi="Arial"/>
                <w:sz w:val="15"/>
                <w:szCs w:val="15"/>
                <w:b w:val="1"/>
                <w:bCs w:val="1"/>
                <w:color w:val="003551"/>
                <w:vertAlign w:val="superscript"/>
              </w:rPr>
              <w:t>(2)</w:t>
            </w:r>
          </w:p>
        </w:tc>
        <w:tc>
          <w:tcPr>
            <w:tcW w:w="980" w:type="dxa"/>
            <w:vAlign w:val="bottom"/>
            <w:gridSpan w:val="3"/>
            <w:shd w:val="clear" w:color="auto" w:fill="77C483"/>
          </w:tcPr>
          <w:p>
            <w:pPr>
              <w:ind w:left="80"/>
              <w:spacing w:after="0"/>
              <w:rPr>
                <w:sz w:val="20"/>
                <w:szCs w:val="20"/>
                <w:color w:val="auto"/>
              </w:rPr>
            </w:pPr>
            <w:r>
              <w:rPr>
                <w:rFonts w:ascii="Arial" w:cs="Arial" w:eastAsia="Arial" w:hAnsi="Arial"/>
                <w:sz w:val="10"/>
                <w:szCs w:val="10"/>
                <w:b w:val="1"/>
                <w:bCs w:val="1"/>
                <w:color w:val="003551"/>
              </w:rPr>
              <w:t>NEOs</w:t>
            </w:r>
            <w:r>
              <w:rPr>
                <w:rFonts w:ascii="Arial" w:cs="Arial" w:eastAsia="Arial" w:hAnsi="Arial"/>
                <w:sz w:val="15"/>
                <w:szCs w:val="15"/>
                <w:b w:val="1"/>
                <w:bCs w:val="1"/>
                <w:color w:val="003551"/>
                <w:vertAlign w:val="superscript"/>
              </w:rPr>
              <w:t>(3)</w:t>
            </w:r>
          </w:p>
        </w:tc>
        <w:tc>
          <w:tcPr>
            <w:tcW w:w="640" w:type="dxa"/>
            <w:vAlign w:val="bottom"/>
            <w:gridSpan w:val="2"/>
            <w:shd w:val="clear" w:color="auto" w:fill="77C483"/>
          </w:tcPr>
          <w:p>
            <w:pPr>
              <w:ind w:left="20"/>
              <w:spacing w:after="0"/>
              <w:rPr>
                <w:sz w:val="20"/>
                <w:szCs w:val="20"/>
                <w:color w:val="auto"/>
              </w:rPr>
            </w:pPr>
            <w:r>
              <w:rPr>
                <w:rFonts w:ascii="Arial" w:cs="Arial" w:eastAsia="Arial" w:hAnsi="Arial"/>
                <w:sz w:val="10"/>
                <w:szCs w:val="10"/>
                <w:b w:val="1"/>
                <w:bCs w:val="1"/>
                <w:color w:val="003551"/>
              </w:rPr>
              <w:t>Return</w:t>
            </w:r>
            <w:r>
              <w:rPr>
                <w:rFonts w:ascii="Arial" w:cs="Arial" w:eastAsia="Arial" w:hAnsi="Arial"/>
                <w:sz w:val="15"/>
                <w:szCs w:val="15"/>
                <w:b w:val="1"/>
                <w:bCs w:val="1"/>
                <w:color w:val="003551"/>
                <w:vertAlign w:val="superscript"/>
              </w:rPr>
              <w:t>(4)</w:t>
            </w:r>
          </w:p>
        </w:tc>
        <w:tc>
          <w:tcPr>
            <w:tcW w:w="740" w:type="dxa"/>
            <w:vAlign w:val="bottom"/>
            <w:gridSpan w:val="3"/>
            <w:shd w:val="clear" w:color="auto" w:fill="77C483"/>
          </w:tcPr>
          <w:p>
            <w:pPr>
              <w:ind w:left="80"/>
              <w:spacing w:after="0"/>
              <w:rPr>
                <w:sz w:val="20"/>
                <w:szCs w:val="20"/>
                <w:color w:val="auto"/>
              </w:rPr>
            </w:pPr>
            <w:r>
              <w:rPr>
                <w:rFonts w:ascii="Arial" w:cs="Arial" w:eastAsia="Arial" w:hAnsi="Arial"/>
                <w:sz w:val="10"/>
                <w:szCs w:val="10"/>
                <w:b w:val="1"/>
                <w:bCs w:val="1"/>
                <w:color w:val="003551"/>
              </w:rPr>
              <w:t>Return</w:t>
            </w:r>
            <w:r>
              <w:rPr>
                <w:rFonts w:ascii="Arial" w:cs="Arial" w:eastAsia="Arial" w:hAnsi="Arial"/>
                <w:sz w:val="15"/>
                <w:szCs w:val="15"/>
                <w:b w:val="1"/>
                <w:bCs w:val="1"/>
                <w:color w:val="003551"/>
                <w:vertAlign w:val="superscript"/>
              </w:rPr>
              <w:t>(5)</w:t>
            </w:r>
          </w:p>
        </w:tc>
        <w:tc>
          <w:tcPr>
            <w:tcW w:w="420" w:type="dxa"/>
            <w:vAlign w:val="bottom"/>
            <w:gridSpan w:val="2"/>
            <w:shd w:val="clear" w:color="auto" w:fill="77C483"/>
          </w:tcPr>
          <w:p>
            <w:pPr>
              <w:ind w:left="40"/>
              <w:spacing w:after="0"/>
              <w:rPr>
                <w:sz w:val="20"/>
                <w:szCs w:val="20"/>
                <w:color w:val="auto"/>
              </w:rPr>
            </w:pPr>
            <w:r>
              <w:rPr>
                <w:rFonts w:ascii="Arial" w:cs="Arial" w:eastAsia="Arial" w:hAnsi="Arial"/>
                <w:sz w:val="10"/>
                <w:szCs w:val="10"/>
                <w:b w:val="1"/>
                <w:bCs w:val="1"/>
                <w:color w:val="003551"/>
              </w:rPr>
              <w:t>($m)</w:t>
            </w:r>
          </w:p>
        </w:tc>
        <w:tc>
          <w:tcPr>
            <w:tcW w:w="780" w:type="dxa"/>
            <w:vAlign w:val="bottom"/>
            <w:gridSpan w:val="2"/>
            <w:shd w:val="clear" w:color="auto" w:fill="77C483"/>
          </w:tcPr>
          <w:p>
            <w:pPr>
              <w:ind w:left="80"/>
              <w:spacing w:after="0"/>
              <w:rPr>
                <w:sz w:val="20"/>
                <w:szCs w:val="20"/>
                <w:color w:val="auto"/>
              </w:rPr>
            </w:pPr>
            <w:r>
              <w:rPr>
                <w:rFonts w:ascii="Arial" w:cs="Arial" w:eastAsia="Arial" w:hAnsi="Arial"/>
                <w:sz w:val="10"/>
                <w:szCs w:val="10"/>
                <w:b w:val="1"/>
                <w:bCs w:val="1"/>
                <w:color w:val="003551"/>
              </w:rPr>
              <w:t>year end)</w:t>
            </w:r>
          </w:p>
        </w:tc>
      </w:tr>
      <w:tr>
        <w:trPr>
          <w:trHeight w:val="61"/>
        </w:trPr>
        <w:tc>
          <w:tcPr>
            <w:tcW w:w="500" w:type="dxa"/>
            <w:vAlign w:val="bottom"/>
            <w:tcBorders>
              <w:bottom w:val="single" w:sz="8" w:color="003551"/>
            </w:tcBorders>
            <w:shd w:val="clear" w:color="auto" w:fill="77C483"/>
          </w:tcPr>
          <w:p>
            <w:pPr>
              <w:spacing w:after="0"/>
              <w:rPr>
                <w:sz w:val="5"/>
                <w:szCs w:val="5"/>
                <w:color w:val="auto"/>
              </w:rPr>
            </w:pPr>
          </w:p>
        </w:tc>
        <w:tc>
          <w:tcPr>
            <w:tcW w:w="60" w:type="dxa"/>
            <w:vAlign w:val="bottom"/>
            <w:tcBorders>
              <w:bottom w:val="single" w:sz="8" w:color="003551"/>
            </w:tcBorders>
            <w:shd w:val="clear" w:color="auto" w:fill="77C483"/>
          </w:tcPr>
          <w:p>
            <w:pPr>
              <w:spacing w:after="0"/>
              <w:rPr>
                <w:sz w:val="5"/>
                <w:szCs w:val="5"/>
                <w:color w:val="auto"/>
              </w:rPr>
            </w:pPr>
          </w:p>
        </w:tc>
        <w:tc>
          <w:tcPr>
            <w:tcW w:w="740" w:type="dxa"/>
            <w:vAlign w:val="bottom"/>
            <w:tcBorders>
              <w:bottom w:val="single" w:sz="8" w:color="003551"/>
            </w:tcBorders>
            <w:shd w:val="clear" w:color="auto" w:fill="77C483"/>
          </w:tcPr>
          <w:p>
            <w:pPr>
              <w:spacing w:after="0"/>
              <w:rPr>
                <w:sz w:val="5"/>
                <w:szCs w:val="5"/>
                <w:color w:val="auto"/>
              </w:rPr>
            </w:pPr>
          </w:p>
        </w:tc>
        <w:tc>
          <w:tcPr>
            <w:tcW w:w="80" w:type="dxa"/>
            <w:vAlign w:val="bottom"/>
            <w:tcBorders>
              <w:bottom w:val="single" w:sz="8" w:color="003551"/>
            </w:tcBorders>
            <w:shd w:val="clear" w:color="auto" w:fill="77C483"/>
          </w:tcPr>
          <w:p>
            <w:pPr>
              <w:spacing w:after="0"/>
              <w:rPr>
                <w:sz w:val="5"/>
                <w:szCs w:val="5"/>
                <w:color w:val="auto"/>
              </w:rPr>
            </w:pPr>
          </w:p>
        </w:tc>
        <w:tc>
          <w:tcPr>
            <w:tcW w:w="740" w:type="dxa"/>
            <w:vAlign w:val="bottom"/>
            <w:tcBorders>
              <w:bottom w:val="single" w:sz="8" w:color="003551"/>
            </w:tcBorders>
            <w:shd w:val="clear" w:color="auto" w:fill="77C483"/>
          </w:tcPr>
          <w:p>
            <w:pPr>
              <w:spacing w:after="0"/>
              <w:rPr>
                <w:sz w:val="5"/>
                <w:szCs w:val="5"/>
                <w:color w:val="auto"/>
              </w:rPr>
            </w:pPr>
          </w:p>
        </w:tc>
        <w:tc>
          <w:tcPr>
            <w:tcW w:w="80" w:type="dxa"/>
            <w:vAlign w:val="bottom"/>
            <w:tcBorders>
              <w:bottom w:val="single" w:sz="8" w:color="003551"/>
            </w:tcBorders>
            <w:shd w:val="clear" w:color="auto" w:fill="77C483"/>
          </w:tcPr>
          <w:p>
            <w:pPr>
              <w:spacing w:after="0"/>
              <w:rPr>
                <w:sz w:val="5"/>
                <w:szCs w:val="5"/>
                <w:color w:val="auto"/>
              </w:rPr>
            </w:pPr>
          </w:p>
        </w:tc>
        <w:tc>
          <w:tcPr>
            <w:tcW w:w="720" w:type="dxa"/>
            <w:vAlign w:val="bottom"/>
            <w:tcBorders>
              <w:bottom w:val="single" w:sz="8" w:color="003551"/>
            </w:tcBorders>
            <w:shd w:val="clear" w:color="auto" w:fill="77C483"/>
          </w:tcPr>
          <w:p>
            <w:pPr>
              <w:spacing w:after="0"/>
              <w:rPr>
                <w:sz w:val="5"/>
                <w:szCs w:val="5"/>
                <w:color w:val="auto"/>
              </w:rPr>
            </w:pPr>
          </w:p>
        </w:tc>
        <w:tc>
          <w:tcPr>
            <w:tcW w:w="80" w:type="dxa"/>
            <w:vAlign w:val="bottom"/>
            <w:tcBorders>
              <w:bottom w:val="single" w:sz="8" w:color="003551"/>
            </w:tcBorders>
            <w:shd w:val="clear" w:color="auto" w:fill="77C483"/>
          </w:tcPr>
          <w:p>
            <w:pPr>
              <w:spacing w:after="0"/>
              <w:rPr>
                <w:sz w:val="5"/>
                <w:szCs w:val="5"/>
                <w:color w:val="auto"/>
              </w:rPr>
            </w:pPr>
          </w:p>
        </w:tc>
        <w:tc>
          <w:tcPr>
            <w:tcW w:w="760" w:type="dxa"/>
            <w:vAlign w:val="bottom"/>
            <w:tcBorders>
              <w:bottom w:val="single" w:sz="8" w:color="003551"/>
            </w:tcBorders>
            <w:shd w:val="clear" w:color="auto" w:fill="77C483"/>
          </w:tcPr>
          <w:p>
            <w:pPr>
              <w:spacing w:after="0"/>
              <w:rPr>
                <w:sz w:val="5"/>
                <w:szCs w:val="5"/>
                <w:color w:val="auto"/>
              </w:rPr>
            </w:pPr>
          </w:p>
        </w:tc>
        <w:tc>
          <w:tcPr>
            <w:tcW w:w="80" w:type="dxa"/>
            <w:vAlign w:val="bottom"/>
            <w:tcBorders>
              <w:bottom w:val="single" w:sz="8" w:color="003551"/>
            </w:tcBorders>
            <w:shd w:val="clear" w:color="auto" w:fill="77C483"/>
          </w:tcPr>
          <w:p>
            <w:pPr>
              <w:spacing w:after="0"/>
              <w:rPr>
                <w:sz w:val="5"/>
                <w:szCs w:val="5"/>
                <w:color w:val="auto"/>
              </w:rPr>
            </w:pPr>
          </w:p>
        </w:tc>
        <w:tc>
          <w:tcPr>
            <w:tcW w:w="840" w:type="dxa"/>
            <w:vAlign w:val="bottom"/>
            <w:tcBorders>
              <w:bottom w:val="single" w:sz="8" w:color="003551"/>
            </w:tcBorders>
            <w:shd w:val="clear" w:color="auto" w:fill="77C483"/>
          </w:tcPr>
          <w:p>
            <w:pPr>
              <w:spacing w:after="0"/>
              <w:rPr>
                <w:sz w:val="5"/>
                <w:szCs w:val="5"/>
                <w:color w:val="auto"/>
              </w:rPr>
            </w:pPr>
          </w:p>
        </w:tc>
        <w:tc>
          <w:tcPr>
            <w:tcW w:w="80" w:type="dxa"/>
            <w:vAlign w:val="bottom"/>
            <w:tcBorders>
              <w:bottom w:val="single" w:sz="8" w:color="003551"/>
            </w:tcBorders>
            <w:shd w:val="clear" w:color="auto" w:fill="77C483"/>
          </w:tcPr>
          <w:p>
            <w:pPr>
              <w:spacing w:after="0"/>
              <w:rPr>
                <w:sz w:val="5"/>
                <w:szCs w:val="5"/>
                <w:color w:val="auto"/>
              </w:rPr>
            </w:pPr>
          </w:p>
        </w:tc>
        <w:tc>
          <w:tcPr>
            <w:tcW w:w="860" w:type="dxa"/>
            <w:vAlign w:val="bottom"/>
            <w:tcBorders>
              <w:bottom w:val="single" w:sz="8" w:color="003551"/>
            </w:tcBorders>
            <w:shd w:val="clear" w:color="auto" w:fill="77C483"/>
          </w:tcPr>
          <w:p>
            <w:pPr>
              <w:spacing w:after="0"/>
              <w:rPr>
                <w:sz w:val="5"/>
                <w:szCs w:val="5"/>
                <w:color w:val="auto"/>
              </w:rPr>
            </w:pPr>
          </w:p>
        </w:tc>
        <w:tc>
          <w:tcPr>
            <w:tcW w:w="40" w:type="dxa"/>
            <w:vAlign w:val="bottom"/>
            <w:tcBorders>
              <w:bottom w:val="single" w:sz="8" w:color="003551"/>
            </w:tcBorders>
            <w:shd w:val="clear" w:color="auto" w:fill="77C483"/>
          </w:tcPr>
          <w:p>
            <w:pPr>
              <w:spacing w:after="0"/>
              <w:rPr>
                <w:sz w:val="5"/>
                <w:szCs w:val="5"/>
                <w:color w:val="auto"/>
              </w:rPr>
            </w:pPr>
          </w:p>
        </w:tc>
        <w:tc>
          <w:tcPr>
            <w:tcW w:w="40" w:type="dxa"/>
            <w:vAlign w:val="bottom"/>
            <w:tcBorders>
              <w:bottom w:val="single" w:sz="8" w:color="003551"/>
            </w:tcBorders>
            <w:shd w:val="clear" w:color="auto" w:fill="77C483"/>
          </w:tcPr>
          <w:p>
            <w:pPr>
              <w:spacing w:after="0"/>
              <w:rPr>
                <w:sz w:val="5"/>
                <w:szCs w:val="5"/>
                <w:color w:val="auto"/>
              </w:rPr>
            </w:pPr>
          </w:p>
        </w:tc>
        <w:tc>
          <w:tcPr>
            <w:tcW w:w="600" w:type="dxa"/>
            <w:vAlign w:val="bottom"/>
            <w:tcBorders>
              <w:bottom w:val="single" w:sz="8" w:color="003551"/>
            </w:tcBorders>
            <w:shd w:val="clear" w:color="auto" w:fill="77C483"/>
          </w:tcPr>
          <w:p>
            <w:pPr>
              <w:spacing w:after="0"/>
              <w:rPr>
                <w:sz w:val="5"/>
                <w:szCs w:val="5"/>
                <w:color w:val="auto"/>
              </w:rPr>
            </w:pPr>
          </w:p>
        </w:tc>
        <w:tc>
          <w:tcPr>
            <w:tcW w:w="80" w:type="dxa"/>
            <w:vAlign w:val="bottom"/>
            <w:tcBorders>
              <w:bottom w:val="single" w:sz="8" w:color="003551"/>
            </w:tcBorders>
            <w:shd w:val="clear" w:color="auto" w:fill="77C483"/>
          </w:tcPr>
          <w:p>
            <w:pPr>
              <w:spacing w:after="0"/>
              <w:rPr>
                <w:sz w:val="5"/>
                <w:szCs w:val="5"/>
                <w:color w:val="auto"/>
              </w:rPr>
            </w:pPr>
          </w:p>
        </w:tc>
        <w:tc>
          <w:tcPr>
            <w:tcW w:w="620" w:type="dxa"/>
            <w:vAlign w:val="bottom"/>
            <w:tcBorders>
              <w:bottom w:val="single" w:sz="8" w:color="003551"/>
            </w:tcBorders>
            <w:shd w:val="clear" w:color="auto" w:fill="77C483"/>
          </w:tcPr>
          <w:p>
            <w:pPr>
              <w:spacing w:after="0"/>
              <w:rPr>
                <w:sz w:val="5"/>
                <w:szCs w:val="5"/>
                <w:color w:val="auto"/>
              </w:rPr>
            </w:pPr>
          </w:p>
        </w:tc>
        <w:tc>
          <w:tcPr>
            <w:tcW w:w="40" w:type="dxa"/>
            <w:vAlign w:val="bottom"/>
            <w:tcBorders>
              <w:bottom w:val="single" w:sz="8" w:color="003551"/>
            </w:tcBorders>
            <w:shd w:val="clear" w:color="auto" w:fill="77C483"/>
          </w:tcPr>
          <w:p>
            <w:pPr>
              <w:spacing w:after="0"/>
              <w:rPr>
                <w:sz w:val="5"/>
                <w:szCs w:val="5"/>
                <w:color w:val="auto"/>
              </w:rPr>
            </w:pPr>
          </w:p>
        </w:tc>
        <w:tc>
          <w:tcPr>
            <w:tcW w:w="40" w:type="dxa"/>
            <w:vAlign w:val="bottom"/>
            <w:tcBorders>
              <w:bottom w:val="single" w:sz="8" w:color="003551"/>
            </w:tcBorders>
            <w:shd w:val="clear" w:color="auto" w:fill="77C483"/>
          </w:tcPr>
          <w:p>
            <w:pPr>
              <w:spacing w:after="0"/>
              <w:rPr>
                <w:sz w:val="5"/>
                <w:szCs w:val="5"/>
                <w:color w:val="auto"/>
              </w:rPr>
            </w:pPr>
          </w:p>
        </w:tc>
        <w:tc>
          <w:tcPr>
            <w:tcW w:w="380" w:type="dxa"/>
            <w:vAlign w:val="bottom"/>
            <w:tcBorders>
              <w:bottom w:val="single" w:sz="8" w:color="003551"/>
            </w:tcBorders>
            <w:shd w:val="clear" w:color="auto" w:fill="77C483"/>
          </w:tcPr>
          <w:p>
            <w:pPr>
              <w:spacing w:after="0"/>
              <w:rPr>
                <w:sz w:val="5"/>
                <w:szCs w:val="5"/>
                <w:color w:val="auto"/>
              </w:rPr>
            </w:pPr>
          </w:p>
        </w:tc>
        <w:tc>
          <w:tcPr>
            <w:tcW w:w="80" w:type="dxa"/>
            <w:vAlign w:val="bottom"/>
            <w:tcBorders>
              <w:bottom w:val="single" w:sz="8" w:color="003551"/>
            </w:tcBorders>
            <w:shd w:val="clear" w:color="auto" w:fill="77C483"/>
          </w:tcPr>
          <w:p>
            <w:pPr>
              <w:spacing w:after="0"/>
              <w:rPr>
                <w:sz w:val="5"/>
                <w:szCs w:val="5"/>
                <w:color w:val="auto"/>
              </w:rPr>
            </w:pPr>
          </w:p>
        </w:tc>
        <w:tc>
          <w:tcPr>
            <w:tcW w:w="700" w:type="dxa"/>
            <w:vAlign w:val="bottom"/>
            <w:tcBorders>
              <w:bottom w:val="single" w:sz="8" w:color="003551"/>
            </w:tcBorders>
            <w:shd w:val="clear" w:color="auto" w:fill="77C483"/>
          </w:tcPr>
          <w:p>
            <w:pPr>
              <w:spacing w:after="0"/>
              <w:rPr>
                <w:sz w:val="5"/>
                <w:szCs w:val="5"/>
                <w:color w:val="auto"/>
              </w:rPr>
            </w:pPr>
          </w:p>
        </w:tc>
      </w:tr>
      <w:tr>
        <w:trPr>
          <w:trHeight w:val="254"/>
        </w:trPr>
        <w:tc>
          <w:tcPr>
            <w:tcW w:w="500" w:type="dxa"/>
            <w:vAlign w:val="bottom"/>
          </w:tcPr>
          <w:p>
            <w:pPr>
              <w:ind w:left="160"/>
              <w:spacing w:after="0"/>
              <w:rPr>
                <w:sz w:val="20"/>
                <w:szCs w:val="20"/>
                <w:color w:val="auto"/>
              </w:rPr>
            </w:pPr>
            <w:r>
              <w:rPr>
                <w:rFonts w:ascii="Arial" w:cs="Arial" w:eastAsia="Arial" w:hAnsi="Arial"/>
                <w:sz w:val="10"/>
                <w:szCs w:val="10"/>
                <w:b w:val="1"/>
                <w:bCs w:val="1"/>
                <w:color w:val="003551"/>
              </w:rPr>
              <w:t>2025</w:t>
            </w:r>
          </w:p>
        </w:tc>
        <w:tc>
          <w:tcPr>
            <w:tcW w:w="800" w:type="dxa"/>
            <w:vAlign w:val="bottom"/>
            <w:gridSpan w:val="2"/>
          </w:tcPr>
          <w:p>
            <w:pPr>
              <w:ind w:left="60"/>
              <w:spacing w:after="0"/>
              <w:rPr>
                <w:sz w:val="20"/>
                <w:szCs w:val="20"/>
                <w:color w:val="auto"/>
              </w:rPr>
            </w:pPr>
            <w:r>
              <w:rPr>
                <w:rFonts w:ascii="Arial" w:cs="Arial" w:eastAsia="Arial" w:hAnsi="Arial"/>
                <w:sz w:val="10"/>
                <w:szCs w:val="10"/>
                <w:color w:val="003551"/>
              </w:rPr>
              <w:t>$72,647,744</w:t>
            </w:r>
          </w:p>
        </w:tc>
        <w:tc>
          <w:tcPr>
            <w:tcW w:w="820" w:type="dxa"/>
            <w:vAlign w:val="bottom"/>
            <w:gridSpan w:val="2"/>
          </w:tcPr>
          <w:p>
            <w:pPr>
              <w:ind w:left="80"/>
              <w:spacing w:after="0"/>
              <w:rPr>
                <w:sz w:val="20"/>
                <w:szCs w:val="20"/>
                <w:color w:val="auto"/>
              </w:rPr>
            </w:pPr>
            <w:r>
              <w:rPr>
                <w:rFonts w:ascii="Arial" w:cs="Arial" w:eastAsia="Arial" w:hAnsi="Arial"/>
                <w:sz w:val="10"/>
                <w:szCs w:val="10"/>
                <w:color w:val="003551"/>
              </w:rPr>
              <w:t>$72,647,744</w:t>
            </w:r>
          </w:p>
        </w:tc>
        <w:tc>
          <w:tcPr>
            <w:tcW w:w="800" w:type="dxa"/>
            <w:vAlign w:val="bottom"/>
            <w:gridSpan w:val="2"/>
          </w:tcPr>
          <w:p>
            <w:pPr>
              <w:ind w:left="80"/>
              <w:spacing w:after="0"/>
              <w:rPr>
                <w:sz w:val="20"/>
                <w:szCs w:val="20"/>
                <w:color w:val="auto"/>
              </w:rPr>
            </w:pPr>
            <w:r>
              <w:rPr>
                <w:rFonts w:ascii="Arial" w:cs="Arial" w:eastAsia="Arial" w:hAnsi="Arial"/>
                <w:sz w:val="10"/>
                <w:szCs w:val="10"/>
                <w:color w:val="003551"/>
              </w:rPr>
              <w:t>$116,262,163</w:t>
            </w:r>
          </w:p>
        </w:tc>
        <w:tc>
          <w:tcPr>
            <w:tcW w:w="840" w:type="dxa"/>
            <w:vAlign w:val="bottom"/>
            <w:gridSpan w:val="2"/>
          </w:tcPr>
          <w:p>
            <w:pPr>
              <w:ind w:left="80"/>
              <w:spacing w:after="0"/>
              <w:rPr>
                <w:sz w:val="20"/>
                <w:szCs w:val="20"/>
                <w:color w:val="auto"/>
              </w:rPr>
            </w:pPr>
            <w:r>
              <w:rPr>
                <w:rFonts w:ascii="Arial" w:cs="Arial" w:eastAsia="Arial" w:hAnsi="Arial"/>
                <w:sz w:val="10"/>
                <w:szCs w:val="10"/>
                <w:color w:val="003551"/>
              </w:rPr>
              <w:t>$116,262,163</w:t>
            </w:r>
          </w:p>
        </w:tc>
        <w:tc>
          <w:tcPr>
            <w:tcW w:w="920" w:type="dxa"/>
            <w:vAlign w:val="bottom"/>
            <w:gridSpan w:val="2"/>
          </w:tcPr>
          <w:p>
            <w:pPr>
              <w:ind w:left="60"/>
              <w:spacing w:after="0"/>
              <w:rPr>
                <w:sz w:val="20"/>
                <w:szCs w:val="20"/>
                <w:color w:val="auto"/>
              </w:rPr>
            </w:pPr>
            <w:r>
              <w:rPr>
                <w:rFonts w:ascii="Arial" w:cs="Arial" w:eastAsia="Arial" w:hAnsi="Arial"/>
                <w:sz w:val="10"/>
                <w:szCs w:val="10"/>
                <w:color w:val="003551"/>
              </w:rPr>
              <w:t>$2,321,407</w:t>
            </w:r>
          </w:p>
        </w:tc>
        <w:tc>
          <w:tcPr>
            <w:tcW w:w="940" w:type="dxa"/>
            <w:vAlign w:val="bottom"/>
            <w:gridSpan w:val="2"/>
          </w:tcPr>
          <w:p>
            <w:pPr>
              <w:ind w:left="80"/>
              <w:spacing w:after="0"/>
              <w:rPr>
                <w:sz w:val="20"/>
                <w:szCs w:val="20"/>
                <w:color w:val="auto"/>
              </w:rPr>
            </w:pPr>
            <w:r>
              <w:rPr>
                <w:rFonts w:ascii="Arial" w:cs="Arial" w:eastAsia="Arial" w:hAnsi="Arial"/>
                <w:sz w:val="10"/>
                <w:szCs w:val="10"/>
                <w:color w:val="003551"/>
              </w:rPr>
              <w:t>$3,553,385</w:t>
            </w:r>
          </w:p>
        </w:tc>
        <w:tc>
          <w:tcPr>
            <w:tcW w:w="40" w:type="dxa"/>
            <w:vAlign w:val="bottom"/>
          </w:tcPr>
          <w:p>
            <w:pPr>
              <w:spacing w:after="0"/>
              <w:rPr>
                <w:sz w:val="22"/>
                <w:szCs w:val="22"/>
                <w:color w:val="auto"/>
              </w:rPr>
            </w:pPr>
          </w:p>
        </w:tc>
        <w:tc>
          <w:tcPr>
            <w:tcW w:w="640" w:type="dxa"/>
            <w:vAlign w:val="bottom"/>
            <w:gridSpan w:val="2"/>
          </w:tcPr>
          <w:p>
            <w:pPr>
              <w:ind w:left="20"/>
              <w:spacing w:after="0"/>
              <w:rPr>
                <w:sz w:val="20"/>
                <w:szCs w:val="20"/>
                <w:color w:val="auto"/>
              </w:rPr>
            </w:pPr>
            <w:r>
              <w:rPr>
                <w:rFonts w:ascii="Arial" w:cs="Arial" w:eastAsia="Arial" w:hAnsi="Arial"/>
                <w:sz w:val="10"/>
                <w:szCs w:val="10"/>
                <w:color w:val="003551"/>
              </w:rPr>
              <w:t>$435</w:t>
            </w:r>
          </w:p>
        </w:tc>
        <w:tc>
          <w:tcPr>
            <w:tcW w:w="700" w:type="dxa"/>
            <w:vAlign w:val="bottom"/>
            <w:gridSpan w:val="2"/>
          </w:tcPr>
          <w:p>
            <w:pPr>
              <w:ind w:left="80"/>
              <w:spacing w:after="0"/>
              <w:rPr>
                <w:sz w:val="20"/>
                <w:szCs w:val="20"/>
                <w:color w:val="auto"/>
              </w:rPr>
            </w:pPr>
            <w:r>
              <w:rPr>
                <w:rFonts w:ascii="Arial" w:cs="Arial" w:eastAsia="Arial" w:hAnsi="Arial"/>
                <w:sz w:val="10"/>
                <w:szCs w:val="10"/>
                <w:color w:val="003551"/>
              </w:rPr>
              <w:t>$270</w:t>
            </w:r>
          </w:p>
        </w:tc>
        <w:tc>
          <w:tcPr>
            <w:tcW w:w="4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Arial" w:cs="Arial" w:eastAsia="Arial" w:hAnsi="Arial"/>
                <w:sz w:val="10"/>
                <w:szCs w:val="10"/>
                <w:color w:val="003551"/>
              </w:rPr>
              <w:t>$87</w:t>
            </w:r>
          </w:p>
        </w:tc>
        <w:tc>
          <w:tcPr>
            <w:tcW w:w="780" w:type="dxa"/>
            <w:vAlign w:val="bottom"/>
            <w:gridSpan w:val="2"/>
          </w:tcPr>
          <w:p>
            <w:pPr>
              <w:ind w:left="80"/>
              <w:spacing w:after="0"/>
              <w:rPr>
                <w:sz w:val="20"/>
                <w:szCs w:val="20"/>
                <w:color w:val="auto"/>
              </w:rPr>
            </w:pPr>
            <w:r>
              <w:rPr>
                <w:rFonts w:ascii="Arial" w:cs="Arial" w:eastAsia="Arial" w:hAnsi="Arial"/>
                <w:sz w:val="10"/>
                <w:szCs w:val="10"/>
                <w:color w:val="003551"/>
              </w:rPr>
              <w:t>$14.57</w:t>
            </w:r>
          </w:p>
        </w:tc>
      </w:tr>
      <w:tr>
        <w:trPr>
          <w:trHeight w:val="103"/>
        </w:trPr>
        <w:tc>
          <w:tcPr>
            <w:tcW w:w="500" w:type="dxa"/>
            <w:vAlign w:val="bottom"/>
          </w:tcPr>
          <w:p>
            <w:pPr>
              <w:spacing w:after="0"/>
              <w:rPr>
                <w:sz w:val="8"/>
                <w:szCs w:val="8"/>
                <w:color w:val="auto"/>
              </w:rPr>
            </w:pPr>
          </w:p>
        </w:tc>
        <w:tc>
          <w:tcPr>
            <w:tcW w:w="60" w:type="dxa"/>
            <w:vAlign w:val="bottom"/>
            <w:tcBorders>
              <w:bottom w:val="single" w:sz="8" w:color="77C483"/>
            </w:tcBorders>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Borders>
              <w:bottom w:val="single" w:sz="8" w:color="77C483"/>
            </w:tcBorders>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Borders>
              <w:bottom w:val="single" w:sz="8" w:color="77C483"/>
            </w:tcBorders>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Borders>
              <w:bottom w:val="single" w:sz="8" w:color="77C483"/>
            </w:tcBorders>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Borders>
              <w:bottom w:val="single" w:sz="8" w:color="77C483"/>
            </w:tcBorders>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Borders>
              <w:bottom w:val="single" w:sz="8" w:color="77C483"/>
            </w:tcBorders>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Borders>
              <w:bottom w:val="single" w:sz="8" w:color="77C483"/>
            </w:tcBorders>
          </w:tcPr>
          <w:p>
            <w:pPr>
              <w:spacing w:after="0"/>
              <w:rPr>
                <w:sz w:val="8"/>
                <w:szCs w:val="8"/>
                <w:color w:val="auto"/>
              </w:rPr>
            </w:pPr>
          </w:p>
        </w:tc>
        <w:tc>
          <w:tcPr>
            <w:tcW w:w="40" w:type="dxa"/>
            <w:vAlign w:val="bottom"/>
            <w:tcBorders>
              <w:bottom w:val="single" w:sz="8" w:color="77C483"/>
            </w:tcBorders>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77C483"/>
            </w:tcBorders>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Borders>
              <w:bottom w:val="single" w:sz="8" w:color="77C483"/>
            </w:tcBorders>
          </w:tcPr>
          <w:p>
            <w:pPr>
              <w:spacing w:after="0"/>
              <w:rPr>
                <w:sz w:val="8"/>
                <w:szCs w:val="8"/>
                <w:color w:val="auto"/>
              </w:rPr>
            </w:pPr>
          </w:p>
        </w:tc>
        <w:tc>
          <w:tcPr>
            <w:tcW w:w="40" w:type="dxa"/>
            <w:vAlign w:val="bottom"/>
            <w:tcBorders>
              <w:bottom w:val="single" w:sz="8" w:color="77C483"/>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77C483"/>
            </w:tcBorders>
          </w:tcPr>
          <w:p>
            <w:pPr>
              <w:spacing w:after="0"/>
              <w:rPr>
                <w:sz w:val="8"/>
                <w:szCs w:val="8"/>
                <w:color w:val="auto"/>
              </w:rPr>
            </w:pPr>
          </w:p>
        </w:tc>
        <w:tc>
          <w:tcPr>
            <w:tcW w:w="700" w:type="dxa"/>
            <w:vAlign w:val="bottom"/>
          </w:tcPr>
          <w:p>
            <w:pPr>
              <w:spacing w:after="0"/>
              <w:rPr>
                <w:sz w:val="8"/>
                <w:szCs w:val="8"/>
                <w:color w:val="auto"/>
              </w:rPr>
            </w:pPr>
          </w:p>
        </w:tc>
      </w:tr>
      <w:tr>
        <w:trPr>
          <w:trHeight w:val="231"/>
        </w:trPr>
        <w:tc>
          <w:tcPr>
            <w:tcW w:w="500" w:type="dxa"/>
            <w:vAlign w:val="bottom"/>
          </w:tcPr>
          <w:p>
            <w:pPr>
              <w:ind w:left="160"/>
              <w:spacing w:after="0"/>
              <w:rPr>
                <w:sz w:val="20"/>
                <w:szCs w:val="20"/>
                <w:color w:val="auto"/>
              </w:rPr>
            </w:pPr>
            <w:r>
              <w:rPr>
                <w:rFonts w:ascii="Arial" w:cs="Arial" w:eastAsia="Arial" w:hAnsi="Arial"/>
                <w:sz w:val="10"/>
                <w:szCs w:val="10"/>
                <w:b w:val="1"/>
                <w:bCs w:val="1"/>
                <w:color w:val="003551"/>
              </w:rPr>
              <w:t>2024</w:t>
            </w:r>
          </w:p>
        </w:tc>
        <w:tc>
          <w:tcPr>
            <w:tcW w:w="800" w:type="dxa"/>
            <w:vAlign w:val="bottom"/>
            <w:gridSpan w:val="2"/>
          </w:tcPr>
          <w:p>
            <w:pPr>
              <w:ind w:left="60"/>
              <w:spacing w:after="0"/>
              <w:rPr>
                <w:sz w:val="20"/>
                <w:szCs w:val="20"/>
                <w:color w:val="auto"/>
              </w:rPr>
            </w:pPr>
            <w:r>
              <w:rPr>
                <w:rFonts w:ascii="Arial" w:cs="Arial" w:eastAsia="Arial" w:hAnsi="Arial"/>
                <w:sz w:val="10"/>
                <w:szCs w:val="10"/>
                <w:color w:val="003551"/>
              </w:rPr>
              <w:t>$6,672,353</w:t>
            </w:r>
          </w:p>
        </w:tc>
        <w:tc>
          <w:tcPr>
            <w:tcW w:w="820" w:type="dxa"/>
            <w:vAlign w:val="bottom"/>
            <w:gridSpan w:val="2"/>
          </w:tcPr>
          <w:p>
            <w:pPr>
              <w:ind w:left="80"/>
              <w:spacing w:after="0"/>
              <w:rPr>
                <w:sz w:val="20"/>
                <w:szCs w:val="20"/>
                <w:color w:val="auto"/>
              </w:rPr>
            </w:pPr>
            <w:r>
              <w:rPr>
                <w:rFonts w:ascii="Arial" w:cs="Arial" w:eastAsia="Arial" w:hAnsi="Arial"/>
                <w:sz w:val="10"/>
                <w:szCs w:val="10"/>
                <w:color w:val="003551"/>
              </w:rPr>
              <w:t>$6,672,353</w:t>
            </w:r>
          </w:p>
        </w:tc>
        <w:tc>
          <w:tcPr>
            <w:tcW w:w="800" w:type="dxa"/>
            <w:vAlign w:val="bottom"/>
            <w:gridSpan w:val="2"/>
          </w:tcPr>
          <w:p>
            <w:pPr>
              <w:ind w:left="80"/>
              <w:spacing w:after="0"/>
              <w:rPr>
                <w:sz w:val="20"/>
                <w:szCs w:val="20"/>
                <w:color w:val="auto"/>
              </w:rPr>
            </w:pPr>
            <w:r>
              <w:rPr>
                <w:rFonts w:ascii="Arial" w:cs="Arial" w:eastAsia="Arial" w:hAnsi="Arial"/>
                <w:sz w:val="10"/>
                <w:szCs w:val="10"/>
                <w:color w:val="003551"/>
              </w:rPr>
              <w:t>$23,271,677</w:t>
            </w:r>
          </w:p>
        </w:tc>
        <w:tc>
          <w:tcPr>
            <w:tcW w:w="840" w:type="dxa"/>
            <w:vAlign w:val="bottom"/>
            <w:gridSpan w:val="2"/>
          </w:tcPr>
          <w:p>
            <w:pPr>
              <w:ind w:left="80"/>
              <w:spacing w:after="0"/>
              <w:rPr>
                <w:sz w:val="20"/>
                <w:szCs w:val="20"/>
                <w:color w:val="auto"/>
              </w:rPr>
            </w:pPr>
            <w:r>
              <w:rPr>
                <w:rFonts w:ascii="Arial" w:cs="Arial" w:eastAsia="Arial" w:hAnsi="Arial"/>
                <w:sz w:val="10"/>
                <w:szCs w:val="10"/>
                <w:color w:val="003551"/>
              </w:rPr>
              <w:t>$23,271,677</w:t>
            </w:r>
          </w:p>
        </w:tc>
        <w:tc>
          <w:tcPr>
            <w:tcW w:w="920" w:type="dxa"/>
            <w:vAlign w:val="bottom"/>
            <w:gridSpan w:val="2"/>
          </w:tcPr>
          <w:p>
            <w:pPr>
              <w:ind w:left="60"/>
              <w:spacing w:after="0"/>
              <w:rPr>
                <w:sz w:val="20"/>
                <w:szCs w:val="20"/>
                <w:color w:val="auto"/>
              </w:rPr>
            </w:pPr>
            <w:r>
              <w:rPr>
                <w:rFonts w:ascii="Arial" w:cs="Arial" w:eastAsia="Arial" w:hAnsi="Arial"/>
                <w:sz w:val="10"/>
                <w:szCs w:val="10"/>
                <w:color w:val="003551"/>
              </w:rPr>
              <w:t>$921,643</w:t>
            </w:r>
          </w:p>
        </w:tc>
        <w:tc>
          <w:tcPr>
            <w:tcW w:w="940" w:type="dxa"/>
            <w:vAlign w:val="bottom"/>
            <w:gridSpan w:val="2"/>
          </w:tcPr>
          <w:p>
            <w:pPr>
              <w:ind w:left="80"/>
              <w:spacing w:after="0"/>
              <w:rPr>
                <w:sz w:val="20"/>
                <w:szCs w:val="20"/>
                <w:color w:val="auto"/>
              </w:rPr>
            </w:pPr>
            <w:r>
              <w:rPr>
                <w:rFonts w:ascii="Arial" w:cs="Arial" w:eastAsia="Arial" w:hAnsi="Arial"/>
                <w:sz w:val="10"/>
                <w:szCs w:val="10"/>
                <w:color w:val="003551"/>
              </w:rPr>
              <w:t>$1,940,501</w:t>
            </w:r>
          </w:p>
        </w:tc>
        <w:tc>
          <w:tcPr>
            <w:tcW w:w="40" w:type="dxa"/>
            <w:vAlign w:val="bottom"/>
          </w:tcPr>
          <w:p>
            <w:pPr>
              <w:spacing w:after="0"/>
              <w:rPr>
                <w:sz w:val="20"/>
                <w:szCs w:val="20"/>
                <w:color w:val="auto"/>
              </w:rPr>
            </w:pPr>
          </w:p>
        </w:tc>
        <w:tc>
          <w:tcPr>
            <w:tcW w:w="640" w:type="dxa"/>
            <w:vAlign w:val="bottom"/>
            <w:gridSpan w:val="2"/>
          </w:tcPr>
          <w:p>
            <w:pPr>
              <w:ind w:left="20"/>
              <w:spacing w:after="0"/>
              <w:rPr>
                <w:sz w:val="20"/>
                <w:szCs w:val="20"/>
                <w:color w:val="auto"/>
              </w:rPr>
            </w:pPr>
            <w:r>
              <w:rPr>
                <w:rFonts w:ascii="Arial" w:cs="Arial" w:eastAsia="Arial" w:hAnsi="Arial"/>
                <w:sz w:val="10"/>
                <w:szCs w:val="10"/>
                <w:color w:val="003551"/>
              </w:rPr>
              <w:t>$337</w:t>
            </w:r>
          </w:p>
        </w:tc>
        <w:tc>
          <w:tcPr>
            <w:tcW w:w="700" w:type="dxa"/>
            <w:vAlign w:val="bottom"/>
            <w:gridSpan w:val="2"/>
          </w:tcPr>
          <w:p>
            <w:pPr>
              <w:ind w:left="80"/>
              <w:spacing w:after="0"/>
              <w:rPr>
                <w:sz w:val="20"/>
                <w:szCs w:val="20"/>
                <w:color w:val="auto"/>
              </w:rPr>
            </w:pPr>
            <w:r>
              <w:rPr>
                <w:rFonts w:ascii="Arial" w:cs="Arial" w:eastAsia="Arial" w:hAnsi="Arial"/>
                <w:sz w:val="10"/>
                <w:szCs w:val="10"/>
                <w:color w:val="003551"/>
              </w:rPr>
              <w:t>$297</w:t>
            </w:r>
          </w:p>
        </w:tc>
        <w:tc>
          <w:tcPr>
            <w:tcW w:w="40" w:type="dxa"/>
            <w:vAlign w:val="bottom"/>
          </w:tcPr>
          <w:p>
            <w:pPr>
              <w:spacing w:after="0"/>
              <w:rPr>
                <w:sz w:val="20"/>
                <w:szCs w:val="20"/>
                <w:color w:val="auto"/>
              </w:rPr>
            </w:pPr>
          </w:p>
        </w:tc>
        <w:tc>
          <w:tcPr>
            <w:tcW w:w="420" w:type="dxa"/>
            <w:vAlign w:val="bottom"/>
            <w:gridSpan w:val="2"/>
          </w:tcPr>
          <w:p>
            <w:pPr>
              <w:ind w:left="40"/>
              <w:spacing w:after="0"/>
              <w:rPr>
                <w:sz w:val="20"/>
                <w:szCs w:val="20"/>
                <w:color w:val="auto"/>
              </w:rPr>
            </w:pPr>
            <w:r>
              <w:rPr>
                <w:rFonts w:ascii="Arial" w:cs="Arial" w:eastAsia="Arial" w:hAnsi="Arial"/>
                <w:sz w:val="10"/>
                <w:szCs w:val="10"/>
                <w:color w:val="003551"/>
              </w:rPr>
              <w:t>($29)</w:t>
            </w:r>
          </w:p>
        </w:tc>
        <w:tc>
          <w:tcPr>
            <w:tcW w:w="780" w:type="dxa"/>
            <w:vAlign w:val="bottom"/>
            <w:gridSpan w:val="2"/>
          </w:tcPr>
          <w:p>
            <w:pPr>
              <w:ind w:left="80"/>
              <w:spacing w:after="0"/>
              <w:rPr>
                <w:sz w:val="20"/>
                <w:szCs w:val="20"/>
                <w:color w:val="auto"/>
              </w:rPr>
            </w:pPr>
            <w:r>
              <w:rPr>
                <w:rFonts w:ascii="Arial" w:cs="Arial" w:eastAsia="Arial" w:hAnsi="Arial"/>
                <w:sz w:val="10"/>
                <w:szCs w:val="10"/>
                <w:color w:val="003551"/>
              </w:rPr>
              <w:t>$11.29</w:t>
            </w:r>
          </w:p>
        </w:tc>
      </w:tr>
      <w:tr>
        <w:trPr>
          <w:trHeight w:val="103"/>
        </w:trPr>
        <w:tc>
          <w:tcPr>
            <w:tcW w:w="500" w:type="dxa"/>
            <w:vAlign w:val="bottom"/>
          </w:tcPr>
          <w:p>
            <w:pPr>
              <w:spacing w:after="0"/>
              <w:rPr>
                <w:sz w:val="8"/>
                <w:szCs w:val="8"/>
                <w:color w:val="auto"/>
              </w:rPr>
            </w:pPr>
          </w:p>
        </w:tc>
        <w:tc>
          <w:tcPr>
            <w:tcW w:w="60" w:type="dxa"/>
            <w:vAlign w:val="bottom"/>
            <w:tcBorders>
              <w:bottom w:val="single" w:sz="8" w:color="77C483"/>
            </w:tcBorders>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Borders>
              <w:bottom w:val="single" w:sz="8" w:color="77C483"/>
            </w:tcBorders>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Borders>
              <w:bottom w:val="single" w:sz="8" w:color="77C483"/>
            </w:tcBorders>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Borders>
              <w:bottom w:val="single" w:sz="8" w:color="77C483"/>
            </w:tcBorders>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Borders>
              <w:bottom w:val="single" w:sz="8" w:color="77C483"/>
            </w:tcBorders>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Borders>
              <w:bottom w:val="single" w:sz="8" w:color="77C483"/>
            </w:tcBorders>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Borders>
              <w:bottom w:val="single" w:sz="8" w:color="77C483"/>
            </w:tcBorders>
          </w:tcPr>
          <w:p>
            <w:pPr>
              <w:spacing w:after="0"/>
              <w:rPr>
                <w:sz w:val="8"/>
                <w:szCs w:val="8"/>
                <w:color w:val="auto"/>
              </w:rPr>
            </w:pPr>
          </w:p>
        </w:tc>
        <w:tc>
          <w:tcPr>
            <w:tcW w:w="40" w:type="dxa"/>
            <w:vAlign w:val="bottom"/>
            <w:tcBorders>
              <w:bottom w:val="single" w:sz="8" w:color="77C483"/>
            </w:tcBorders>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77C483"/>
            </w:tcBorders>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Borders>
              <w:bottom w:val="single" w:sz="8" w:color="77C483"/>
            </w:tcBorders>
          </w:tcPr>
          <w:p>
            <w:pPr>
              <w:spacing w:after="0"/>
              <w:rPr>
                <w:sz w:val="8"/>
                <w:szCs w:val="8"/>
                <w:color w:val="auto"/>
              </w:rPr>
            </w:pPr>
          </w:p>
        </w:tc>
        <w:tc>
          <w:tcPr>
            <w:tcW w:w="40" w:type="dxa"/>
            <w:vAlign w:val="bottom"/>
            <w:tcBorders>
              <w:bottom w:val="single" w:sz="8" w:color="77C483"/>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77C483"/>
            </w:tcBorders>
          </w:tcPr>
          <w:p>
            <w:pPr>
              <w:spacing w:after="0"/>
              <w:rPr>
                <w:sz w:val="8"/>
                <w:szCs w:val="8"/>
                <w:color w:val="auto"/>
              </w:rPr>
            </w:pPr>
          </w:p>
        </w:tc>
        <w:tc>
          <w:tcPr>
            <w:tcW w:w="700" w:type="dxa"/>
            <w:vAlign w:val="bottom"/>
          </w:tcPr>
          <w:p>
            <w:pPr>
              <w:spacing w:after="0"/>
              <w:rPr>
                <w:sz w:val="8"/>
                <w:szCs w:val="8"/>
                <w:color w:val="auto"/>
              </w:rPr>
            </w:pPr>
          </w:p>
        </w:tc>
      </w:tr>
      <w:tr>
        <w:trPr>
          <w:trHeight w:val="231"/>
        </w:trPr>
        <w:tc>
          <w:tcPr>
            <w:tcW w:w="500" w:type="dxa"/>
            <w:vAlign w:val="bottom"/>
          </w:tcPr>
          <w:p>
            <w:pPr>
              <w:ind w:left="160"/>
              <w:spacing w:after="0"/>
              <w:rPr>
                <w:sz w:val="20"/>
                <w:szCs w:val="20"/>
                <w:color w:val="auto"/>
              </w:rPr>
            </w:pPr>
            <w:r>
              <w:rPr>
                <w:rFonts w:ascii="Arial" w:cs="Arial" w:eastAsia="Arial" w:hAnsi="Arial"/>
                <w:sz w:val="10"/>
                <w:szCs w:val="10"/>
                <w:b w:val="1"/>
                <w:bCs w:val="1"/>
                <w:color w:val="003551"/>
              </w:rPr>
              <w:t>2023</w:t>
            </w:r>
          </w:p>
        </w:tc>
        <w:tc>
          <w:tcPr>
            <w:tcW w:w="800" w:type="dxa"/>
            <w:vAlign w:val="bottom"/>
            <w:gridSpan w:val="2"/>
          </w:tcPr>
          <w:p>
            <w:pPr>
              <w:ind w:left="60"/>
              <w:spacing w:after="0"/>
              <w:rPr>
                <w:sz w:val="20"/>
                <w:szCs w:val="20"/>
                <w:color w:val="auto"/>
              </w:rPr>
            </w:pPr>
            <w:r>
              <w:rPr>
                <w:rFonts w:ascii="Arial" w:cs="Arial" w:eastAsia="Arial" w:hAnsi="Arial"/>
                <w:sz w:val="10"/>
                <w:szCs w:val="10"/>
                <w:color w:val="003551"/>
              </w:rPr>
              <w:t>$6,772,876</w:t>
            </w:r>
          </w:p>
        </w:tc>
        <w:tc>
          <w:tcPr>
            <w:tcW w:w="820" w:type="dxa"/>
            <w:vAlign w:val="bottom"/>
            <w:gridSpan w:val="2"/>
          </w:tcPr>
          <w:p>
            <w:pPr>
              <w:ind w:left="80"/>
              <w:spacing w:after="0"/>
              <w:rPr>
                <w:sz w:val="20"/>
                <w:szCs w:val="20"/>
                <w:color w:val="auto"/>
              </w:rPr>
            </w:pPr>
            <w:r>
              <w:rPr>
                <w:rFonts w:ascii="Arial" w:cs="Arial" w:eastAsia="Arial" w:hAnsi="Arial"/>
                <w:sz w:val="10"/>
                <w:szCs w:val="10"/>
                <w:color w:val="003551"/>
              </w:rPr>
              <w:t>$6,772,876</w:t>
            </w:r>
          </w:p>
        </w:tc>
        <w:tc>
          <w:tcPr>
            <w:tcW w:w="800" w:type="dxa"/>
            <w:vAlign w:val="bottom"/>
            <w:gridSpan w:val="2"/>
          </w:tcPr>
          <w:p>
            <w:pPr>
              <w:ind w:left="80"/>
              <w:spacing w:after="0"/>
              <w:rPr>
                <w:sz w:val="20"/>
                <w:szCs w:val="20"/>
                <w:color w:val="auto"/>
              </w:rPr>
            </w:pPr>
            <w:r>
              <w:rPr>
                <w:rFonts w:ascii="Arial" w:cs="Arial" w:eastAsia="Arial" w:hAnsi="Arial"/>
                <w:sz w:val="10"/>
                <w:szCs w:val="10"/>
                <w:color w:val="003551"/>
              </w:rPr>
              <w:t>$8,171,715</w:t>
            </w:r>
          </w:p>
        </w:tc>
        <w:tc>
          <w:tcPr>
            <w:tcW w:w="840" w:type="dxa"/>
            <w:vAlign w:val="bottom"/>
            <w:gridSpan w:val="2"/>
          </w:tcPr>
          <w:p>
            <w:pPr>
              <w:ind w:left="80"/>
              <w:spacing w:after="0"/>
              <w:rPr>
                <w:sz w:val="20"/>
                <w:szCs w:val="20"/>
                <w:color w:val="auto"/>
              </w:rPr>
            </w:pPr>
            <w:r>
              <w:rPr>
                <w:rFonts w:ascii="Arial" w:cs="Arial" w:eastAsia="Arial" w:hAnsi="Arial"/>
                <w:sz w:val="10"/>
                <w:szCs w:val="10"/>
                <w:color w:val="003551"/>
              </w:rPr>
              <w:t>$8,171,715</w:t>
            </w:r>
          </w:p>
        </w:tc>
        <w:tc>
          <w:tcPr>
            <w:tcW w:w="920" w:type="dxa"/>
            <w:vAlign w:val="bottom"/>
            <w:gridSpan w:val="2"/>
          </w:tcPr>
          <w:p>
            <w:pPr>
              <w:ind w:left="60"/>
              <w:spacing w:after="0"/>
              <w:rPr>
                <w:sz w:val="20"/>
                <w:szCs w:val="20"/>
                <w:color w:val="auto"/>
              </w:rPr>
            </w:pPr>
            <w:r>
              <w:rPr>
                <w:rFonts w:ascii="Arial" w:cs="Arial" w:eastAsia="Arial" w:hAnsi="Arial"/>
                <w:sz w:val="10"/>
                <w:szCs w:val="10"/>
                <w:color w:val="003551"/>
              </w:rPr>
              <w:t>$825,703</w:t>
            </w:r>
          </w:p>
        </w:tc>
        <w:tc>
          <w:tcPr>
            <w:tcW w:w="940" w:type="dxa"/>
            <w:vAlign w:val="bottom"/>
            <w:gridSpan w:val="2"/>
          </w:tcPr>
          <w:p>
            <w:pPr>
              <w:ind w:left="80"/>
              <w:spacing w:after="0"/>
              <w:rPr>
                <w:sz w:val="20"/>
                <w:szCs w:val="20"/>
                <w:color w:val="auto"/>
              </w:rPr>
            </w:pPr>
            <w:r>
              <w:rPr>
                <w:rFonts w:ascii="Arial" w:cs="Arial" w:eastAsia="Arial" w:hAnsi="Arial"/>
                <w:sz w:val="10"/>
                <w:szCs w:val="10"/>
                <w:color w:val="003551"/>
              </w:rPr>
              <w:t>$893,793</w:t>
            </w:r>
          </w:p>
        </w:tc>
        <w:tc>
          <w:tcPr>
            <w:tcW w:w="40" w:type="dxa"/>
            <w:vAlign w:val="bottom"/>
          </w:tcPr>
          <w:p>
            <w:pPr>
              <w:spacing w:after="0"/>
              <w:rPr>
                <w:sz w:val="20"/>
                <w:szCs w:val="20"/>
                <w:color w:val="auto"/>
              </w:rPr>
            </w:pPr>
          </w:p>
        </w:tc>
        <w:tc>
          <w:tcPr>
            <w:tcW w:w="640" w:type="dxa"/>
            <w:vAlign w:val="bottom"/>
            <w:gridSpan w:val="2"/>
          </w:tcPr>
          <w:p>
            <w:pPr>
              <w:ind w:left="20"/>
              <w:spacing w:after="0"/>
              <w:rPr>
                <w:sz w:val="20"/>
                <w:szCs w:val="20"/>
                <w:color w:val="auto"/>
              </w:rPr>
            </w:pPr>
            <w:r>
              <w:rPr>
                <w:rFonts w:ascii="Arial" w:cs="Arial" w:eastAsia="Arial" w:hAnsi="Arial"/>
                <w:sz w:val="10"/>
                <w:szCs w:val="10"/>
                <w:color w:val="003551"/>
              </w:rPr>
              <w:t>$139</w:t>
            </w:r>
          </w:p>
        </w:tc>
        <w:tc>
          <w:tcPr>
            <w:tcW w:w="700" w:type="dxa"/>
            <w:vAlign w:val="bottom"/>
            <w:gridSpan w:val="2"/>
          </w:tcPr>
          <w:p>
            <w:pPr>
              <w:ind w:left="80"/>
              <w:spacing w:after="0"/>
              <w:rPr>
                <w:sz w:val="20"/>
                <w:szCs w:val="20"/>
                <w:color w:val="auto"/>
              </w:rPr>
            </w:pPr>
            <w:r>
              <w:rPr>
                <w:rFonts w:ascii="Arial" w:cs="Arial" w:eastAsia="Arial" w:hAnsi="Arial"/>
                <w:sz w:val="10"/>
                <w:szCs w:val="10"/>
                <w:color w:val="003551"/>
              </w:rPr>
              <w:t>$225</w:t>
            </w:r>
          </w:p>
        </w:tc>
        <w:tc>
          <w:tcPr>
            <w:tcW w:w="40" w:type="dxa"/>
            <w:vAlign w:val="bottom"/>
          </w:tcPr>
          <w:p>
            <w:pPr>
              <w:spacing w:after="0"/>
              <w:rPr>
                <w:sz w:val="20"/>
                <w:szCs w:val="20"/>
                <w:color w:val="auto"/>
              </w:rPr>
            </w:pPr>
          </w:p>
        </w:tc>
        <w:tc>
          <w:tcPr>
            <w:tcW w:w="420" w:type="dxa"/>
            <w:vAlign w:val="bottom"/>
            <w:gridSpan w:val="2"/>
          </w:tcPr>
          <w:p>
            <w:pPr>
              <w:ind w:left="40"/>
              <w:spacing w:after="0"/>
              <w:rPr>
                <w:sz w:val="20"/>
                <w:szCs w:val="20"/>
                <w:color w:val="auto"/>
              </w:rPr>
            </w:pPr>
            <w:r>
              <w:rPr>
                <w:rFonts w:ascii="Arial" w:cs="Arial" w:eastAsia="Arial" w:hAnsi="Arial"/>
                <w:sz w:val="10"/>
                <w:szCs w:val="10"/>
                <w:color w:val="003551"/>
              </w:rPr>
              <w:t>($172)</w:t>
            </w:r>
          </w:p>
        </w:tc>
        <w:tc>
          <w:tcPr>
            <w:tcW w:w="780" w:type="dxa"/>
            <w:vAlign w:val="bottom"/>
            <w:gridSpan w:val="2"/>
          </w:tcPr>
          <w:p>
            <w:pPr>
              <w:ind w:left="80"/>
              <w:spacing w:after="0"/>
              <w:rPr>
                <w:sz w:val="20"/>
                <w:szCs w:val="20"/>
                <w:color w:val="auto"/>
              </w:rPr>
            </w:pPr>
            <w:r>
              <w:rPr>
                <w:rFonts w:ascii="Arial" w:cs="Arial" w:eastAsia="Arial" w:hAnsi="Arial"/>
                <w:sz w:val="10"/>
                <w:szCs w:val="10"/>
                <w:color w:val="003551"/>
              </w:rPr>
              <w:t>$4.66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-381000</wp:posOffset>
            </wp:positionV>
            <wp:extent cx="522351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223510"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-156845</wp:posOffset>
            </wp:positionV>
            <wp:extent cx="522351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223510" cy="8255"/>
                    </a:xfrm>
                    <a:prstGeom prst="rect">
                      <a:avLst/>
                    </a:prstGeom>
                    <a:noFill/>
                  </pic:spPr>
                </pic:pic>
              </a:graphicData>
            </a:graphic>
          </wp:anchor>
        </w:drawing>
      </w:r>
    </w:p>
    <w:p>
      <w:pPr>
        <w:spacing w:after="0" w:line="214" w:lineRule="exact"/>
        <w:rPr>
          <w:sz w:val="20"/>
          <w:szCs w:val="20"/>
          <w:color w:val="auto"/>
        </w:rPr>
      </w:pPr>
    </w:p>
    <w:p>
      <w:pPr>
        <w:ind w:left="1280" w:right="740" w:hanging="337"/>
        <w:spacing w:after="0" w:line="236" w:lineRule="auto"/>
        <w:tabs>
          <w:tab w:leader="none" w:pos="1280" w:val="left"/>
        </w:tabs>
        <w:numPr>
          <w:ilvl w:val="0"/>
          <w:numId w:val="46"/>
        </w:numPr>
        <w:rPr>
          <w:rFonts w:ascii="Arial" w:cs="Arial" w:eastAsia="Arial" w:hAnsi="Arial"/>
          <w:sz w:val="12"/>
          <w:szCs w:val="12"/>
          <w:i w:val="1"/>
          <w:iCs w:val="1"/>
          <w:color w:val="003551"/>
        </w:rPr>
      </w:pPr>
      <w:r>
        <w:rPr>
          <w:rFonts w:ascii="Arial" w:cs="Arial" w:eastAsia="Arial" w:hAnsi="Arial"/>
          <w:sz w:val="12"/>
          <w:szCs w:val="12"/>
          <w:i w:val="1"/>
          <w:iCs w:val="1"/>
          <w:color w:val="003551"/>
        </w:rPr>
        <w:t>Mr. William Roberts and Mr. Daniel Roberts served as Co-PEOs for fiscal years 2023, 2024, and 2025. Our Non-PEO NEO for the three applicable years is Ms. Belinda Nucifora.</w:t>
      </w:r>
    </w:p>
    <w:p>
      <w:pPr>
        <w:jc w:val="both"/>
        <w:ind w:left="1280" w:right="740" w:hanging="337"/>
        <w:spacing w:after="0" w:line="238" w:lineRule="auto"/>
        <w:tabs>
          <w:tab w:leader="none" w:pos="1280" w:val="left"/>
        </w:tabs>
        <w:numPr>
          <w:ilvl w:val="0"/>
          <w:numId w:val="46"/>
        </w:numPr>
        <w:rPr>
          <w:rFonts w:ascii="Arial" w:cs="Arial" w:eastAsia="Arial" w:hAnsi="Arial"/>
          <w:sz w:val="12"/>
          <w:szCs w:val="12"/>
          <w:i w:val="1"/>
          <w:iCs w:val="1"/>
          <w:color w:val="003551"/>
        </w:rPr>
      </w:pPr>
      <w:r>
        <w:rPr>
          <w:rFonts w:ascii="Arial" w:cs="Arial" w:eastAsia="Arial" w:hAnsi="Arial"/>
          <w:sz w:val="12"/>
          <w:szCs w:val="12"/>
          <w:i w:val="1"/>
          <w:iCs w:val="1"/>
          <w:color w:val="003551"/>
        </w:rPr>
        <w:t>Amounts reported in these columns represent (i) the total compensation reported in the Summary Compensation Table (“SCT”) for the applicable year in the case of our Co-PEOs, and (ii) the average of the total compensation reported in the SCT for the applicable year for our Non-PEO NEO reported for the applicable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125730</wp:posOffset>
            </wp:positionV>
            <wp:extent cx="540385" cy="6318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6" w:right="12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left="1280" w:right="740" w:hanging="337"/>
        <w:spacing w:after="0" w:line="239" w:lineRule="auto"/>
        <w:tabs>
          <w:tab w:leader="none" w:pos="1280" w:val="left"/>
        </w:tabs>
        <w:numPr>
          <w:ilvl w:val="0"/>
          <w:numId w:val="47"/>
        </w:numPr>
        <w:rPr>
          <w:rFonts w:ascii="Arial" w:cs="Arial" w:eastAsia="Arial" w:hAnsi="Arial"/>
          <w:sz w:val="12"/>
          <w:szCs w:val="12"/>
          <w:i w:val="1"/>
          <w:iCs w:val="1"/>
          <w:color w:val="003551"/>
        </w:rPr>
      </w:pPr>
      <w:r>
        <w:rPr>
          <w:rFonts w:ascii="Arial" w:cs="Arial" w:eastAsia="Arial" w:hAnsi="Arial"/>
          <w:sz w:val="12"/>
          <w:szCs w:val="12"/>
          <w:i w:val="1"/>
          <w:iCs w:val="1"/>
          <w:color w:val="003551"/>
        </w:rPr>
        <w:t>Amounts reported in these columns represent compensation actually paid or “CAP”; adjustments were made to the amounts reported in the Summary Compensation Table for the applicable year. A reconciliation of the adjustments for our Co-PEOs, and for the average of the Non-PEO NEO is set forth in the following table, which describes the adjustments, each of which is prescribed by the SEC rules, to calculate the CAP Amounts from SCT amounts.</w:t>
      </w:r>
    </w:p>
    <w:p>
      <w:pPr>
        <w:spacing w:after="0" w:line="108" w:lineRule="exact"/>
        <w:rPr>
          <w:sz w:val="20"/>
          <w:szCs w:val="20"/>
          <w:color w:val="auto"/>
        </w:rPr>
      </w:pPr>
    </w:p>
    <w:tbl>
      <w:tblPr>
        <w:tblLayout w:type="fixed"/>
        <w:tblInd w:w="1280" w:type="dxa"/>
        <w:tblCellMar>
          <w:top w:w="0" w:type="dxa"/>
          <w:left w:w="0" w:type="dxa"/>
          <w:bottom w:w="0" w:type="dxa"/>
          <w:right w:w="0" w:type="dxa"/>
        </w:tblCellMar>
      </w:tblPr>
      <w:tr>
        <w:trPr>
          <w:trHeight w:val="363"/>
        </w:trPr>
        <w:tc>
          <w:tcPr>
            <w:tcW w:w="100" w:type="dxa"/>
            <w:vAlign w:val="bottom"/>
            <w:shd w:val="clear" w:color="auto" w:fill="77C483"/>
          </w:tcPr>
          <w:p>
            <w:pPr>
              <w:spacing w:after="0"/>
              <w:rPr>
                <w:sz w:val="24"/>
                <w:szCs w:val="24"/>
                <w:color w:val="auto"/>
              </w:rPr>
            </w:pPr>
          </w:p>
        </w:tc>
        <w:tc>
          <w:tcPr>
            <w:tcW w:w="1540" w:type="dxa"/>
            <w:vAlign w:val="bottom"/>
            <w:shd w:val="clear" w:color="auto" w:fill="77C483"/>
          </w:tcPr>
          <w:p>
            <w:pPr>
              <w:spacing w:after="0"/>
              <w:rPr>
                <w:sz w:val="24"/>
                <w:szCs w:val="24"/>
                <w:color w:val="auto"/>
              </w:rPr>
            </w:pPr>
          </w:p>
        </w:tc>
        <w:tc>
          <w:tcPr>
            <w:tcW w:w="100" w:type="dxa"/>
            <w:vAlign w:val="bottom"/>
            <w:shd w:val="clear" w:color="auto" w:fill="77C483"/>
          </w:tcPr>
          <w:p>
            <w:pPr>
              <w:spacing w:after="0"/>
              <w:rPr>
                <w:sz w:val="24"/>
                <w:szCs w:val="24"/>
                <w:color w:val="auto"/>
              </w:rPr>
            </w:pPr>
          </w:p>
        </w:tc>
        <w:tc>
          <w:tcPr>
            <w:tcW w:w="660" w:type="dxa"/>
            <w:vAlign w:val="bottom"/>
            <w:shd w:val="clear" w:color="auto" w:fill="77C483"/>
          </w:tcPr>
          <w:p>
            <w:pPr>
              <w:spacing w:after="0"/>
              <w:rPr>
                <w:sz w:val="24"/>
                <w:szCs w:val="24"/>
                <w:color w:val="auto"/>
              </w:rPr>
            </w:pPr>
          </w:p>
        </w:tc>
        <w:tc>
          <w:tcPr>
            <w:tcW w:w="840" w:type="dxa"/>
            <w:vAlign w:val="bottom"/>
            <w:gridSpan w:val="3"/>
            <w:shd w:val="clear" w:color="auto" w:fill="77C483"/>
          </w:tcPr>
          <w:p>
            <w:pPr>
              <w:spacing w:after="0"/>
              <w:rPr>
                <w:sz w:val="20"/>
                <w:szCs w:val="20"/>
                <w:color w:val="auto"/>
              </w:rPr>
            </w:pPr>
            <w:r>
              <w:rPr>
                <w:rFonts w:ascii="Arial" w:cs="Arial" w:eastAsia="Arial" w:hAnsi="Arial"/>
                <w:sz w:val="10"/>
                <w:szCs w:val="10"/>
                <w:b w:val="1"/>
                <w:bCs w:val="1"/>
                <w:color w:val="003551"/>
              </w:rPr>
              <w:t>Fiscal Year 2025</w:t>
            </w:r>
          </w:p>
        </w:tc>
        <w:tc>
          <w:tcPr>
            <w:tcW w:w="560" w:type="dxa"/>
            <w:vAlign w:val="bottom"/>
            <w:shd w:val="clear" w:color="auto" w:fill="77C483"/>
          </w:tcPr>
          <w:p>
            <w:pPr>
              <w:spacing w:after="0"/>
              <w:rPr>
                <w:sz w:val="24"/>
                <w:szCs w:val="24"/>
                <w:color w:val="auto"/>
              </w:rPr>
            </w:pPr>
          </w:p>
        </w:tc>
        <w:tc>
          <w:tcPr>
            <w:tcW w:w="100" w:type="dxa"/>
            <w:vAlign w:val="bottom"/>
            <w:shd w:val="clear" w:color="auto" w:fill="77C483"/>
          </w:tcPr>
          <w:p>
            <w:pPr>
              <w:spacing w:after="0"/>
              <w:rPr>
                <w:sz w:val="24"/>
                <w:szCs w:val="24"/>
                <w:color w:val="auto"/>
              </w:rPr>
            </w:pPr>
          </w:p>
        </w:tc>
        <w:tc>
          <w:tcPr>
            <w:tcW w:w="580" w:type="dxa"/>
            <w:vAlign w:val="bottom"/>
            <w:shd w:val="clear" w:color="auto" w:fill="77C483"/>
          </w:tcPr>
          <w:p>
            <w:pPr>
              <w:spacing w:after="0"/>
              <w:rPr>
                <w:sz w:val="24"/>
                <w:szCs w:val="24"/>
                <w:color w:val="auto"/>
              </w:rPr>
            </w:pPr>
          </w:p>
        </w:tc>
        <w:tc>
          <w:tcPr>
            <w:tcW w:w="800" w:type="dxa"/>
            <w:vAlign w:val="bottom"/>
            <w:gridSpan w:val="3"/>
            <w:shd w:val="clear" w:color="auto" w:fill="77C483"/>
          </w:tcPr>
          <w:p>
            <w:pPr>
              <w:spacing w:after="0"/>
              <w:rPr>
                <w:sz w:val="20"/>
                <w:szCs w:val="20"/>
                <w:color w:val="auto"/>
              </w:rPr>
            </w:pPr>
            <w:r>
              <w:rPr>
                <w:rFonts w:ascii="Arial" w:cs="Arial" w:eastAsia="Arial" w:hAnsi="Arial"/>
                <w:sz w:val="10"/>
                <w:szCs w:val="10"/>
                <w:b w:val="1"/>
                <w:bCs w:val="1"/>
                <w:color w:val="003551"/>
              </w:rPr>
              <w:t>Fiscal Year 2024</w:t>
            </w:r>
          </w:p>
        </w:tc>
        <w:tc>
          <w:tcPr>
            <w:tcW w:w="540" w:type="dxa"/>
            <w:vAlign w:val="bottom"/>
            <w:shd w:val="clear" w:color="auto" w:fill="77C483"/>
          </w:tcPr>
          <w:p>
            <w:pPr>
              <w:spacing w:after="0"/>
              <w:rPr>
                <w:sz w:val="24"/>
                <w:szCs w:val="24"/>
                <w:color w:val="auto"/>
              </w:rPr>
            </w:pPr>
          </w:p>
        </w:tc>
        <w:tc>
          <w:tcPr>
            <w:tcW w:w="100" w:type="dxa"/>
            <w:vAlign w:val="bottom"/>
            <w:shd w:val="clear" w:color="auto" w:fill="77C483"/>
          </w:tcPr>
          <w:p>
            <w:pPr>
              <w:spacing w:after="0"/>
              <w:rPr>
                <w:sz w:val="24"/>
                <w:szCs w:val="24"/>
                <w:color w:val="auto"/>
              </w:rPr>
            </w:pPr>
          </w:p>
        </w:tc>
        <w:tc>
          <w:tcPr>
            <w:tcW w:w="560" w:type="dxa"/>
            <w:vAlign w:val="bottom"/>
            <w:shd w:val="clear" w:color="auto" w:fill="77C483"/>
          </w:tcPr>
          <w:p>
            <w:pPr>
              <w:spacing w:after="0"/>
              <w:rPr>
                <w:sz w:val="24"/>
                <w:szCs w:val="24"/>
                <w:color w:val="auto"/>
              </w:rPr>
            </w:pPr>
          </w:p>
        </w:tc>
        <w:tc>
          <w:tcPr>
            <w:tcW w:w="820" w:type="dxa"/>
            <w:vAlign w:val="bottom"/>
            <w:gridSpan w:val="4"/>
            <w:shd w:val="clear" w:color="auto" w:fill="77C483"/>
          </w:tcPr>
          <w:p>
            <w:pPr>
              <w:spacing w:after="0"/>
              <w:rPr>
                <w:sz w:val="20"/>
                <w:szCs w:val="20"/>
                <w:color w:val="auto"/>
              </w:rPr>
            </w:pPr>
            <w:r>
              <w:rPr>
                <w:rFonts w:ascii="Arial" w:cs="Arial" w:eastAsia="Arial" w:hAnsi="Arial"/>
                <w:sz w:val="10"/>
                <w:szCs w:val="10"/>
                <w:b w:val="1"/>
                <w:bCs w:val="1"/>
                <w:color w:val="003551"/>
              </w:rPr>
              <w:t>Fiscal Year 2023</w:t>
            </w:r>
          </w:p>
        </w:tc>
        <w:tc>
          <w:tcPr>
            <w:tcW w:w="580" w:type="dxa"/>
            <w:vAlign w:val="bottom"/>
            <w:shd w:val="clear" w:color="auto" w:fill="77C483"/>
          </w:tcPr>
          <w:p>
            <w:pPr>
              <w:spacing w:after="0"/>
              <w:rPr>
                <w:sz w:val="24"/>
                <w:szCs w:val="24"/>
                <w:color w:val="auto"/>
              </w:rPr>
            </w:pPr>
          </w:p>
        </w:tc>
      </w:tr>
      <w:tr>
        <w:trPr>
          <w:trHeight w:val="82"/>
        </w:trPr>
        <w:tc>
          <w:tcPr>
            <w:tcW w:w="100" w:type="dxa"/>
            <w:vAlign w:val="bottom"/>
            <w:tcBorders>
              <w:bottom w:val="single" w:sz="8" w:color="77C483"/>
            </w:tcBorders>
            <w:shd w:val="clear" w:color="auto" w:fill="77C483"/>
          </w:tcPr>
          <w:p>
            <w:pPr>
              <w:spacing w:after="0"/>
              <w:rPr>
                <w:sz w:val="7"/>
                <w:szCs w:val="7"/>
                <w:color w:val="auto"/>
              </w:rPr>
            </w:pPr>
          </w:p>
        </w:tc>
        <w:tc>
          <w:tcPr>
            <w:tcW w:w="1540" w:type="dxa"/>
            <w:vAlign w:val="bottom"/>
            <w:tcBorders>
              <w:bottom w:val="single" w:sz="8" w:color="003551"/>
            </w:tcBorders>
            <w:shd w:val="clear" w:color="auto" w:fill="77C483"/>
          </w:tcPr>
          <w:p>
            <w:pPr>
              <w:spacing w:after="0"/>
              <w:rPr>
                <w:sz w:val="7"/>
                <w:szCs w:val="7"/>
                <w:color w:val="auto"/>
              </w:rPr>
            </w:pPr>
          </w:p>
        </w:tc>
        <w:tc>
          <w:tcPr>
            <w:tcW w:w="100" w:type="dxa"/>
            <w:vAlign w:val="bottom"/>
            <w:tcBorders>
              <w:bottom w:val="single" w:sz="8" w:color="003551"/>
            </w:tcBorders>
            <w:shd w:val="clear" w:color="auto" w:fill="77C483"/>
          </w:tcPr>
          <w:p>
            <w:pPr>
              <w:spacing w:after="0"/>
              <w:rPr>
                <w:sz w:val="7"/>
                <w:szCs w:val="7"/>
                <w:color w:val="auto"/>
              </w:rPr>
            </w:pPr>
          </w:p>
        </w:tc>
        <w:tc>
          <w:tcPr>
            <w:tcW w:w="660" w:type="dxa"/>
            <w:vAlign w:val="bottom"/>
            <w:tcBorders>
              <w:bottom w:val="single" w:sz="8" w:color="003551"/>
            </w:tcBorders>
            <w:shd w:val="clear" w:color="auto" w:fill="77C483"/>
          </w:tcPr>
          <w:p>
            <w:pPr>
              <w:spacing w:after="0"/>
              <w:rPr>
                <w:sz w:val="7"/>
                <w:szCs w:val="7"/>
                <w:color w:val="auto"/>
              </w:rPr>
            </w:pPr>
          </w:p>
        </w:tc>
        <w:tc>
          <w:tcPr>
            <w:tcW w:w="100" w:type="dxa"/>
            <w:vAlign w:val="bottom"/>
            <w:tcBorders>
              <w:bottom w:val="single" w:sz="8" w:color="003551"/>
            </w:tcBorders>
            <w:shd w:val="clear" w:color="auto" w:fill="77C483"/>
          </w:tcPr>
          <w:p>
            <w:pPr>
              <w:spacing w:after="0"/>
              <w:rPr>
                <w:sz w:val="7"/>
                <w:szCs w:val="7"/>
                <w:color w:val="auto"/>
              </w:rPr>
            </w:pPr>
          </w:p>
        </w:tc>
        <w:tc>
          <w:tcPr>
            <w:tcW w:w="640" w:type="dxa"/>
            <w:vAlign w:val="bottom"/>
            <w:tcBorders>
              <w:bottom w:val="single" w:sz="8" w:color="003551"/>
            </w:tcBorders>
            <w:shd w:val="clear" w:color="auto" w:fill="77C483"/>
          </w:tcPr>
          <w:p>
            <w:pPr>
              <w:spacing w:after="0"/>
              <w:rPr>
                <w:sz w:val="7"/>
                <w:szCs w:val="7"/>
                <w:color w:val="auto"/>
              </w:rPr>
            </w:pPr>
          </w:p>
        </w:tc>
        <w:tc>
          <w:tcPr>
            <w:tcW w:w="100" w:type="dxa"/>
            <w:vAlign w:val="bottom"/>
            <w:tcBorders>
              <w:bottom w:val="single" w:sz="8" w:color="003551"/>
            </w:tcBorders>
            <w:shd w:val="clear" w:color="auto" w:fill="77C483"/>
          </w:tcPr>
          <w:p>
            <w:pPr>
              <w:spacing w:after="0"/>
              <w:rPr>
                <w:sz w:val="7"/>
                <w:szCs w:val="7"/>
                <w:color w:val="auto"/>
              </w:rPr>
            </w:pPr>
          </w:p>
        </w:tc>
        <w:tc>
          <w:tcPr>
            <w:tcW w:w="560" w:type="dxa"/>
            <w:vAlign w:val="bottom"/>
            <w:tcBorders>
              <w:bottom w:val="single" w:sz="8" w:color="003551"/>
            </w:tcBorders>
            <w:shd w:val="clear" w:color="auto" w:fill="77C483"/>
          </w:tcPr>
          <w:p>
            <w:pPr>
              <w:spacing w:after="0"/>
              <w:rPr>
                <w:sz w:val="7"/>
                <w:szCs w:val="7"/>
                <w:color w:val="auto"/>
              </w:rPr>
            </w:pPr>
          </w:p>
        </w:tc>
        <w:tc>
          <w:tcPr>
            <w:tcW w:w="100" w:type="dxa"/>
            <w:vAlign w:val="bottom"/>
            <w:tcBorders>
              <w:bottom w:val="single" w:sz="8" w:color="003551"/>
            </w:tcBorders>
            <w:shd w:val="clear" w:color="auto" w:fill="77C483"/>
          </w:tcPr>
          <w:p>
            <w:pPr>
              <w:spacing w:after="0"/>
              <w:rPr>
                <w:sz w:val="7"/>
                <w:szCs w:val="7"/>
                <w:color w:val="auto"/>
              </w:rPr>
            </w:pPr>
          </w:p>
        </w:tc>
        <w:tc>
          <w:tcPr>
            <w:tcW w:w="580" w:type="dxa"/>
            <w:vAlign w:val="bottom"/>
            <w:tcBorders>
              <w:bottom w:val="single" w:sz="8" w:color="003551"/>
            </w:tcBorders>
            <w:shd w:val="clear" w:color="auto" w:fill="77C483"/>
          </w:tcPr>
          <w:p>
            <w:pPr>
              <w:spacing w:after="0"/>
              <w:rPr>
                <w:sz w:val="7"/>
                <w:szCs w:val="7"/>
                <w:color w:val="auto"/>
              </w:rPr>
            </w:pPr>
          </w:p>
        </w:tc>
        <w:tc>
          <w:tcPr>
            <w:tcW w:w="120" w:type="dxa"/>
            <w:vAlign w:val="bottom"/>
            <w:tcBorders>
              <w:bottom w:val="single" w:sz="8" w:color="003551"/>
            </w:tcBorders>
            <w:shd w:val="clear" w:color="auto" w:fill="77C483"/>
          </w:tcPr>
          <w:p>
            <w:pPr>
              <w:spacing w:after="0"/>
              <w:rPr>
                <w:sz w:val="7"/>
                <w:szCs w:val="7"/>
                <w:color w:val="auto"/>
              </w:rPr>
            </w:pPr>
          </w:p>
        </w:tc>
        <w:tc>
          <w:tcPr>
            <w:tcW w:w="580" w:type="dxa"/>
            <w:vAlign w:val="bottom"/>
            <w:tcBorders>
              <w:bottom w:val="single" w:sz="8" w:color="003551"/>
            </w:tcBorders>
            <w:shd w:val="clear" w:color="auto" w:fill="77C483"/>
          </w:tcPr>
          <w:p>
            <w:pPr>
              <w:spacing w:after="0"/>
              <w:rPr>
                <w:sz w:val="7"/>
                <w:szCs w:val="7"/>
                <w:color w:val="auto"/>
              </w:rPr>
            </w:pPr>
          </w:p>
        </w:tc>
        <w:tc>
          <w:tcPr>
            <w:tcW w:w="100" w:type="dxa"/>
            <w:vAlign w:val="bottom"/>
            <w:tcBorders>
              <w:bottom w:val="single" w:sz="8" w:color="003551"/>
            </w:tcBorders>
            <w:shd w:val="clear" w:color="auto" w:fill="77C483"/>
          </w:tcPr>
          <w:p>
            <w:pPr>
              <w:spacing w:after="0"/>
              <w:rPr>
                <w:sz w:val="7"/>
                <w:szCs w:val="7"/>
                <w:color w:val="auto"/>
              </w:rPr>
            </w:pPr>
          </w:p>
        </w:tc>
        <w:tc>
          <w:tcPr>
            <w:tcW w:w="540" w:type="dxa"/>
            <w:vAlign w:val="bottom"/>
            <w:tcBorders>
              <w:bottom w:val="single" w:sz="8" w:color="003551"/>
            </w:tcBorders>
            <w:shd w:val="clear" w:color="auto" w:fill="77C483"/>
          </w:tcPr>
          <w:p>
            <w:pPr>
              <w:spacing w:after="0"/>
              <w:rPr>
                <w:sz w:val="7"/>
                <w:szCs w:val="7"/>
                <w:color w:val="auto"/>
              </w:rPr>
            </w:pPr>
          </w:p>
        </w:tc>
        <w:tc>
          <w:tcPr>
            <w:tcW w:w="100" w:type="dxa"/>
            <w:vAlign w:val="bottom"/>
            <w:tcBorders>
              <w:bottom w:val="single" w:sz="8" w:color="003551"/>
            </w:tcBorders>
            <w:shd w:val="clear" w:color="auto" w:fill="77C483"/>
          </w:tcPr>
          <w:p>
            <w:pPr>
              <w:spacing w:after="0"/>
              <w:rPr>
                <w:sz w:val="7"/>
                <w:szCs w:val="7"/>
                <w:color w:val="auto"/>
              </w:rPr>
            </w:pPr>
          </w:p>
        </w:tc>
        <w:tc>
          <w:tcPr>
            <w:tcW w:w="560" w:type="dxa"/>
            <w:vAlign w:val="bottom"/>
            <w:tcBorders>
              <w:bottom w:val="single" w:sz="8" w:color="003551"/>
            </w:tcBorders>
            <w:shd w:val="clear" w:color="auto" w:fill="77C483"/>
          </w:tcPr>
          <w:p>
            <w:pPr>
              <w:spacing w:after="0"/>
              <w:rPr>
                <w:sz w:val="7"/>
                <w:szCs w:val="7"/>
                <w:color w:val="auto"/>
              </w:rPr>
            </w:pPr>
          </w:p>
        </w:tc>
        <w:tc>
          <w:tcPr>
            <w:tcW w:w="20" w:type="dxa"/>
            <w:vAlign w:val="bottom"/>
            <w:tcBorders>
              <w:bottom w:val="single" w:sz="8" w:color="003551"/>
            </w:tcBorders>
            <w:shd w:val="clear" w:color="auto" w:fill="77C483"/>
          </w:tcPr>
          <w:p>
            <w:pPr>
              <w:spacing w:after="0"/>
              <w:rPr>
                <w:sz w:val="7"/>
                <w:szCs w:val="7"/>
                <w:color w:val="auto"/>
              </w:rPr>
            </w:pPr>
          </w:p>
        </w:tc>
        <w:tc>
          <w:tcPr>
            <w:tcW w:w="100" w:type="dxa"/>
            <w:vAlign w:val="bottom"/>
            <w:tcBorders>
              <w:bottom w:val="single" w:sz="8" w:color="003551"/>
            </w:tcBorders>
            <w:shd w:val="clear" w:color="auto" w:fill="77C483"/>
          </w:tcPr>
          <w:p>
            <w:pPr>
              <w:spacing w:after="0"/>
              <w:rPr>
                <w:sz w:val="7"/>
                <w:szCs w:val="7"/>
                <w:color w:val="auto"/>
              </w:rPr>
            </w:pPr>
          </w:p>
        </w:tc>
        <w:tc>
          <w:tcPr>
            <w:tcW w:w="580" w:type="dxa"/>
            <w:vAlign w:val="bottom"/>
            <w:tcBorders>
              <w:bottom w:val="single" w:sz="8" w:color="003551"/>
            </w:tcBorders>
            <w:shd w:val="clear" w:color="auto" w:fill="77C483"/>
          </w:tcPr>
          <w:p>
            <w:pPr>
              <w:spacing w:after="0"/>
              <w:rPr>
                <w:sz w:val="7"/>
                <w:szCs w:val="7"/>
                <w:color w:val="auto"/>
              </w:rPr>
            </w:pPr>
          </w:p>
        </w:tc>
        <w:tc>
          <w:tcPr>
            <w:tcW w:w="120" w:type="dxa"/>
            <w:vAlign w:val="bottom"/>
            <w:tcBorders>
              <w:bottom w:val="single" w:sz="8" w:color="003551"/>
            </w:tcBorders>
            <w:shd w:val="clear" w:color="auto" w:fill="77C483"/>
          </w:tcPr>
          <w:p>
            <w:pPr>
              <w:spacing w:after="0"/>
              <w:rPr>
                <w:sz w:val="7"/>
                <w:szCs w:val="7"/>
                <w:color w:val="auto"/>
              </w:rPr>
            </w:pPr>
          </w:p>
        </w:tc>
        <w:tc>
          <w:tcPr>
            <w:tcW w:w="580" w:type="dxa"/>
            <w:vAlign w:val="bottom"/>
            <w:tcBorders>
              <w:bottom w:val="single" w:sz="8" w:color="003551"/>
            </w:tcBorders>
            <w:shd w:val="clear" w:color="auto" w:fill="77C483"/>
          </w:tcPr>
          <w:p>
            <w:pPr>
              <w:spacing w:after="0"/>
              <w:rPr>
                <w:sz w:val="7"/>
                <w:szCs w:val="7"/>
                <w:color w:val="auto"/>
              </w:rPr>
            </w:pPr>
          </w:p>
        </w:tc>
      </w:tr>
      <w:tr>
        <w:trPr>
          <w:trHeight w:val="190"/>
        </w:trPr>
        <w:tc>
          <w:tcPr>
            <w:tcW w:w="100" w:type="dxa"/>
            <w:vAlign w:val="bottom"/>
            <w:shd w:val="clear" w:color="auto" w:fill="77C483"/>
          </w:tcPr>
          <w:p>
            <w:pPr>
              <w:spacing w:after="0"/>
              <w:rPr>
                <w:sz w:val="16"/>
                <w:szCs w:val="16"/>
                <w:color w:val="auto"/>
              </w:rPr>
            </w:pPr>
          </w:p>
        </w:tc>
        <w:tc>
          <w:tcPr>
            <w:tcW w:w="1540" w:type="dxa"/>
            <w:vAlign w:val="bottom"/>
            <w:shd w:val="clear" w:color="auto" w:fill="77C483"/>
          </w:tcPr>
          <w:p>
            <w:pPr>
              <w:spacing w:after="0"/>
              <w:rPr>
                <w:sz w:val="16"/>
                <w:szCs w:val="16"/>
                <w:color w:val="auto"/>
              </w:rPr>
            </w:pPr>
          </w:p>
        </w:tc>
        <w:tc>
          <w:tcPr>
            <w:tcW w:w="100" w:type="dxa"/>
            <w:vAlign w:val="bottom"/>
            <w:shd w:val="clear" w:color="auto" w:fill="77C483"/>
          </w:tcPr>
          <w:p>
            <w:pPr>
              <w:spacing w:after="0"/>
              <w:rPr>
                <w:sz w:val="16"/>
                <w:szCs w:val="16"/>
                <w:color w:val="auto"/>
              </w:rPr>
            </w:pPr>
          </w:p>
        </w:tc>
        <w:tc>
          <w:tcPr>
            <w:tcW w:w="660" w:type="dxa"/>
            <w:vAlign w:val="bottom"/>
            <w:shd w:val="clear" w:color="auto" w:fill="77C483"/>
          </w:tcPr>
          <w:p>
            <w:pPr>
              <w:spacing w:after="0"/>
              <w:rPr>
                <w:sz w:val="16"/>
                <w:szCs w:val="16"/>
                <w:color w:val="auto"/>
              </w:rPr>
            </w:pPr>
          </w:p>
        </w:tc>
        <w:tc>
          <w:tcPr>
            <w:tcW w:w="100" w:type="dxa"/>
            <w:vAlign w:val="bottom"/>
            <w:shd w:val="clear" w:color="auto" w:fill="77C483"/>
          </w:tcPr>
          <w:p>
            <w:pPr>
              <w:spacing w:after="0"/>
              <w:rPr>
                <w:sz w:val="16"/>
                <w:szCs w:val="16"/>
                <w:color w:val="auto"/>
              </w:rPr>
            </w:pPr>
          </w:p>
        </w:tc>
        <w:tc>
          <w:tcPr>
            <w:tcW w:w="640" w:type="dxa"/>
            <w:vAlign w:val="bottom"/>
            <w:shd w:val="clear" w:color="auto" w:fill="77C483"/>
          </w:tcPr>
          <w:p>
            <w:pPr>
              <w:spacing w:after="0"/>
              <w:rPr>
                <w:sz w:val="16"/>
                <w:szCs w:val="16"/>
                <w:color w:val="auto"/>
              </w:rPr>
            </w:pPr>
          </w:p>
        </w:tc>
        <w:tc>
          <w:tcPr>
            <w:tcW w:w="100" w:type="dxa"/>
            <w:vAlign w:val="bottom"/>
            <w:shd w:val="clear" w:color="auto" w:fill="77C483"/>
          </w:tcPr>
          <w:p>
            <w:pPr>
              <w:spacing w:after="0"/>
              <w:rPr>
                <w:sz w:val="16"/>
                <w:szCs w:val="16"/>
                <w:color w:val="auto"/>
              </w:rPr>
            </w:pPr>
          </w:p>
        </w:tc>
        <w:tc>
          <w:tcPr>
            <w:tcW w:w="560" w:type="dxa"/>
            <w:vAlign w:val="bottom"/>
            <w:shd w:val="clear" w:color="auto" w:fill="77C483"/>
          </w:tcPr>
          <w:p>
            <w:pPr>
              <w:spacing w:after="0"/>
              <w:rPr>
                <w:sz w:val="20"/>
                <w:szCs w:val="20"/>
                <w:color w:val="auto"/>
              </w:rPr>
            </w:pPr>
            <w:r>
              <w:rPr>
                <w:rFonts w:ascii="Arial" w:cs="Arial" w:eastAsia="Arial" w:hAnsi="Arial"/>
                <w:sz w:val="10"/>
                <w:szCs w:val="10"/>
                <w:b w:val="1"/>
                <w:bCs w:val="1"/>
                <w:color w:val="003551"/>
              </w:rPr>
              <w:t>Average</w:t>
            </w:r>
          </w:p>
        </w:tc>
        <w:tc>
          <w:tcPr>
            <w:tcW w:w="100" w:type="dxa"/>
            <w:vAlign w:val="bottom"/>
            <w:shd w:val="clear" w:color="auto" w:fill="77C483"/>
          </w:tcPr>
          <w:p>
            <w:pPr>
              <w:spacing w:after="0"/>
              <w:rPr>
                <w:sz w:val="16"/>
                <w:szCs w:val="16"/>
                <w:color w:val="auto"/>
              </w:rPr>
            </w:pPr>
          </w:p>
        </w:tc>
        <w:tc>
          <w:tcPr>
            <w:tcW w:w="580" w:type="dxa"/>
            <w:vAlign w:val="bottom"/>
            <w:shd w:val="clear" w:color="auto" w:fill="77C483"/>
          </w:tcPr>
          <w:p>
            <w:pPr>
              <w:spacing w:after="0"/>
              <w:rPr>
                <w:sz w:val="16"/>
                <w:szCs w:val="16"/>
                <w:color w:val="auto"/>
              </w:rPr>
            </w:pPr>
          </w:p>
        </w:tc>
        <w:tc>
          <w:tcPr>
            <w:tcW w:w="120" w:type="dxa"/>
            <w:vAlign w:val="bottom"/>
            <w:shd w:val="clear" w:color="auto" w:fill="77C483"/>
          </w:tcPr>
          <w:p>
            <w:pPr>
              <w:spacing w:after="0"/>
              <w:rPr>
                <w:sz w:val="16"/>
                <w:szCs w:val="16"/>
                <w:color w:val="auto"/>
              </w:rPr>
            </w:pPr>
          </w:p>
        </w:tc>
        <w:tc>
          <w:tcPr>
            <w:tcW w:w="580" w:type="dxa"/>
            <w:vAlign w:val="bottom"/>
            <w:shd w:val="clear" w:color="auto" w:fill="77C483"/>
          </w:tcPr>
          <w:p>
            <w:pPr>
              <w:spacing w:after="0"/>
              <w:rPr>
                <w:sz w:val="16"/>
                <w:szCs w:val="16"/>
                <w:color w:val="auto"/>
              </w:rPr>
            </w:pPr>
          </w:p>
        </w:tc>
        <w:tc>
          <w:tcPr>
            <w:tcW w:w="100" w:type="dxa"/>
            <w:vAlign w:val="bottom"/>
            <w:shd w:val="clear" w:color="auto" w:fill="77C483"/>
          </w:tcPr>
          <w:p>
            <w:pPr>
              <w:spacing w:after="0"/>
              <w:rPr>
                <w:sz w:val="16"/>
                <w:szCs w:val="16"/>
                <w:color w:val="auto"/>
              </w:rPr>
            </w:pPr>
          </w:p>
        </w:tc>
        <w:tc>
          <w:tcPr>
            <w:tcW w:w="540" w:type="dxa"/>
            <w:vAlign w:val="bottom"/>
            <w:shd w:val="clear" w:color="auto" w:fill="77C483"/>
          </w:tcPr>
          <w:p>
            <w:pPr>
              <w:ind w:left="20"/>
              <w:spacing w:after="0"/>
              <w:rPr>
                <w:sz w:val="20"/>
                <w:szCs w:val="20"/>
                <w:color w:val="auto"/>
              </w:rPr>
            </w:pPr>
            <w:r>
              <w:rPr>
                <w:rFonts w:ascii="Arial" w:cs="Arial" w:eastAsia="Arial" w:hAnsi="Arial"/>
                <w:sz w:val="10"/>
                <w:szCs w:val="10"/>
                <w:b w:val="1"/>
                <w:bCs w:val="1"/>
                <w:color w:val="003551"/>
              </w:rPr>
              <w:t>Average</w:t>
            </w:r>
          </w:p>
        </w:tc>
        <w:tc>
          <w:tcPr>
            <w:tcW w:w="100" w:type="dxa"/>
            <w:vAlign w:val="bottom"/>
            <w:shd w:val="clear" w:color="auto" w:fill="77C483"/>
          </w:tcPr>
          <w:p>
            <w:pPr>
              <w:spacing w:after="0"/>
              <w:rPr>
                <w:sz w:val="16"/>
                <w:szCs w:val="16"/>
                <w:color w:val="auto"/>
              </w:rPr>
            </w:pPr>
          </w:p>
        </w:tc>
        <w:tc>
          <w:tcPr>
            <w:tcW w:w="560" w:type="dxa"/>
            <w:vAlign w:val="bottom"/>
            <w:shd w:val="clear" w:color="auto" w:fill="77C483"/>
          </w:tcPr>
          <w:p>
            <w:pPr>
              <w:spacing w:after="0"/>
              <w:rPr>
                <w:sz w:val="16"/>
                <w:szCs w:val="16"/>
                <w:color w:val="auto"/>
              </w:rPr>
            </w:pPr>
          </w:p>
        </w:tc>
        <w:tc>
          <w:tcPr>
            <w:tcW w:w="20" w:type="dxa"/>
            <w:vAlign w:val="bottom"/>
            <w:shd w:val="clear" w:color="auto" w:fill="77C483"/>
          </w:tcPr>
          <w:p>
            <w:pPr>
              <w:spacing w:after="0"/>
              <w:rPr>
                <w:sz w:val="16"/>
                <w:szCs w:val="16"/>
                <w:color w:val="auto"/>
              </w:rPr>
            </w:pPr>
          </w:p>
        </w:tc>
        <w:tc>
          <w:tcPr>
            <w:tcW w:w="100" w:type="dxa"/>
            <w:vAlign w:val="bottom"/>
            <w:shd w:val="clear" w:color="auto" w:fill="77C483"/>
          </w:tcPr>
          <w:p>
            <w:pPr>
              <w:spacing w:after="0"/>
              <w:rPr>
                <w:sz w:val="16"/>
                <w:szCs w:val="16"/>
                <w:color w:val="auto"/>
              </w:rPr>
            </w:pPr>
          </w:p>
        </w:tc>
        <w:tc>
          <w:tcPr>
            <w:tcW w:w="580" w:type="dxa"/>
            <w:vAlign w:val="bottom"/>
            <w:shd w:val="clear" w:color="auto" w:fill="77C483"/>
          </w:tcPr>
          <w:p>
            <w:pPr>
              <w:spacing w:after="0"/>
              <w:rPr>
                <w:sz w:val="16"/>
                <w:szCs w:val="16"/>
                <w:color w:val="auto"/>
              </w:rPr>
            </w:pPr>
          </w:p>
        </w:tc>
        <w:tc>
          <w:tcPr>
            <w:tcW w:w="120" w:type="dxa"/>
            <w:vAlign w:val="bottom"/>
            <w:shd w:val="clear" w:color="auto" w:fill="77C483"/>
          </w:tcPr>
          <w:p>
            <w:pPr>
              <w:spacing w:after="0"/>
              <w:rPr>
                <w:sz w:val="16"/>
                <w:szCs w:val="16"/>
                <w:color w:val="auto"/>
              </w:rPr>
            </w:pPr>
          </w:p>
        </w:tc>
        <w:tc>
          <w:tcPr>
            <w:tcW w:w="580" w:type="dxa"/>
            <w:vAlign w:val="bottom"/>
            <w:shd w:val="clear" w:color="auto" w:fill="77C483"/>
          </w:tcPr>
          <w:p>
            <w:pPr>
              <w:spacing w:after="0"/>
              <w:rPr>
                <w:sz w:val="20"/>
                <w:szCs w:val="20"/>
                <w:color w:val="auto"/>
              </w:rPr>
            </w:pPr>
            <w:r>
              <w:rPr>
                <w:rFonts w:ascii="Arial" w:cs="Arial" w:eastAsia="Arial" w:hAnsi="Arial"/>
                <w:sz w:val="10"/>
                <w:szCs w:val="10"/>
                <w:b w:val="1"/>
                <w:bCs w:val="1"/>
                <w:color w:val="003551"/>
              </w:rPr>
              <w:t>Average</w:t>
            </w:r>
          </w:p>
        </w:tc>
      </w:tr>
      <w:tr>
        <w:trPr>
          <w:trHeight w:val="118"/>
        </w:trPr>
        <w:tc>
          <w:tcPr>
            <w:tcW w:w="100" w:type="dxa"/>
            <w:vAlign w:val="bottom"/>
            <w:shd w:val="clear" w:color="auto" w:fill="77C483"/>
          </w:tcPr>
          <w:p>
            <w:pPr>
              <w:spacing w:after="0"/>
              <w:rPr>
                <w:sz w:val="10"/>
                <w:szCs w:val="10"/>
                <w:color w:val="auto"/>
              </w:rPr>
            </w:pPr>
          </w:p>
        </w:tc>
        <w:tc>
          <w:tcPr>
            <w:tcW w:w="1540" w:type="dxa"/>
            <w:vAlign w:val="bottom"/>
            <w:shd w:val="clear" w:color="auto" w:fill="77C483"/>
          </w:tcPr>
          <w:p>
            <w:pPr>
              <w:spacing w:after="0"/>
              <w:rPr>
                <w:sz w:val="10"/>
                <w:szCs w:val="10"/>
                <w:color w:val="auto"/>
              </w:rPr>
            </w:pPr>
          </w:p>
        </w:tc>
        <w:tc>
          <w:tcPr>
            <w:tcW w:w="100" w:type="dxa"/>
            <w:vAlign w:val="bottom"/>
            <w:shd w:val="clear" w:color="auto" w:fill="77C483"/>
          </w:tcPr>
          <w:p>
            <w:pPr>
              <w:spacing w:after="0"/>
              <w:rPr>
                <w:sz w:val="10"/>
                <w:szCs w:val="10"/>
                <w:color w:val="auto"/>
              </w:rPr>
            </w:pPr>
          </w:p>
        </w:tc>
        <w:tc>
          <w:tcPr>
            <w:tcW w:w="660" w:type="dxa"/>
            <w:vAlign w:val="bottom"/>
            <w:shd w:val="clear" w:color="auto" w:fill="77C483"/>
          </w:tcPr>
          <w:p>
            <w:pPr>
              <w:ind w:left="20"/>
              <w:spacing w:after="0"/>
              <w:rPr>
                <w:sz w:val="20"/>
                <w:szCs w:val="20"/>
                <w:color w:val="auto"/>
              </w:rPr>
            </w:pPr>
            <w:r>
              <w:rPr>
                <w:rFonts w:ascii="Arial" w:cs="Arial" w:eastAsia="Arial" w:hAnsi="Arial"/>
                <w:sz w:val="10"/>
                <w:szCs w:val="10"/>
                <w:b w:val="1"/>
                <w:bCs w:val="1"/>
                <w:color w:val="003551"/>
              </w:rPr>
              <w:t>W. Roberts</w:t>
            </w:r>
          </w:p>
        </w:tc>
        <w:tc>
          <w:tcPr>
            <w:tcW w:w="100" w:type="dxa"/>
            <w:vAlign w:val="bottom"/>
            <w:shd w:val="clear" w:color="auto" w:fill="77C483"/>
          </w:tcPr>
          <w:p>
            <w:pPr>
              <w:spacing w:after="0"/>
              <w:rPr>
                <w:sz w:val="10"/>
                <w:szCs w:val="10"/>
                <w:color w:val="auto"/>
              </w:rPr>
            </w:pPr>
          </w:p>
        </w:tc>
        <w:tc>
          <w:tcPr>
            <w:tcW w:w="740" w:type="dxa"/>
            <w:vAlign w:val="bottom"/>
            <w:gridSpan w:val="2"/>
            <w:shd w:val="clear" w:color="auto" w:fill="77C483"/>
          </w:tcPr>
          <w:p>
            <w:pPr>
              <w:spacing w:after="0"/>
              <w:rPr>
                <w:sz w:val="20"/>
                <w:szCs w:val="20"/>
                <w:color w:val="auto"/>
              </w:rPr>
            </w:pPr>
            <w:r>
              <w:rPr>
                <w:rFonts w:ascii="Arial" w:cs="Arial" w:eastAsia="Arial" w:hAnsi="Arial"/>
                <w:sz w:val="10"/>
                <w:szCs w:val="10"/>
                <w:b w:val="1"/>
                <w:bCs w:val="1"/>
                <w:color w:val="003551"/>
              </w:rPr>
              <w:t>D. Roberts</w:t>
            </w:r>
          </w:p>
        </w:tc>
        <w:tc>
          <w:tcPr>
            <w:tcW w:w="560" w:type="dxa"/>
            <w:vAlign w:val="bottom"/>
            <w:shd w:val="clear" w:color="auto" w:fill="77C483"/>
          </w:tcPr>
          <w:p>
            <w:pPr>
              <w:spacing w:after="0"/>
              <w:rPr>
                <w:sz w:val="20"/>
                <w:szCs w:val="20"/>
                <w:color w:val="auto"/>
              </w:rPr>
            </w:pPr>
            <w:r>
              <w:rPr>
                <w:rFonts w:ascii="Arial" w:cs="Arial" w:eastAsia="Arial" w:hAnsi="Arial"/>
                <w:sz w:val="10"/>
                <w:szCs w:val="10"/>
                <w:b w:val="1"/>
                <w:bCs w:val="1"/>
                <w:color w:val="003551"/>
              </w:rPr>
              <w:t>Non-PEO</w:t>
            </w:r>
          </w:p>
        </w:tc>
        <w:tc>
          <w:tcPr>
            <w:tcW w:w="100" w:type="dxa"/>
            <w:vAlign w:val="bottom"/>
            <w:shd w:val="clear" w:color="auto" w:fill="77C483"/>
          </w:tcPr>
          <w:p>
            <w:pPr>
              <w:spacing w:after="0"/>
              <w:rPr>
                <w:sz w:val="10"/>
                <w:szCs w:val="10"/>
                <w:color w:val="auto"/>
              </w:rPr>
            </w:pPr>
          </w:p>
        </w:tc>
        <w:tc>
          <w:tcPr>
            <w:tcW w:w="580" w:type="dxa"/>
            <w:vAlign w:val="bottom"/>
            <w:shd w:val="clear" w:color="auto" w:fill="77C483"/>
          </w:tcPr>
          <w:p>
            <w:pPr>
              <w:spacing w:after="0"/>
              <w:rPr>
                <w:sz w:val="20"/>
                <w:szCs w:val="20"/>
                <w:color w:val="auto"/>
              </w:rPr>
            </w:pPr>
            <w:r>
              <w:rPr>
                <w:rFonts w:ascii="Arial" w:cs="Arial" w:eastAsia="Arial" w:hAnsi="Arial"/>
                <w:sz w:val="10"/>
                <w:szCs w:val="10"/>
                <w:b w:val="1"/>
                <w:bCs w:val="1"/>
                <w:color w:val="003551"/>
              </w:rPr>
              <w:t>W. Roberts</w:t>
            </w:r>
          </w:p>
        </w:tc>
        <w:tc>
          <w:tcPr>
            <w:tcW w:w="120" w:type="dxa"/>
            <w:vAlign w:val="bottom"/>
            <w:shd w:val="clear" w:color="auto" w:fill="77C483"/>
          </w:tcPr>
          <w:p>
            <w:pPr>
              <w:spacing w:after="0"/>
              <w:rPr>
                <w:sz w:val="10"/>
                <w:szCs w:val="10"/>
                <w:color w:val="auto"/>
              </w:rPr>
            </w:pPr>
          </w:p>
        </w:tc>
        <w:tc>
          <w:tcPr>
            <w:tcW w:w="680" w:type="dxa"/>
            <w:vAlign w:val="bottom"/>
            <w:gridSpan w:val="2"/>
            <w:shd w:val="clear" w:color="auto" w:fill="77C483"/>
          </w:tcPr>
          <w:p>
            <w:pPr>
              <w:spacing w:after="0"/>
              <w:rPr>
                <w:sz w:val="20"/>
                <w:szCs w:val="20"/>
                <w:color w:val="auto"/>
              </w:rPr>
            </w:pPr>
            <w:r>
              <w:rPr>
                <w:rFonts w:ascii="Arial" w:cs="Arial" w:eastAsia="Arial" w:hAnsi="Arial"/>
                <w:sz w:val="10"/>
                <w:szCs w:val="10"/>
                <w:b w:val="1"/>
                <w:bCs w:val="1"/>
                <w:color w:val="003551"/>
              </w:rPr>
              <w:t>D. Roberts</w:t>
            </w:r>
          </w:p>
        </w:tc>
        <w:tc>
          <w:tcPr>
            <w:tcW w:w="540" w:type="dxa"/>
            <w:vAlign w:val="bottom"/>
            <w:shd w:val="clear" w:color="auto" w:fill="77C483"/>
          </w:tcPr>
          <w:p>
            <w:pPr>
              <w:ind w:left="20"/>
              <w:spacing w:after="0"/>
              <w:rPr>
                <w:sz w:val="20"/>
                <w:szCs w:val="20"/>
                <w:color w:val="auto"/>
              </w:rPr>
            </w:pPr>
            <w:r>
              <w:rPr>
                <w:rFonts w:ascii="Arial" w:cs="Arial" w:eastAsia="Arial" w:hAnsi="Arial"/>
                <w:sz w:val="10"/>
                <w:szCs w:val="10"/>
                <w:b w:val="1"/>
                <w:bCs w:val="1"/>
                <w:color w:val="003551"/>
              </w:rPr>
              <w:t>Non-PEO</w:t>
            </w:r>
          </w:p>
        </w:tc>
        <w:tc>
          <w:tcPr>
            <w:tcW w:w="100" w:type="dxa"/>
            <w:vAlign w:val="bottom"/>
            <w:shd w:val="clear" w:color="auto" w:fill="77C483"/>
          </w:tcPr>
          <w:p>
            <w:pPr>
              <w:spacing w:after="0"/>
              <w:rPr>
                <w:sz w:val="10"/>
                <w:szCs w:val="10"/>
                <w:color w:val="auto"/>
              </w:rPr>
            </w:pPr>
          </w:p>
        </w:tc>
        <w:tc>
          <w:tcPr>
            <w:tcW w:w="560" w:type="dxa"/>
            <w:vAlign w:val="bottom"/>
            <w:shd w:val="clear" w:color="auto" w:fill="77C483"/>
          </w:tcPr>
          <w:p>
            <w:pPr>
              <w:ind w:left="20"/>
              <w:spacing w:after="0"/>
              <w:rPr>
                <w:sz w:val="20"/>
                <w:szCs w:val="20"/>
                <w:color w:val="auto"/>
              </w:rPr>
            </w:pPr>
            <w:r>
              <w:rPr>
                <w:rFonts w:ascii="Arial" w:cs="Arial" w:eastAsia="Arial" w:hAnsi="Arial"/>
                <w:sz w:val="10"/>
                <w:szCs w:val="10"/>
                <w:b w:val="1"/>
                <w:bCs w:val="1"/>
                <w:color w:val="003551"/>
                <w:w w:val="98"/>
              </w:rPr>
              <w:t>W. Roberts</w:t>
            </w:r>
          </w:p>
        </w:tc>
        <w:tc>
          <w:tcPr>
            <w:tcW w:w="20" w:type="dxa"/>
            <w:vAlign w:val="bottom"/>
            <w:shd w:val="clear" w:color="auto" w:fill="77C483"/>
          </w:tcPr>
          <w:p>
            <w:pPr>
              <w:spacing w:after="0"/>
              <w:rPr>
                <w:sz w:val="10"/>
                <w:szCs w:val="10"/>
                <w:color w:val="auto"/>
              </w:rPr>
            </w:pPr>
          </w:p>
        </w:tc>
        <w:tc>
          <w:tcPr>
            <w:tcW w:w="100" w:type="dxa"/>
            <w:vAlign w:val="bottom"/>
            <w:shd w:val="clear" w:color="auto" w:fill="77C483"/>
          </w:tcPr>
          <w:p>
            <w:pPr>
              <w:spacing w:after="0"/>
              <w:rPr>
                <w:sz w:val="10"/>
                <w:szCs w:val="10"/>
                <w:color w:val="auto"/>
              </w:rPr>
            </w:pPr>
          </w:p>
        </w:tc>
        <w:tc>
          <w:tcPr>
            <w:tcW w:w="700" w:type="dxa"/>
            <w:vAlign w:val="bottom"/>
            <w:gridSpan w:val="2"/>
            <w:shd w:val="clear" w:color="auto" w:fill="77C483"/>
          </w:tcPr>
          <w:p>
            <w:pPr>
              <w:ind w:left="20"/>
              <w:spacing w:after="0"/>
              <w:rPr>
                <w:sz w:val="20"/>
                <w:szCs w:val="20"/>
                <w:color w:val="auto"/>
              </w:rPr>
            </w:pPr>
            <w:r>
              <w:rPr>
                <w:rFonts w:ascii="Arial" w:cs="Arial" w:eastAsia="Arial" w:hAnsi="Arial"/>
                <w:sz w:val="10"/>
                <w:szCs w:val="10"/>
                <w:b w:val="1"/>
                <w:bCs w:val="1"/>
                <w:color w:val="003551"/>
              </w:rPr>
              <w:t>D. Roberts</w:t>
            </w:r>
          </w:p>
        </w:tc>
        <w:tc>
          <w:tcPr>
            <w:tcW w:w="580" w:type="dxa"/>
            <w:vAlign w:val="bottom"/>
            <w:shd w:val="clear" w:color="auto" w:fill="77C483"/>
          </w:tcPr>
          <w:p>
            <w:pPr>
              <w:spacing w:after="0"/>
              <w:rPr>
                <w:sz w:val="20"/>
                <w:szCs w:val="20"/>
                <w:color w:val="auto"/>
              </w:rPr>
            </w:pPr>
            <w:r>
              <w:rPr>
                <w:rFonts w:ascii="Arial" w:cs="Arial" w:eastAsia="Arial" w:hAnsi="Arial"/>
                <w:sz w:val="10"/>
                <w:szCs w:val="10"/>
                <w:b w:val="1"/>
                <w:bCs w:val="1"/>
                <w:color w:val="003551"/>
              </w:rPr>
              <w:t>Non-PEO</w:t>
            </w:r>
          </w:p>
        </w:tc>
      </w:tr>
      <w:tr>
        <w:trPr>
          <w:trHeight w:val="143"/>
        </w:trPr>
        <w:tc>
          <w:tcPr>
            <w:tcW w:w="100" w:type="dxa"/>
            <w:vAlign w:val="bottom"/>
            <w:shd w:val="clear" w:color="auto" w:fill="77C483"/>
          </w:tcPr>
          <w:p>
            <w:pPr>
              <w:spacing w:after="0"/>
              <w:rPr>
                <w:sz w:val="12"/>
                <w:szCs w:val="12"/>
                <w:color w:val="auto"/>
              </w:rPr>
            </w:pPr>
          </w:p>
        </w:tc>
        <w:tc>
          <w:tcPr>
            <w:tcW w:w="1540" w:type="dxa"/>
            <w:vAlign w:val="bottom"/>
            <w:shd w:val="clear" w:color="auto" w:fill="77C483"/>
          </w:tcPr>
          <w:p>
            <w:pPr>
              <w:spacing w:after="0"/>
              <w:rPr>
                <w:sz w:val="12"/>
                <w:szCs w:val="12"/>
                <w:color w:val="auto"/>
              </w:rPr>
            </w:pPr>
          </w:p>
        </w:tc>
        <w:tc>
          <w:tcPr>
            <w:tcW w:w="100" w:type="dxa"/>
            <w:vAlign w:val="bottom"/>
            <w:shd w:val="clear" w:color="auto" w:fill="77C483"/>
          </w:tcPr>
          <w:p>
            <w:pPr>
              <w:spacing w:after="0"/>
              <w:rPr>
                <w:sz w:val="12"/>
                <w:szCs w:val="12"/>
                <w:color w:val="auto"/>
              </w:rPr>
            </w:pPr>
          </w:p>
        </w:tc>
        <w:tc>
          <w:tcPr>
            <w:tcW w:w="660" w:type="dxa"/>
            <w:vAlign w:val="bottom"/>
            <w:shd w:val="clear" w:color="auto" w:fill="77C483"/>
          </w:tcPr>
          <w:p>
            <w:pPr>
              <w:ind w:left="20"/>
              <w:spacing w:after="0"/>
              <w:rPr>
                <w:sz w:val="20"/>
                <w:szCs w:val="20"/>
                <w:color w:val="auto"/>
              </w:rPr>
            </w:pPr>
            <w:r>
              <w:rPr>
                <w:rFonts w:ascii="Arial" w:cs="Arial" w:eastAsia="Arial" w:hAnsi="Arial"/>
                <w:sz w:val="10"/>
                <w:szCs w:val="10"/>
                <w:b w:val="1"/>
                <w:bCs w:val="1"/>
                <w:color w:val="003551"/>
              </w:rPr>
              <w:t>Co-PEO</w:t>
            </w:r>
          </w:p>
        </w:tc>
        <w:tc>
          <w:tcPr>
            <w:tcW w:w="100" w:type="dxa"/>
            <w:vAlign w:val="bottom"/>
            <w:shd w:val="clear" w:color="auto" w:fill="77C483"/>
          </w:tcPr>
          <w:p>
            <w:pPr>
              <w:spacing w:after="0"/>
              <w:rPr>
                <w:sz w:val="12"/>
                <w:szCs w:val="12"/>
                <w:color w:val="auto"/>
              </w:rPr>
            </w:pPr>
          </w:p>
        </w:tc>
        <w:tc>
          <w:tcPr>
            <w:tcW w:w="740" w:type="dxa"/>
            <w:vAlign w:val="bottom"/>
            <w:gridSpan w:val="2"/>
            <w:shd w:val="clear" w:color="auto" w:fill="77C483"/>
          </w:tcPr>
          <w:p>
            <w:pPr>
              <w:spacing w:after="0"/>
              <w:rPr>
                <w:sz w:val="20"/>
                <w:szCs w:val="20"/>
                <w:color w:val="auto"/>
              </w:rPr>
            </w:pPr>
            <w:r>
              <w:rPr>
                <w:rFonts w:ascii="Arial" w:cs="Arial" w:eastAsia="Arial" w:hAnsi="Arial"/>
                <w:sz w:val="10"/>
                <w:szCs w:val="10"/>
                <w:b w:val="1"/>
                <w:bCs w:val="1"/>
                <w:color w:val="003551"/>
              </w:rPr>
              <w:t>Co-PEO</w:t>
            </w:r>
          </w:p>
        </w:tc>
        <w:tc>
          <w:tcPr>
            <w:tcW w:w="560" w:type="dxa"/>
            <w:vAlign w:val="bottom"/>
            <w:shd w:val="clear" w:color="auto" w:fill="77C483"/>
          </w:tcPr>
          <w:p>
            <w:pPr>
              <w:spacing w:after="0"/>
              <w:rPr>
                <w:sz w:val="20"/>
                <w:szCs w:val="20"/>
                <w:color w:val="auto"/>
              </w:rPr>
            </w:pPr>
            <w:r>
              <w:rPr>
                <w:rFonts w:ascii="Arial" w:cs="Arial" w:eastAsia="Arial" w:hAnsi="Arial"/>
                <w:sz w:val="10"/>
                <w:szCs w:val="10"/>
                <w:b w:val="1"/>
                <w:bCs w:val="1"/>
                <w:color w:val="003551"/>
              </w:rPr>
              <w:t>NEOs</w:t>
            </w:r>
          </w:p>
        </w:tc>
        <w:tc>
          <w:tcPr>
            <w:tcW w:w="100" w:type="dxa"/>
            <w:vAlign w:val="bottom"/>
            <w:shd w:val="clear" w:color="auto" w:fill="77C483"/>
          </w:tcPr>
          <w:p>
            <w:pPr>
              <w:spacing w:after="0"/>
              <w:rPr>
                <w:sz w:val="12"/>
                <w:szCs w:val="12"/>
                <w:color w:val="auto"/>
              </w:rPr>
            </w:pPr>
          </w:p>
        </w:tc>
        <w:tc>
          <w:tcPr>
            <w:tcW w:w="580" w:type="dxa"/>
            <w:vAlign w:val="bottom"/>
            <w:shd w:val="clear" w:color="auto" w:fill="77C483"/>
          </w:tcPr>
          <w:p>
            <w:pPr>
              <w:spacing w:after="0"/>
              <w:rPr>
                <w:sz w:val="20"/>
                <w:szCs w:val="20"/>
                <w:color w:val="auto"/>
              </w:rPr>
            </w:pPr>
            <w:r>
              <w:rPr>
                <w:rFonts w:ascii="Arial" w:cs="Arial" w:eastAsia="Arial" w:hAnsi="Arial"/>
                <w:sz w:val="10"/>
                <w:szCs w:val="10"/>
                <w:b w:val="1"/>
                <w:bCs w:val="1"/>
                <w:color w:val="003551"/>
              </w:rPr>
              <w:t>Co-PEO</w:t>
            </w:r>
          </w:p>
        </w:tc>
        <w:tc>
          <w:tcPr>
            <w:tcW w:w="120" w:type="dxa"/>
            <w:vAlign w:val="bottom"/>
            <w:shd w:val="clear" w:color="auto" w:fill="77C483"/>
          </w:tcPr>
          <w:p>
            <w:pPr>
              <w:spacing w:after="0"/>
              <w:rPr>
                <w:sz w:val="12"/>
                <w:szCs w:val="12"/>
                <w:color w:val="auto"/>
              </w:rPr>
            </w:pPr>
          </w:p>
        </w:tc>
        <w:tc>
          <w:tcPr>
            <w:tcW w:w="680" w:type="dxa"/>
            <w:vAlign w:val="bottom"/>
            <w:gridSpan w:val="2"/>
            <w:shd w:val="clear" w:color="auto" w:fill="77C483"/>
          </w:tcPr>
          <w:p>
            <w:pPr>
              <w:spacing w:after="0"/>
              <w:rPr>
                <w:sz w:val="20"/>
                <w:szCs w:val="20"/>
                <w:color w:val="auto"/>
              </w:rPr>
            </w:pPr>
            <w:r>
              <w:rPr>
                <w:rFonts w:ascii="Arial" w:cs="Arial" w:eastAsia="Arial" w:hAnsi="Arial"/>
                <w:sz w:val="10"/>
                <w:szCs w:val="10"/>
                <w:b w:val="1"/>
                <w:bCs w:val="1"/>
                <w:color w:val="003551"/>
              </w:rPr>
              <w:t>Co-PEO</w:t>
            </w:r>
          </w:p>
        </w:tc>
        <w:tc>
          <w:tcPr>
            <w:tcW w:w="540" w:type="dxa"/>
            <w:vAlign w:val="bottom"/>
            <w:shd w:val="clear" w:color="auto" w:fill="77C483"/>
          </w:tcPr>
          <w:p>
            <w:pPr>
              <w:ind w:left="20"/>
              <w:spacing w:after="0"/>
              <w:rPr>
                <w:sz w:val="20"/>
                <w:szCs w:val="20"/>
                <w:color w:val="auto"/>
              </w:rPr>
            </w:pPr>
            <w:r>
              <w:rPr>
                <w:rFonts w:ascii="Arial" w:cs="Arial" w:eastAsia="Arial" w:hAnsi="Arial"/>
                <w:sz w:val="10"/>
                <w:szCs w:val="10"/>
                <w:b w:val="1"/>
                <w:bCs w:val="1"/>
                <w:color w:val="003551"/>
              </w:rPr>
              <w:t>NEOs</w:t>
            </w:r>
          </w:p>
        </w:tc>
        <w:tc>
          <w:tcPr>
            <w:tcW w:w="100" w:type="dxa"/>
            <w:vAlign w:val="bottom"/>
            <w:shd w:val="clear" w:color="auto" w:fill="77C483"/>
          </w:tcPr>
          <w:p>
            <w:pPr>
              <w:spacing w:after="0"/>
              <w:rPr>
                <w:sz w:val="12"/>
                <w:szCs w:val="12"/>
                <w:color w:val="auto"/>
              </w:rPr>
            </w:pPr>
          </w:p>
        </w:tc>
        <w:tc>
          <w:tcPr>
            <w:tcW w:w="560" w:type="dxa"/>
            <w:vAlign w:val="bottom"/>
            <w:shd w:val="clear" w:color="auto" w:fill="77C483"/>
          </w:tcPr>
          <w:p>
            <w:pPr>
              <w:ind w:left="20"/>
              <w:spacing w:after="0"/>
              <w:rPr>
                <w:sz w:val="20"/>
                <w:szCs w:val="20"/>
                <w:color w:val="auto"/>
              </w:rPr>
            </w:pPr>
            <w:r>
              <w:rPr>
                <w:rFonts w:ascii="Arial" w:cs="Arial" w:eastAsia="Arial" w:hAnsi="Arial"/>
                <w:sz w:val="10"/>
                <w:szCs w:val="10"/>
                <w:b w:val="1"/>
                <w:bCs w:val="1"/>
                <w:color w:val="003551"/>
              </w:rPr>
              <w:t>Co-PEO</w:t>
            </w:r>
          </w:p>
        </w:tc>
        <w:tc>
          <w:tcPr>
            <w:tcW w:w="20" w:type="dxa"/>
            <w:vAlign w:val="bottom"/>
            <w:shd w:val="clear" w:color="auto" w:fill="77C483"/>
          </w:tcPr>
          <w:p>
            <w:pPr>
              <w:spacing w:after="0"/>
              <w:rPr>
                <w:sz w:val="12"/>
                <w:szCs w:val="12"/>
                <w:color w:val="auto"/>
              </w:rPr>
            </w:pPr>
          </w:p>
        </w:tc>
        <w:tc>
          <w:tcPr>
            <w:tcW w:w="100" w:type="dxa"/>
            <w:vAlign w:val="bottom"/>
            <w:shd w:val="clear" w:color="auto" w:fill="77C483"/>
          </w:tcPr>
          <w:p>
            <w:pPr>
              <w:spacing w:after="0"/>
              <w:rPr>
                <w:sz w:val="12"/>
                <w:szCs w:val="12"/>
                <w:color w:val="auto"/>
              </w:rPr>
            </w:pPr>
          </w:p>
        </w:tc>
        <w:tc>
          <w:tcPr>
            <w:tcW w:w="700" w:type="dxa"/>
            <w:vAlign w:val="bottom"/>
            <w:gridSpan w:val="2"/>
            <w:shd w:val="clear" w:color="auto" w:fill="77C483"/>
          </w:tcPr>
          <w:p>
            <w:pPr>
              <w:ind w:left="20"/>
              <w:spacing w:after="0"/>
              <w:rPr>
                <w:sz w:val="20"/>
                <w:szCs w:val="20"/>
                <w:color w:val="auto"/>
              </w:rPr>
            </w:pPr>
            <w:r>
              <w:rPr>
                <w:rFonts w:ascii="Arial" w:cs="Arial" w:eastAsia="Arial" w:hAnsi="Arial"/>
                <w:sz w:val="10"/>
                <w:szCs w:val="10"/>
                <w:b w:val="1"/>
                <w:bCs w:val="1"/>
                <w:color w:val="003551"/>
              </w:rPr>
              <w:t>Co-PEO</w:t>
            </w:r>
          </w:p>
        </w:tc>
        <w:tc>
          <w:tcPr>
            <w:tcW w:w="580" w:type="dxa"/>
            <w:vAlign w:val="bottom"/>
            <w:shd w:val="clear" w:color="auto" w:fill="77C483"/>
          </w:tcPr>
          <w:p>
            <w:pPr>
              <w:spacing w:after="0"/>
              <w:rPr>
                <w:sz w:val="20"/>
                <w:szCs w:val="20"/>
                <w:color w:val="auto"/>
              </w:rPr>
            </w:pPr>
            <w:r>
              <w:rPr>
                <w:rFonts w:ascii="Arial" w:cs="Arial" w:eastAsia="Arial" w:hAnsi="Arial"/>
                <w:sz w:val="10"/>
                <w:szCs w:val="10"/>
                <w:b w:val="1"/>
                <w:bCs w:val="1"/>
                <w:color w:val="003551"/>
              </w:rPr>
              <w:t>NEOs</w:t>
            </w:r>
          </w:p>
        </w:tc>
      </w:tr>
      <w:tr>
        <w:trPr>
          <w:trHeight w:val="80"/>
        </w:trPr>
        <w:tc>
          <w:tcPr>
            <w:tcW w:w="100" w:type="dxa"/>
            <w:vAlign w:val="bottom"/>
            <w:tcBorders>
              <w:bottom w:val="single" w:sz="8" w:color="77C483"/>
            </w:tcBorders>
            <w:shd w:val="clear" w:color="auto" w:fill="77C483"/>
          </w:tcPr>
          <w:p>
            <w:pPr>
              <w:spacing w:after="0"/>
              <w:rPr>
                <w:sz w:val="6"/>
                <w:szCs w:val="6"/>
                <w:color w:val="auto"/>
              </w:rPr>
            </w:pPr>
          </w:p>
        </w:tc>
        <w:tc>
          <w:tcPr>
            <w:tcW w:w="1540" w:type="dxa"/>
            <w:vAlign w:val="bottom"/>
            <w:tcBorders>
              <w:bottom w:val="single" w:sz="8" w:color="003551"/>
            </w:tcBorders>
            <w:shd w:val="clear" w:color="auto" w:fill="77C483"/>
          </w:tcPr>
          <w:p>
            <w:pPr>
              <w:spacing w:after="0"/>
              <w:rPr>
                <w:sz w:val="6"/>
                <w:szCs w:val="6"/>
                <w:color w:val="auto"/>
              </w:rPr>
            </w:pPr>
          </w:p>
        </w:tc>
        <w:tc>
          <w:tcPr>
            <w:tcW w:w="100" w:type="dxa"/>
            <w:vAlign w:val="bottom"/>
            <w:tcBorders>
              <w:bottom w:val="single" w:sz="8" w:color="003551"/>
            </w:tcBorders>
            <w:shd w:val="clear" w:color="auto" w:fill="77C483"/>
          </w:tcPr>
          <w:p>
            <w:pPr>
              <w:spacing w:after="0"/>
              <w:rPr>
                <w:sz w:val="6"/>
                <w:szCs w:val="6"/>
                <w:color w:val="auto"/>
              </w:rPr>
            </w:pPr>
          </w:p>
        </w:tc>
        <w:tc>
          <w:tcPr>
            <w:tcW w:w="660" w:type="dxa"/>
            <w:vAlign w:val="bottom"/>
            <w:tcBorders>
              <w:bottom w:val="single" w:sz="8" w:color="003551"/>
            </w:tcBorders>
            <w:shd w:val="clear" w:color="auto" w:fill="77C483"/>
          </w:tcPr>
          <w:p>
            <w:pPr>
              <w:spacing w:after="0"/>
              <w:rPr>
                <w:sz w:val="6"/>
                <w:szCs w:val="6"/>
                <w:color w:val="auto"/>
              </w:rPr>
            </w:pPr>
          </w:p>
        </w:tc>
        <w:tc>
          <w:tcPr>
            <w:tcW w:w="100" w:type="dxa"/>
            <w:vAlign w:val="bottom"/>
            <w:tcBorders>
              <w:bottom w:val="single" w:sz="8" w:color="003551"/>
            </w:tcBorders>
            <w:shd w:val="clear" w:color="auto" w:fill="77C483"/>
          </w:tcPr>
          <w:p>
            <w:pPr>
              <w:spacing w:after="0"/>
              <w:rPr>
                <w:sz w:val="6"/>
                <w:szCs w:val="6"/>
                <w:color w:val="auto"/>
              </w:rPr>
            </w:pPr>
          </w:p>
        </w:tc>
        <w:tc>
          <w:tcPr>
            <w:tcW w:w="640" w:type="dxa"/>
            <w:vAlign w:val="bottom"/>
            <w:tcBorders>
              <w:bottom w:val="single" w:sz="8" w:color="003551"/>
            </w:tcBorders>
            <w:shd w:val="clear" w:color="auto" w:fill="77C483"/>
          </w:tcPr>
          <w:p>
            <w:pPr>
              <w:spacing w:after="0"/>
              <w:rPr>
                <w:sz w:val="6"/>
                <w:szCs w:val="6"/>
                <w:color w:val="auto"/>
              </w:rPr>
            </w:pPr>
          </w:p>
        </w:tc>
        <w:tc>
          <w:tcPr>
            <w:tcW w:w="100" w:type="dxa"/>
            <w:vAlign w:val="bottom"/>
            <w:tcBorders>
              <w:bottom w:val="single" w:sz="8" w:color="003551"/>
            </w:tcBorders>
            <w:shd w:val="clear" w:color="auto" w:fill="77C483"/>
          </w:tcPr>
          <w:p>
            <w:pPr>
              <w:spacing w:after="0"/>
              <w:rPr>
                <w:sz w:val="6"/>
                <w:szCs w:val="6"/>
                <w:color w:val="auto"/>
              </w:rPr>
            </w:pPr>
          </w:p>
        </w:tc>
        <w:tc>
          <w:tcPr>
            <w:tcW w:w="560" w:type="dxa"/>
            <w:vAlign w:val="bottom"/>
            <w:tcBorders>
              <w:bottom w:val="single" w:sz="8" w:color="003551"/>
            </w:tcBorders>
            <w:shd w:val="clear" w:color="auto" w:fill="77C483"/>
          </w:tcPr>
          <w:p>
            <w:pPr>
              <w:spacing w:after="0"/>
              <w:rPr>
                <w:sz w:val="6"/>
                <w:szCs w:val="6"/>
                <w:color w:val="auto"/>
              </w:rPr>
            </w:pPr>
          </w:p>
        </w:tc>
        <w:tc>
          <w:tcPr>
            <w:tcW w:w="100" w:type="dxa"/>
            <w:vAlign w:val="bottom"/>
            <w:tcBorders>
              <w:bottom w:val="single" w:sz="8" w:color="003551"/>
            </w:tcBorders>
            <w:shd w:val="clear" w:color="auto" w:fill="77C483"/>
          </w:tcPr>
          <w:p>
            <w:pPr>
              <w:spacing w:after="0"/>
              <w:rPr>
                <w:sz w:val="6"/>
                <w:szCs w:val="6"/>
                <w:color w:val="auto"/>
              </w:rPr>
            </w:pPr>
          </w:p>
        </w:tc>
        <w:tc>
          <w:tcPr>
            <w:tcW w:w="580" w:type="dxa"/>
            <w:vAlign w:val="bottom"/>
            <w:tcBorders>
              <w:bottom w:val="single" w:sz="8" w:color="003551"/>
            </w:tcBorders>
            <w:shd w:val="clear" w:color="auto" w:fill="77C483"/>
          </w:tcPr>
          <w:p>
            <w:pPr>
              <w:spacing w:after="0"/>
              <w:rPr>
                <w:sz w:val="6"/>
                <w:szCs w:val="6"/>
                <w:color w:val="auto"/>
              </w:rPr>
            </w:pPr>
          </w:p>
        </w:tc>
        <w:tc>
          <w:tcPr>
            <w:tcW w:w="120" w:type="dxa"/>
            <w:vAlign w:val="bottom"/>
            <w:tcBorders>
              <w:bottom w:val="single" w:sz="8" w:color="003551"/>
            </w:tcBorders>
            <w:shd w:val="clear" w:color="auto" w:fill="77C483"/>
          </w:tcPr>
          <w:p>
            <w:pPr>
              <w:spacing w:after="0"/>
              <w:rPr>
                <w:sz w:val="6"/>
                <w:szCs w:val="6"/>
                <w:color w:val="auto"/>
              </w:rPr>
            </w:pPr>
          </w:p>
        </w:tc>
        <w:tc>
          <w:tcPr>
            <w:tcW w:w="580" w:type="dxa"/>
            <w:vAlign w:val="bottom"/>
            <w:tcBorders>
              <w:bottom w:val="single" w:sz="8" w:color="003551"/>
            </w:tcBorders>
            <w:shd w:val="clear" w:color="auto" w:fill="77C483"/>
          </w:tcPr>
          <w:p>
            <w:pPr>
              <w:spacing w:after="0"/>
              <w:rPr>
                <w:sz w:val="6"/>
                <w:szCs w:val="6"/>
                <w:color w:val="auto"/>
              </w:rPr>
            </w:pPr>
          </w:p>
        </w:tc>
        <w:tc>
          <w:tcPr>
            <w:tcW w:w="100" w:type="dxa"/>
            <w:vAlign w:val="bottom"/>
            <w:tcBorders>
              <w:bottom w:val="single" w:sz="8" w:color="003551"/>
            </w:tcBorders>
            <w:shd w:val="clear" w:color="auto" w:fill="77C483"/>
          </w:tcPr>
          <w:p>
            <w:pPr>
              <w:spacing w:after="0"/>
              <w:rPr>
                <w:sz w:val="6"/>
                <w:szCs w:val="6"/>
                <w:color w:val="auto"/>
              </w:rPr>
            </w:pPr>
          </w:p>
        </w:tc>
        <w:tc>
          <w:tcPr>
            <w:tcW w:w="540" w:type="dxa"/>
            <w:vAlign w:val="bottom"/>
            <w:tcBorders>
              <w:bottom w:val="single" w:sz="8" w:color="003551"/>
            </w:tcBorders>
            <w:shd w:val="clear" w:color="auto" w:fill="77C483"/>
          </w:tcPr>
          <w:p>
            <w:pPr>
              <w:spacing w:after="0"/>
              <w:rPr>
                <w:sz w:val="6"/>
                <w:szCs w:val="6"/>
                <w:color w:val="auto"/>
              </w:rPr>
            </w:pPr>
          </w:p>
        </w:tc>
        <w:tc>
          <w:tcPr>
            <w:tcW w:w="100" w:type="dxa"/>
            <w:vAlign w:val="bottom"/>
            <w:tcBorders>
              <w:bottom w:val="single" w:sz="8" w:color="003551"/>
            </w:tcBorders>
            <w:shd w:val="clear" w:color="auto" w:fill="77C483"/>
          </w:tcPr>
          <w:p>
            <w:pPr>
              <w:spacing w:after="0"/>
              <w:rPr>
                <w:sz w:val="6"/>
                <w:szCs w:val="6"/>
                <w:color w:val="auto"/>
              </w:rPr>
            </w:pPr>
          </w:p>
        </w:tc>
        <w:tc>
          <w:tcPr>
            <w:tcW w:w="560" w:type="dxa"/>
            <w:vAlign w:val="bottom"/>
            <w:tcBorders>
              <w:bottom w:val="single" w:sz="8" w:color="003551"/>
            </w:tcBorders>
            <w:shd w:val="clear" w:color="auto" w:fill="77C483"/>
          </w:tcPr>
          <w:p>
            <w:pPr>
              <w:spacing w:after="0"/>
              <w:rPr>
                <w:sz w:val="6"/>
                <w:szCs w:val="6"/>
                <w:color w:val="auto"/>
              </w:rPr>
            </w:pPr>
          </w:p>
        </w:tc>
        <w:tc>
          <w:tcPr>
            <w:tcW w:w="20" w:type="dxa"/>
            <w:vAlign w:val="bottom"/>
            <w:tcBorders>
              <w:bottom w:val="single" w:sz="8" w:color="003551"/>
            </w:tcBorders>
            <w:shd w:val="clear" w:color="auto" w:fill="77C483"/>
          </w:tcPr>
          <w:p>
            <w:pPr>
              <w:spacing w:after="0"/>
              <w:rPr>
                <w:sz w:val="6"/>
                <w:szCs w:val="6"/>
                <w:color w:val="auto"/>
              </w:rPr>
            </w:pPr>
          </w:p>
        </w:tc>
        <w:tc>
          <w:tcPr>
            <w:tcW w:w="100" w:type="dxa"/>
            <w:vAlign w:val="bottom"/>
            <w:tcBorders>
              <w:bottom w:val="single" w:sz="8" w:color="003551"/>
            </w:tcBorders>
            <w:shd w:val="clear" w:color="auto" w:fill="77C483"/>
          </w:tcPr>
          <w:p>
            <w:pPr>
              <w:spacing w:after="0"/>
              <w:rPr>
                <w:sz w:val="6"/>
                <w:szCs w:val="6"/>
                <w:color w:val="auto"/>
              </w:rPr>
            </w:pPr>
          </w:p>
        </w:tc>
        <w:tc>
          <w:tcPr>
            <w:tcW w:w="580" w:type="dxa"/>
            <w:vAlign w:val="bottom"/>
            <w:tcBorders>
              <w:bottom w:val="single" w:sz="8" w:color="003551"/>
            </w:tcBorders>
            <w:shd w:val="clear" w:color="auto" w:fill="77C483"/>
          </w:tcPr>
          <w:p>
            <w:pPr>
              <w:spacing w:after="0"/>
              <w:rPr>
                <w:sz w:val="6"/>
                <w:szCs w:val="6"/>
                <w:color w:val="auto"/>
              </w:rPr>
            </w:pPr>
          </w:p>
        </w:tc>
        <w:tc>
          <w:tcPr>
            <w:tcW w:w="120" w:type="dxa"/>
            <w:vAlign w:val="bottom"/>
            <w:tcBorders>
              <w:bottom w:val="single" w:sz="8" w:color="003551"/>
            </w:tcBorders>
            <w:shd w:val="clear" w:color="auto" w:fill="77C483"/>
          </w:tcPr>
          <w:p>
            <w:pPr>
              <w:spacing w:after="0"/>
              <w:rPr>
                <w:sz w:val="6"/>
                <w:szCs w:val="6"/>
                <w:color w:val="auto"/>
              </w:rPr>
            </w:pPr>
          </w:p>
        </w:tc>
        <w:tc>
          <w:tcPr>
            <w:tcW w:w="580" w:type="dxa"/>
            <w:vAlign w:val="bottom"/>
            <w:tcBorders>
              <w:bottom w:val="single" w:sz="8" w:color="003551"/>
            </w:tcBorders>
            <w:shd w:val="clear" w:color="auto" w:fill="77C483"/>
          </w:tcPr>
          <w:p>
            <w:pPr>
              <w:spacing w:after="0"/>
              <w:rPr>
                <w:sz w:val="6"/>
                <w:szCs w:val="6"/>
                <w:color w:val="auto"/>
              </w:rPr>
            </w:pPr>
          </w:p>
        </w:tc>
      </w:tr>
      <w:tr>
        <w:trPr>
          <w:trHeight w:val="190"/>
        </w:trPr>
        <w:tc>
          <w:tcPr>
            <w:tcW w:w="100" w:type="dxa"/>
            <w:vAlign w:val="bottom"/>
          </w:tcPr>
          <w:p>
            <w:pPr>
              <w:spacing w:after="0"/>
              <w:rPr>
                <w:sz w:val="16"/>
                <w:szCs w:val="16"/>
                <w:color w:val="auto"/>
              </w:rPr>
            </w:pPr>
          </w:p>
        </w:tc>
        <w:tc>
          <w:tcPr>
            <w:tcW w:w="1640" w:type="dxa"/>
            <w:vAlign w:val="bottom"/>
            <w:gridSpan w:val="2"/>
          </w:tcPr>
          <w:p>
            <w:pPr>
              <w:ind w:left="60"/>
              <w:spacing w:after="0"/>
              <w:rPr>
                <w:sz w:val="20"/>
                <w:szCs w:val="20"/>
                <w:color w:val="auto"/>
              </w:rPr>
            </w:pPr>
            <w:r>
              <w:rPr>
                <w:rFonts w:ascii="Arial" w:cs="Arial" w:eastAsia="Arial" w:hAnsi="Arial"/>
                <w:sz w:val="10"/>
                <w:szCs w:val="10"/>
                <w:b w:val="1"/>
                <w:bCs w:val="1"/>
                <w:color w:val="003551"/>
              </w:rPr>
              <w:t>Summary Compensation</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43"/>
        </w:trPr>
        <w:tc>
          <w:tcPr>
            <w:tcW w:w="100" w:type="dxa"/>
            <w:vAlign w:val="bottom"/>
          </w:tcPr>
          <w:p>
            <w:pPr>
              <w:spacing w:after="0"/>
              <w:rPr>
                <w:sz w:val="12"/>
                <w:szCs w:val="12"/>
                <w:color w:val="auto"/>
              </w:rPr>
            </w:pPr>
          </w:p>
        </w:tc>
        <w:tc>
          <w:tcPr>
            <w:tcW w:w="1640" w:type="dxa"/>
            <w:vAlign w:val="bottom"/>
            <w:gridSpan w:val="2"/>
          </w:tcPr>
          <w:p>
            <w:pPr>
              <w:ind w:left="60"/>
              <w:spacing w:after="0"/>
              <w:rPr>
                <w:sz w:val="20"/>
                <w:szCs w:val="20"/>
                <w:color w:val="auto"/>
              </w:rPr>
            </w:pPr>
            <w:r>
              <w:rPr>
                <w:rFonts w:ascii="Arial" w:cs="Arial" w:eastAsia="Arial" w:hAnsi="Arial"/>
                <w:sz w:val="10"/>
                <w:szCs w:val="10"/>
                <w:b w:val="1"/>
                <w:bCs w:val="1"/>
                <w:color w:val="003551"/>
              </w:rPr>
              <w:t>Table Total</w:t>
            </w:r>
          </w:p>
        </w:tc>
        <w:tc>
          <w:tcPr>
            <w:tcW w:w="660" w:type="dxa"/>
            <w:vAlign w:val="bottom"/>
          </w:tcPr>
          <w:p>
            <w:pPr>
              <w:ind w:left="20"/>
              <w:spacing w:after="0"/>
              <w:rPr>
                <w:sz w:val="20"/>
                <w:szCs w:val="20"/>
                <w:color w:val="auto"/>
              </w:rPr>
            </w:pPr>
            <w:r>
              <w:rPr>
                <w:rFonts w:ascii="Arial" w:cs="Arial" w:eastAsia="Arial" w:hAnsi="Arial"/>
                <w:sz w:val="10"/>
                <w:szCs w:val="10"/>
                <w:b w:val="1"/>
                <w:bCs w:val="1"/>
                <w:color w:val="003551"/>
              </w:rPr>
              <w:t>$72,647,744</w:t>
            </w:r>
          </w:p>
        </w:tc>
        <w:tc>
          <w:tcPr>
            <w:tcW w:w="740" w:type="dxa"/>
            <w:vAlign w:val="bottom"/>
            <w:gridSpan w:val="2"/>
          </w:tcPr>
          <w:p>
            <w:pPr>
              <w:ind w:left="100"/>
              <w:spacing w:after="0"/>
              <w:rPr>
                <w:sz w:val="20"/>
                <w:szCs w:val="20"/>
                <w:color w:val="auto"/>
              </w:rPr>
            </w:pPr>
            <w:r>
              <w:rPr>
                <w:rFonts w:ascii="Arial" w:cs="Arial" w:eastAsia="Arial" w:hAnsi="Arial"/>
                <w:sz w:val="10"/>
                <w:szCs w:val="10"/>
                <w:b w:val="1"/>
                <w:bCs w:val="1"/>
                <w:color w:val="003551"/>
              </w:rPr>
              <w:t>$72,647,744</w:t>
            </w:r>
          </w:p>
        </w:tc>
        <w:tc>
          <w:tcPr>
            <w:tcW w:w="100" w:type="dxa"/>
            <w:vAlign w:val="bottom"/>
          </w:tcPr>
          <w:p>
            <w:pPr>
              <w:spacing w:after="0"/>
              <w:rPr>
                <w:sz w:val="12"/>
                <w:szCs w:val="12"/>
                <w:color w:val="auto"/>
              </w:rPr>
            </w:pPr>
          </w:p>
        </w:tc>
        <w:tc>
          <w:tcPr>
            <w:tcW w:w="560" w:type="dxa"/>
            <w:vAlign w:val="bottom"/>
          </w:tcPr>
          <w:p>
            <w:pPr>
              <w:spacing w:after="0"/>
              <w:rPr>
                <w:sz w:val="20"/>
                <w:szCs w:val="20"/>
                <w:color w:val="auto"/>
              </w:rPr>
            </w:pPr>
            <w:r>
              <w:rPr>
                <w:rFonts w:ascii="Arial" w:cs="Arial" w:eastAsia="Arial" w:hAnsi="Arial"/>
                <w:sz w:val="10"/>
                <w:szCs w:val="10"/>
                <w:b w:val="1"/>
                <w:bCs w:val="1"/>
                <w:color w:val="003551"/>
              </w:rPr>
              <w:t>$2,321,407</w:t>
            </w:r>
          </w:p>
        </w:tc>
        <w:tc>
          <w:tcPr>
            <w:tcW w:w="680" w:type="dxa"/>
            <w:vAlign w:val="bottom"/>
            <w:gridSpan w:val="2"/>
          </w:tcPr>
          <w:p>
            <w:pPr>
              <w:ind w:left="100"/>
              <w:spacing w:after="0"/>
              <w:rPr>
                <w:sz w:val="20"/>
                <w:szCs w:val="20"/>
                <w:color w:val="auto"/>
              </w:rPr>
            </w:pPr>
            <w:r>
              <w:rPr>
                <w:rFonts w:ascii="Arial" w:cs="Arial" w:eastAsia="Arial" w:hAnsi="Arial"/>
                <w:sz w:val="10"/>
                <w:szCs w:val="10"/>
                <w:b w:val="1"/>
                <w:bCs w:val="1"/>
                <w:color w:val="003551"/>
              </w:rPr>
              <w:t>$6,672,353</w:t>
            </w:r>
          </w:p>
        </w:tc>
        <w:tc>
          <w:tcPr>
            <w:tcW w:w="700" w:type="dxa"/>
            <w:vAlign w:val="bottom"/>
            <w:gridSpan w:val="2"/>
          </w:tcPr>
          <w:p>
            <w:pPr>
              <w:ind w:left="120"/>
              <w:spacing w:after="0"/>
              <w:rPr>
                <w:sz w:val="20"/>
                <w:szCs w:val="20"/>
                <w:color w:val="auto"/>
              </w:rPr>
            </w:pPr>
            <w:r>
              <w:rPr>
                <w:rFonts w:ascii="Arial" w:cs="Arial" w:eastAsia="Arial" w:hAnsi="Arial"/>
                <w:sz w:val="10"/>
                <w:szCs w:val="10"/>
                <w:b w:val="1"/>
                <w:bCs w:val="1"/>
                <w:color w:val="003551"/>
              </w:rPr>
              <w:t>$6,672,353</w:t>
            </w:r>
          </w:p>
        </w:tc>
        <w:tc>
          <w:tcPr>
            <w:tcW w:w="100" w:type="dxa"/>
            <w:vAlign w:val="bottom"/>
          </w:tcPr>
          <w:p>
            <w:pPr>
              <w:spacing w:after="0"/>
              <w:rPr>
                <w:sz w:val="12"/>
                <w:szCs w:val="12"/>
                <w:color w:val="auto"/>
              </w:rPr>
            </w:pPr>
          </w:p>
        </w:tc>
        <w:tc>
          <w:tcPr>
            <w:tcW w:w="540" w:type="dxa"/>
            <w:vAlign w:val="bottom"/>
          </w:tcPr>
          <w:p>
            <w:pPr>
              <w:ind w:left="20"/>
              <w:spacing w:after="0"/>
              <w:rPr>
                <w:sz w:val="20"/>
                <w:szCs w:val="20"/>
                <w:color w:val="auto"/>
              </w:rPr>
            </w:pPr>
            <w:r>
              <w:rPr>
                <w:rFonts w:ascii="Arial" w:cs="Arial" w:eastAsia="Arial" w:hAnsi="Arial"/>
                <w:sz w:val="10"/>
                <w:szCs w:val="10"/>
                <w:b w:val="1"/>
                <w:bCs w:val="1"/>
                <w:color w:val="003551"/>
              </w:rPr>
              <w:t>$921,643</w:t>
            </w:r>
          </w:p>
        </w:tc>
        <w:tc>
          <w:tcPr>
            <w:tcW w:w="660" w:type="dxa"/>
            <w:vAlign w:val="bottom"/>
            <w:gridSpan w:val="2"/>
          </w:tcPr>
          <w:p>
            <w:pPr>
              <w:ind w:left="120"/>
              <w:spacing w:after="0"/>
              <w:rPr>
                <w:sz w:val="20"/>
                <w:szCs w:val="20"/>
                <w:color w:val="auto"/>
              </w:rPr>
            </w:pPr>
            <w:r>
              <w:rPr>
                <w:rFonts w:ascii="Arial" w:cs="Arial" w:eastAsia="Arial" w:hAnsi="Arial"/>
                <w:sz w:val="10"/>
                <w:szCs w:val="10"/>
                <w:b w:val="1"/>
                <w:bCs w:val="1"/>
                <w:color w:val="003551"/>
              </w:rPr>
              <w:t>$6,772,876</w:t>
            </w:r>
          </w:p>
        </w:tc>
        <w:tc>
          <w:tcPr>
            <w:tcW w:w="700" w:type="dxa"/>
            <w:vAlign w:val="bottom"/>
            <w:gridSpan w:val="3"/>
          </w:tcPr>
          <w:p>
            <w:pPr>
              <w:ind w:left="140"/>
              <w:spacing w:after="0"/>
              <w:rPr>
                <w:sz w:val="20"/>
                <w:szCs w:val="20"/>
                <w:color w:val="auto"/>
              </w:rPr>
            </w:pPr>
            <w:r>
              <w:rPr>
                <w:rFonts w:ascii="Arial" w:cs="Arial" w:eastAsia="Arial" w:hAnsi="Arial"/>
                <w:sz w:val="10"/>
                <w:szCs w:val="10"/>
                <w:b w:val="1"/>
                <w:bCs w:val="1"/>
                <w:color w:val="003551"/>
              </w:rPr>
              <w:t>$6,772,876</w:t>
            </w:r>
          </w:p>
        </w:tc>
        <w:tc>
          <w:tcPr>
            <w:tcW w:w="120" w:type="dxa"/>
            <w:vAlign w:val="bottom"/>
          </w:tcPr>
          <w:p>
            <w:pPr>
              <w:spacing w:after="0"/>
              <w:rPr>
                <w:sz w:val="12"/>
                <w:szCs w:val="12"/>
                <w:color w:val="auto"/>
              </w:rPr>
            </w:pPr>
          </w:p>
        </w:tc>
        <w:tc>
          <w:tcPr>
            <w:tcW w:w="580" w:type="dxa"/>
            <w:vAlign w:val="bottom"/>
          </w:tcPr>
          <w:p>
            <w:pPr>
              <w:spacing w:after="0"/>
              <w:rPr>
                <w:sz w:val="20"/>
                <w:szCs w:val="20"/>
                <w:color w:val="auto"/>
              </w:rPr>
            </w:pPr>
            <w:r>
              <w:rPr>
                <w:rFonts w:ascii="Arial" w:cs="Arial" w:eastAsia="Arial" w:hAnsi="Arial"/>
                <w:sz w:val="10"/>
                <w:szCs w:val="10"/>
                <w:b w:val="1"/>
                <w:bCs w:val="1"/>
                <w:color w:val="003551"/>
              </w:rPr>
              <w:t>$825,703</w:t>
            </w:r>
          </w:p>
        </w:tc>
      </w:tr>
      <w:tr>
        <w:trPr>
          <w:trHeight w:val="63"/>
        </w:trPr>
        <w:tc>
          <w:tcPr>
            <w:tcW w:w="1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Borders>
              <w:bottom w:val="single" w:sz="8" w:color="77C483"/>
            </w:tcBorders>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Borders>
              <w:bottom w:val="single" w:sz="8" w:color="77C483"/>
            </w:tcBorders>
          </w:tcPr>
          <w:p>
            <w:pPr>
              <w:spacing w:after="0"/>
              <w:rPr>
                <w:sz w:val="5"/>
                <w:szCs w:val="5"/>
                <w:color w:val="auto"/>
              </w:rPr>
            </w:pPr>
          </w:p>
        </w:tc>
        <w:tc>
          <w:tcPr>
            <w:tcW w:w="580" w:type="dxa"/>
            <w:vAlign w:val="bottom"/>
          </w:tcPr>
          <w:p>
            <w:pPr>
              <w:spacing w:after="0"/>
              <w:rPr>
                <w:sz w:val="5"/>
                <w:szCs w:val="5"/>
                <w:color w:val="auto"/>
              </w:rPr>
            </w:pPr>
          </w:p>
        </w:tc>
      </w:tr>
      <w:tr>
        <w:trPr>
          <w:trHeight w:val="180"/>
        </w:trPr>
        <w:tc>
          <w:tcPr>
            <w:tcW w:w="100" w:type="dxa"/>
            <w:vAlign w:val="bottom"/>
          </w:tcPr>
          <w:p>
            <w:pPr>
              <w:spacing w:after="0"/>
              <w:rPr>
                <w:sz w:val="15"/>
                <w:szCs w:val="15"/>
                <w:color w:val="auto"/>
              </w:rPr>
            </w:pPr>
          </w:p>
        </w:tc>
        <w:tc>
          <w:tcPr>
            <w:tcW w:w="1640" w:type="dxa"/>
            <w:vAlign w:val="bottom"/>
            <w:gridSpan w:val="2"/>
          </w:tcPr>
          <w:p>
            <w:pPr>
              <w:ind w:left="60"/>
              <w:spacing w:after="0"/>
              <w:rPr>
                <w:sz w:val="20"/>
                <w:szCs w:val="20"/>
                <w:color w:val="auto"/>
              </w:rPr>
            </w:pPr>
            <w:r>
              <w:rPr>
                <w:rFonts w:ascii="Arial" w:cs="Arial" w:eastAsia="Arial" w:hAnsi="Arial"/>
                <w:sz w:val="10"/>
                <w:szCs w:val="10"/>
                <w:b w:val="1"/>
                <w:bCs w:val="1"/>
                <w:color w:val="003551"/>
              </w:rPr>
              <w:t>Minus Stock Award Value &amp;</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18"/>
        </w:trPr>
        <w:tc>
          <w:tcPr>
            <w:tcW w:w="100" w:type="dxa"/>
            <w:vAlign w:val="bottom"/>
          </w:tcPr>
          <w:p>
            <w:pPr>
              <w:spacing w:after="0"/>
              <w:rPr>
                <w:sz w:val="10"/>
                <w:szCs w:val="10"/>
                <w:color w:val="auto"/>
              </w:rPr>
            </w:pPr>
          </w:p>
        </w:tc>
        <w:tc>
          <w:tcPr>
            <w:tcW w:w="1640" w:type="dxa"/>
            <w:vAlign w:val="bottom"/>
            <w:gridSpan w:val="2"/>
          </w:tcPr>
          <w:p>
            <w:pPr>
              <w:ind w:left="60"/>
              <w:spacing w:after="0"/>
              <w:rPr>
                <w:sz w:val="20"/>
                <w:szCs w:val="20"/>
                <w:color w:val="auto"/>
              </w:rPr>
            </w:pPr>
            <w:r>
              <w:rPr>
                <w:rFonts w:ascii="Arial" w:cs="Arial" w:eastAsia="Arial" w:hAnsi="Arial"/>
                <w:sz w:val="10"/>
                <w:szCs w:val="10"/>
                <w:b w:val="1"/>
                <w:bCs w:val="1"/>
                <w:color w:val="003551"/>
              </w:rPr>
              <w:t>Option Award Value Reported</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43"/>
        </w:trPr>
        <w:tc>
          <w:tcPr>
            <w:tcW w:w="100" w:type="dxa"/>
            <w:vAlign w:val="bottom"/>
          </w:tcPr>
          <w:p>
            <w:pPr>
              <w:spacing w:after="0"/>
              <w:rPr>
                <w:sz w:val="12"/>
                <w:szCs w:val="12"/>
                <w:color w:val="auto"/>
              </w:rPr>
            </w:pPr>
          </w:p>
        </w:tc>
        <w:tc>
          <w:tcPr>
            <w:tcW w:w="1640" w:type="dxa"/>
            <w:vAlign w:val="bottom"/>
            <w:gridSpan w:val="2"/>
          </w:tcPr>
          <w:p>
            <w:pPr>
              <w:ind w:left="60"/>
              <w:spacing w:after="0"/>
              <w:rPr>
                <w:sz w:val="20"/>
                <w:szCs w:val="20"/>
                <w:color w:val="auto"/>
              </w:rPr>
            </w:pPr>
            <w:r>
              <w:rPr>
                <w:rFonts w:ascii="Arial" w:cs="Arial" w:eastAsia="Arial" w:hAnsi="Arial"/>
                <w:sz w:val="10"/>
                <w:szCs w:val="10"/>
                <w:b w:val="1"/>
                <w:bCs w:val="1"/>
                <w:color w:val="003551"/>
              </w:rPr>
              <w:t>in SCT for the Fiscal Year</w:t>
            </w:r>
          </w:p>
        </w:tc>
        <w:tc>
          <w:tcPr>
            <w:tcW w:w="660" w:type="dxa"/>
            <w:vAlign w:val="bottom"/>
          </w:tcPr>
          <w:p>
            <w:pPr>
              <w:ind w:left="20"/>
              <w:spacing w:after="0"/>
              <w:rPr>
                <w:sz w:val="20"/>
                <w:szCs w:val="20"/>
                <w:color w:val="auto"/>
              </w:rPr>
            </w:pPr>
            <w:r>
              <w:rPr>
                <w:rFonts w:ascii="Arial" w:cs="Arial" w:eastAsia="Arial" w:hAnsi="Arial"/>
                <w:sz w:val="10"/>
                <w:szCs w:val="10"/>
                <w:color w:val="003551"/>
              </w:rPr>
              <w:t>$69,695,744</w:t>
            </w:r>
          </w:p>
        </w:tc>
        <w:tc>
          <w:tcPr>
            <w:tcW w:w="740" w:type="dxa"/>
            <w:vAlign w:val="bottom"/>
            <w:gridSpan w:val="2"/>
          </w:tcPr>
          <w:p>
            <w:pPr>
              <w:ind w:left="100"/>
              <w:spacing w:after="0"/>
              <w:rPr>
                <w:sz w:val="20"/>
                <w:szCs w:val="20"/>
                <w:color w:val="auto"/>
              </w:rPr>
            </w:pPr>
            <w:r>
              <w:rPr>
                <w:rFonts w:ascii="Arial" w:cs="Arial" w:eastAsia="Arial" w:hAnsi="Arial"/>
                <w:sz w:val="10"/>
                <w:szCs w:val="10"/>
                <w:color w:val="003551"/>
              </w:rPr>
              <w:t>$69,695,744</w:t>
            </w:r>
          </w:p>
        </w:tc>
        <w:tc>
          <w:tcPr>
            <w:tcW w:w="100" w:type="dxa"/>
            <w:vAlign w:val="bottom"/>
          </w:tcPr>
          <w:p>
            <w:pPr>
              <w:spacing w:after="0"/>
              <w:rPr>
                <w:sz w:val="12"/>
                <w:szCs w:val="12"/>
                <w:color w:val="auto"/>
              </w:rPr>
            </w:pPr>
          </w:p>
        </w:tc>
        <w:tc>
          <w:tcPr>
            <w:tcW w:w="560" w:type="dxa"/>
            <w:vAlign w:val="bottom"/>
          </w:tcPr>
          <w:p>
            <w:pPr>
              <w:spacing w:after="0"/>
              <w:rPr>
                <w:sz w:val="20"/>
                <w:szCs w:val="20"/>
                <w:color w:val="auto"/>
              </w:rPr>
            </w:pPr>
            <w:r>
              <w:rPr>
                <w:rFonts w:ascii="Arial" w:cs="Arial" w:eastAsia="Arial" w:hAnsi="Arial"/>
                <w:sz w:val="10"/>
                <w:szCs w:val="10"/>
                <w:color w:val="003551"/>
              </w:rPr>
              <w:t>$1,611,511</w:t>
            </w:r>
          </w:p>
        </w:tc>
        <w:tc>
          <w:tcPr>
            <w:tcW w:w="680" w:type="dxa"/>
            <w:vAlign w:val="bottom"/>
            <w:gridSpan w:val="2"/>
          </w:tcPr>
          <w:p>
            <w:pPr>
              <w:ind w:left="100"/>
              <w:spacing w:after="0"/>
              <w:rPr>
                <w:sz w:val="20"/>
                <w:szCs w:val="20"/>
                <w:color w:val="auto"/>
              </w:rPr>
            </w:pPr>
            <w:r>
              <w:rPr>
                <w:rFonts w:ascii="Arial" w:cs="Arial" w:eastAsia="Arial" w:hAnsi="Arial"/>
                <w:sz w:val="10"/>
                <w:szCs w:val="10"/>
                <w:color w:val="003551"/>
              </w:rPr>
              <w:t>$3,800,010</w:t>
            </w:r>
          </w:p>
        </w:tc>
        <w:tc>
          <w:tcPr>
            <w:tcW w:w="700" w:type="dxa"/>
            <w:vAlign w:val="bottom"/>
            <w:gridSpan w:val="2"/>
          </w:tcPr>
          <w:p>
            <w:pPr>
              <w:ind w:left="120"/>
              <w:spacing w:after="0"/>
              <w:rPr>
                <w:sz w:val="20"/>
                <w:szCs w:val="20"/>
                <w:color w:val="auto"/>
              </w:rPr>
            </w:pPr>
            <w:r>
              <w:rPr>
                <w:rFonts w:ascii="Arial" w:cs="Arial" w:eastAsia="Arial" w:hAnsi="Arial"/>
                <w:sz w:val="10"/>
                <w:szCs w:val="10"/>
                <w:color w:val="003551"/>
              </w:rPr>
              <w:t>$3,800,010</w:t>
            </w:r>
          </w:p>
        </w:tc>
        <w:tc>
          <w:tcPr>
            <w:tcW w:w="100" w:type="dxa"/>
            <w:vAlign w:val="bottom"/>
          </w:tcPr>
          <w:p>
            <w:pPr>
              <w:spacing w:after="0"/>
              <w:rPr>
                <w:sz w:val="12"/>
                <w:szCs w:val="12"/>
                <w:color w:val="auto"/>
              </w:rPr>
            </w:pPr>
          </w:p>
        </w:tc>
        <w:tc>
          <w:tcPr>
            <w:tcW w:w="540" w:type="dxa"/>
            <w:vAlign w:val="bottom"/>
          </w:tcPr>
          <w:p>
            <w:pPr>
              <w:ind w:left="20"/>
              <w:spacing w:after="0"/>
              <w:rPr>
                <w:sz w:val="20"/>
                <w:szCs w:val="20"/>
                <w:color w:val="auto"/>
              </w:rPr>
            </w:pPr>
            <w:r>
              <w:rPr>
                <w:rFonts w:ascii="Arial" w:cs="Arial" w:eastAsia="Arial" w:hAnsi="Arial"/>
                <w:sz w:val="10"/>
                <w:szCs w:val="10"/>
                <w:color w:val="003551"/>
              </w:rPr>
              <w:t>$310,861</w:t>
            </w:r>
          </w:p>
        </w:tc>
        <w:tc>
          <w:tcPr>
            <w:tcW w:w="660" w:type="dxa"/>
            <w:vAlign w:val="bottom"/>
            <w:gridSpan w:val="2"/>
          </w:tcPr>
          <w:p>
            <w:pPr>
              <w:ind w:left="120"/>
              <w:spacing w:after="0"/>
              <w:rPr>
                <w:sz w:val="20"/>
                <w:szCs w:val="20"/>
                <w:color w:val="auto"/>
              </w:rPr>
            </w:pPr>
            <w:r>
              <w:rPr>
                <w:rFonts w:ascii="Arial" w:cs="Arial" w:eastAsia="Arial" w:hAnsi="Arial"/>
                <w:sz w:val="10"/>
                <w:szCs w:val="10"/>
                <w:color w:val="003551"/>
              </w:rPr>
              <w:t>$3,800,000</w:t>
            </w:r>
          </w:p>
        </w:tc>
        <w:tc>
          <w:tcPr>
            <w:tcW w:w="700" w:type="dxa"/>
            <w:vAlign w:val="bottom"/>
            <w:gridSpan w:val="3"/>
          </w:tcPr>
          <w:p>
            <w:pPr>
              <w:ind w:left="140"/>
              <w:spacing w:after="0"/>
              <w:rPr>
                <w:sz w:val="20"/>
                <w:szCs w:val="20"/>
                <w:color w:val="auto"/>
              </w:rPr>
            </w:pPr>
            <w:r>
              <w:rPr>
                <w:rFonts w:ascii="Arial" w:cs="Arial" w:eastAsia="Arial" w:hAnsi="Arial"/>
                <w:sz w:val="10"/>
                <w:szCs w:val="10"/>
                <w:color w:val="003551"/>
              </w:rPr>
              <w:t>$3,800,000</w:t>
            </w:r>
          </w:p>
        </w:tc>
        <w:tc>
          <w:tcPr>
            <w:tcW w:w="120" w:type="dxa"/>
            <w:vAlign w:val="bottom"/>
          </w:tcPr>
          <w:p>
            <w:pPr>
              <w:spacing w:after="0"/>
              <w:rPr>
                <w:sz w:val="12"/>
                <w:szCs w:val="12"/>
                <w:color w:val="auto"/>
              </w:rPr>
            </w:pPr>
          </w:p>
        </w:tc>
        <w:tc>
          <w:tcPr>
            <w:tcW w:w="580" w:type="dxa"/>
            <w:vAlign w:val="bottom"/>
          </w:tcPr>
          <w:p>
            <w:pPr>
              <w:spacing w:after="0"/>
              <w:rPr>
                <w:sz w:val="20"/>
                <w:szCs w:val="20"/>
                <w:color w:val="auto"/>
              </w:rPr>
            </w:pPr>
            <w:r>
              <w:rPr>
                <w:rFonts w:ascii="Arial" w:cs="Arial" w:eastAsia="Arial" w:hAnsi="Arial"/>
                <w:sz w:val="10"/>
                <w:szCs w:val="10"/>
                <w:color w:val="003551"/>
              </w:rPr>
              <w:t>$291,910</w:t>
            </w:r>
          </w:p>
        </w:tc>
      </w:tr>
      <w:tr>
        <w:trPr>
          <w:trHeight w:val="63"/>
        </w:trPr>
        <w:tc>
          <w:tcPr>
            <w:tcW w:w="1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Borders>
              <w:bottom w:val="single" w:sz="8" w:color="77C483"/>
            </w:tcBorders>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Borders>
              <w:bottom w:val="single" w:sz="8" w:color="77C483"/>
            </w:tcBorders>
          </w:tcPr>
          <w:p>
            <w:pPr>
              <w:spacing w:after="0"/>
              <w:rPr>
                <w:sz w:val="5"/>
                <w:szCs w:val="5"/>
                <w:color w:val="auto"/>
              </w:rPr>
            </w:pPr>
          </w:p>
        </w:tc>
        <w:tc>
          <w:tcPr>
            <w:tcW w:w="580" w:type="dxa"/>
            <w:vAlign w:val="bottom"/>
          </w:tcPr>
          <w:p>
            <w:pPr>
              <w:spacing w:after="0"/>
              <w:rPr>
                <w:sz w:val="5"/>
                <w:szCs w:val="5"/>
                <w:color w:val="auto"/>
              </w:rPr>
            </w:pPr>
          </w:p>
        </w:tc>
      </w:tr>
      <w:tr>
        <w:trPr>
          <w:trHeight w:val="180"/>
        </w:trPr>
        <w:tc>
          <w:tcPr>
            <w:tcW w:w="100" w:type="dxa"/>
            <w:vAlign w:val="bottom"/>
          </w:tcPr>
          <w:p>
            <w:pPr>
              <w:spacing w:after="0"/>
              <w:rPr>
                <w:sz w:val="15"/>
                <w:szCs w:val="15"/>
                <w:color w:val="auto"/>
              </w:rPr>
            </w:pPr>
          </w:p>
        </w:tc>
        <w:tc>
          <w:tcPr>
            <w:tcW w:w="1640" w:type="dxa"/>
            <w:vAlign w:val="bottom"/>
            <w:gridSpan w:val="2"/>
          </w:tcPr>
          <w:p>
            <w:pPr>
              <w:ind w:left="60"/>
              <w:spacing w:after="0"/>
              <w:rPr>
                <w:sz w:val="20"/>
                <w:szCs w:val="20"/>
                <w:color w:val="auto"/>
              </w:rPr>
            </w:pPr>
            <w:r>
              <w:rPr>
                <w:rFonts w:ascii="Arial" w:cs="Arial" w:eastAsia="Arial" w:hAnsi="Arial"/>
                <w:sz w:val="10"/>
                <w:szCs w:val="10"/>
                <w:b w:val="1"/>
                <w:bCs w:val="1"/>
                <w:color w:val="003551"/>
              </w:rPr>
              <w:t>Plus Year End Fair Value of</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18"/>
        </w:trPr>
        <w:tc>
          <w:tcPr>
            <w:tcW w:w="100" w:type="dxa"/>
            <w:vAlign w:val="bottom"/>
          </w:tcPr>
          <w:p>
            <w:pPr>
              <w:spacing w:after="0"/>
              <w:rPr>
                <w:sz w:val="10"/>
                <w:szCs w:val="10"/>
                <w:color w:val="auto"/>
              </w:rPr>
            </w:pPr>
          </w:p>
        </w:tc>
        <w:tc>
          <w:tcPr>
            <w:tcW w:w="1640" w:type="dxa"/>
            <w:vAlign w:val="bottom"/>
            <w:gridSpan w:val="2"/>
          </w:tcPr>
          <w:p>
            <w:pPr>
              <w:ind w:left="60"/>
              <w:spacing w:after="0"/>
              <w:rPr>
                <w:sz w:val="20"/>
                <w:szCs w:val="20"/>
                <w:color w:val="auto"/>
              </w:rPr>
            </w:pPr>
            <w:r>
              <w:rPr>
                <w:rFonts w:ascii="Arial" w:cs="Arial" w:eastAsia="Arial" w:hAnsi="Arial"/>
                <w:sz w:val="10"/>
                <w:szCs w:val="10"/>
                <w:b w:val="1"/>
                <w:bCs w:val="1"/>
                <w:color w:val="003551"/>
              </w:rPr>
              <w:t>Equity Awards Granted</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18"/>
        </w:trPr>
        <w:tc>
          <w:tcPr>
            <w:tcW w:w="100" w:type="dxa"/>
            <w:vAlign w:val="bottom"/>
          </w:tcPr>
          <w:p>
            <w:pPr>
              <w:spacing w:after="0"/>
              <w:rPr>
                <w:sz w:val="10"/>
                <w:szCs w:val="10"/>
                <w:color w:val="auto"/>
              </w:rPr>
            </w:pPr>
          </w:p>
        </w:tc>
        <w:tc>
          <w:tcPr>
            <w:tcW w:w="1640" w:type="dxa"/>
            <w:vAlign w:val="bottom"/>
            <w:gridSpan w:val="2"/>
          </w:tcPr>
          <w:p>
            <w:pPr>
              <w:ind w:left="60"/>
              <w:spacing w:after="0"/>
              <w:rPr>
                <w:sz w:val="20"/>
                <w:szCs w:val="20"/>
                <w:color w:val="auto"/>
              </w:rPr>
            </w:pPr>
            <w:r>
              <w:rPr>
                <w:rFonts w:ascii="Arial" w:cs="Arial" w:eastAsia="Arial" w:hAnsi="Arial"/>
                <w:sz w:val="10"/>
                <w:szCs w:val="10"/>
                <w:b w:val="1"/>
                <w:bCs w:val="1"/>
                <w:color w:val="003551"/>
              </w:rPr>
              <w:t>During the Fiscal Year that</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18"/>
        </w:trPr>
        <w:tc>
          <w:tcPr>
            <w:tcW w:w="100" w:type="dxa"/>
            <w:vAlign w:val="bottom"/>
          </w:tcPr>
          <w:p>
            <w:pPr>
              <w:spacing w:after="0"/>
              <w:rPr>
                <w:sz w:val="10"/>
                <w:szCs w:val="10"/>
                <w:color w:val="auto"/>
              </w:rPr>
            </w:pPr>
          </w:p>
        </w:tc>
        <w:tc>
          <w:tcPr>
            <w:tcW w:w="1640" w:type="dxa"/>
            <w:vAlign w:val="bottom"/>
            <w:gridSpan w:val="2"/>
          </w:tcPr>
          <w:p>
            <w:pPr>
              <w:ind w:left="60"/>
              <w:spacing w:after="0"/>
              <w:rPr>
                <w:sz w:val="20"/>
                <w:szCs w:val="20"/>
                <w:color w:val="auto"/>
              </w:rPr>
            </w:pPr>
            <w:r>
              <w:rPr>
                <w:rFonts w:ascii="Arial" w:cs="Arial" w:eastAsia="Arial" w:hAnsi="Arial"/>
                <w:sz w:val="10"/>
                <w:szCs w:val="10"/>
                <w:b w:val="1"/>
                <w:bCs w:val="1"/>
                <w:color w:val="003551"/>
              </w:rPr>
              <w:t>Remain Outstanding and</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18"/>
        </w:trPr>
        <w:tc>
          <w:tcPr>
            <w:tcW w:w="100" w:type="dxa"/>
            <w:vAlign w:val="bottom"/>
          </w:tcPr>
          <w:p>
            <w:pPr>
              <w:spacing w:after="0"/>
              <w:rPr>
                <w:sz w:val="10"/>
                <w:szCs w:val="10"/>
                <w:color w:val="auto"/>
              </w:rPr>
            </w:pPr>
          </w:p>
        </w:tc>
        <w:tc>
          <w:tcPr>
            <w:tcW w:w="1640" w:type="dxa"/>
            <w:vAlign w:val="bottom"/>
            <w:gridSpan w:val="2"/>
          </w:tcPr>
          <w:p>
            <w:pPr>
              <w:ind w:left="60"/>
              <w:spacing w:after="0"/>
              <w:rPr>
                <w:sz w:val="20"/>
                <w:szCs w:val="20"/>
                <w:color w:val="auto"/>
              </w:rPr>
            </w:pPr>
            <w:r>
              <w:rPr>
                <w:rFonts w:ascii="Arial" w:cs="Arial" w:eastAsia="Arial" w:hAnsi="Arial"/>
                <w:sz w:val="10"/>
                <w:szCs w:val="10"/>
                <w:b w:val="1"/>
                <w:bCs w:val="1"/>
                <w:color w:val="003551"/>
              </w:rPr>
              <w:t>Unvested as of Last Day of</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43"/>
        </w:trPr>
        <w:tc>
          <w:tcPr>
            <w:tcW w:w="100" w:type="dxa"/>
            <w:vAlign w:val="bottom"/>
          </w:tcPr>
          <w:p>
            <w:pPr>
              <w:spacing w:after="0"/>
              <w:rPr>
                <w:sz w:val="12"/>
                <w:szCs w:val="12"/>
                <w:color w:val="auto"/>
              </w:rPr>
            </w:pPr>
          </w:p>
        </w:tc>
        <w:tc>
          <w:tcPr>
            <w:tcW w:w="1640" w:type="dxa"/>
            <w:vAlign w:val="bottom"/>
            <w:gridSpan w:val="2"/>
          </w:tcPr>
          <w:p>
            <w:pPr>
              <w:ind w:left="60"/>
              <w:spacing w:after="0"/>
              <w:rPr>
                <w:sz w:val="20"/>
                <w:szCs w:val="20"/>
                <w:color w:val="auto"/>
              </w:rPr>
            </w:pPr>
            <w:r>
              <w:rPr>
                <w:rFonts w:ascii="Arial" w:cs="Arial" w:eastAsia="Arial" w:hAnsi="Arial"/>
                <w:sz w:val="10"/>
                <w:szCs w:val="10"/>
                <w:b w:val="1"/>
                <w:bCs w:val="1"/>
                <w:color w:val="003551"/>
              </w:rPr>
              <w:t>the Fiscal Year</w:t>
            </w:r>
          </w:p>
        </w:tc>
        <w:tc>
          <w:tcPr>
            <w:tcW w:w="660" w:type="dxa"/>
            <w:vAlign w:val="bottom"/>
          </w:tcPr>
          <w:p>
            <w:pPr>
              <w:ind w:left="20"/>
              <w:spacing w:after="0"/>
              <w:rPr>
                <w:sz w:val="20"/>
                <w:szCs w:val="20"/>
                <w:color w:val="auto"/>
              </w:rPr>
            </w:pPr>
            <w:r>
              <w:rPr>
                <w:rFonts w:ascii="Arial" w:cs="Arial" w:eastAsia="Arial" w:hAnsi="Arial"/>
                <w:sz w:val="10"/>
                <w:szCs w:val="10"/>
                <w:color w:val="003551"/>
              </w:rPr>
              <w:t>$105,322,741</w:t>
            </w:r>
          </w:p>
        </w:tc>
        <w:tc>
          <w:tcPr>
            <w:tcW w:w="840" w:type="dxa"/>
            <w:vAlign w:val="bottom"/>
            <w:gridSpan w:val="3"/>
          </w:tcPr>
          <w:p>
            <w:pPr>
              <w:ind w:left="100"/>
              <w:spacing w:after="0"/>
              <w:rPr>
                <w:sz w:val="20"/>
                <w:szCs w:val="20"/>
                <w:color w:val="auto"/>
              </w:rPr>
            </w:pPr>
            <w:r>
              <w:rPr>
                <w:rFonts w:ascii="Arial" w:cs="Arial" w:eastAsia="Arial" w:hAnsi="Arial"/>
                <w:sz w:val="10"/>
                <w:szCs w:val="10"/>
                <w:color w:val="003551"/>
              </w:rPr>
              <w:t>$105,322,741</w:t>
            </w:r>
          </w:p>
        </w:tc>
        <w:tc>
          <w:tcPr>
            <w:tcW w:w="560" w:type="dxa"/>
            <w:vAlign w:val="bottom"/>
          </w:tcPr>
          <w:p>
            <w:pPr>
              <w:spacing w:after="0"/>
              <w:rPr>
                <w:sz w:val="20"/>
                <w:szCs w:val="20"/>
                <w:color w:val="auto"/>
              </w:rPr>
            </w:pPr>
            <w:r>
              <w:rPr>
                <w:rFonts w:ascii="Arial" w:cs="Arial" w:eastAsia="Arial" w:hAnsi="Arial"/>
                <w:sz w:val="10"/>
                <w:szCs w:val="10"/>
                <w:color w:val="003551"/>
              </w:rPr>
              <w:t>$2,343,216</w:t>
            </w:r>
          </w:p>
        </w:tc>
        <w:tc>
          <w:tcPr>
            <w:tcW w:w="680" w:type="dxa"/>
            <w:vAlign w:val="bottom"/>
            <w:gridSpan w:val="2"/>
          </w:tcPr>
          <w:p>
            <w:pPr>
              <w:ind w:left="100"/>
              <w:spacing w:after="0"/>
              <w:rPr>
                <w:sz w:val="20"/>
                <w:szCs w:val="20"/>
                <w:color w:val="auto"/>
              </w:rPr>
            </w:pPr>
            <w:r>
              <w:rPr>
                <w:rFonts w:ascii="Arial" w:cs="Arial" w:eastAsia="Arial" w:hAnsi="Arial"/>
                <w:sz w:val="10"/>
                <w:szCs w:val="10"/>
                <w:color w:val="003551"/>
              </w:rPr>
              <w:t>$9,762,335</w:t>
            </w:r>
          </w:p>
        </w:tc>
        <w:tc>
          <w:tcPr>
            <w:tcW w:w="700" w:type="dxa"/>
            <w:vAlign w:val="bottom"/>
            <w:gridSpan w:val="2"/>
          </w:tcPr>
          <w:p>
            <w:pPr>
              <w:ind w:left="120"/>
              <w:spacing w:after="0"/>
              <w:rPr>
                <w:sz w:val="20"/>
                <w:szCs w:val="20"/>
                <w:color w:val="auto"/>
              </w:rPr>
            </w:pPr>
            <w:r>
              <w:rPr>
                <w:rFonts w:ascii="Arial" w:cs="Arial" w:eastAsia="Arial" w:hAnsi="Arial"/>
                <w:sz w:val="10"/>
                <w:szCs w:val="10"/>
                <w:color w:val="003551"/>
              </w:rPr>
              <w:t>$9,762,335</w:t>
            </w:r>
          </w:p>
        </w:tc>
        <w:tc>
          <w:tcPr>
            <w:tcW w:w="100" w:type="dxa"/>
            <w:vAlign w:val="bottom"/>
          </w:tcPr>
          <w:p>
            <w:pPr>
              <w:spacing w:after="0"/>
              <w:rPr>
                <w:sz w:val="12"/>
                <w:szCs w:val="12"/>
                <w:color w:val="auto"/>
              </w:rPr>
            </w:pPr>
          </w:p>
        </w:tc>
        <w:tc>
          <w:tcPr>
            <w:tcW w:w="540" w:type="dxa"/>
            <w:vAlign w:val="bottom"/>
          </w:tcPr>
          <w:p>
            <w:pPr>
              <w:ind w:left="20"/>
              <w:spacing w:after="0"/>
              <w:rPr>
                <w:sz w:val="20"/>
                <w:szCs w:val="20"/>
                <w:color w:val="auto"/>
              </w:rPr>
            </w:pPr>
            <w:r>
              <w:rPr>
                <w:rFonts w:ascii="Arial" w:cs="Arial" w:eastAsia="Arial" w:hAnsi="Arial"/>
                <w:sz w:val="10"/>
                <w:szCs w:val="10"/>
                <w:color w:val="003551"/>
              </w:rPr>
              <w:t>$798,610</w:t>
            </w:r>
          </w:p>
        </w:tc>
        <w:tc>
          <w:tcPr>
            <w:tcW w:w="660" w:type="dxa"/>
            <w:vAlign w:val="bottom"/>
            <w:gridSpan w:val="2"/>
          </w:tcPr>
          <w:p>
            <w:pPr>
              <w:ind w:left="120"/>
              <w:spacing w:after="0"/>
              <w:rPr>
                <w:sz w:val="20"/>
                <w:szCs w:val="20"/>
                <w:color w:val="auto"/>
              </w:rPr>
            </w:pPr>
            <w:r>
              <w:rPr>
                <w:rFonts w:ascii="Arial" w:cs="Arial" w:eastAsia="Arial" w:hAnsi="Arial"/>
                <w:sz w:val="10"/>
                <w:szCs w:val="10"/>
                <w:color w:val="003551"/>
              </w:rPr>
              <w:t>$5,132,839</w:t>
            </w:r>
          </w:p>
        </w:tc>
        <w:tc>
          <w:tcPr>
            <w:tcW w:w="700" w:type="dxa"/>
            <w:vAlign w:val="bottom"/>
            <w:gridSpan w:val="3"/>
          </w:tcPr>
          <w:p>
            <w:pPr>
              <w:ind w:left="140"/>
              <w:spacing w:after="0"/>
              <w:rPr>
                <w:sz w:val="20"/>
                <w:szCs w:val="20"/>
                <w:color w:val="auto"/>
              </w:rPr>
            </w:pPr>
            <w:r>
              <w:rPr>
                <w:rFonts w:ascii="Arial" w:cs="Arial" w:eastAsia="Arial" w:hAnsi="Arial"/>
                <w:sz w:val="10"/>
                <w:szCs w:val="10"/>
                <w:color w:val="003551"/>
              </w:rPr>
              <w:t>$5,132,839</w:t>
            </w:r>
          </w:p>
        </w:tc>
        <w:tc>
          <w:tcPr>
            <w:tcW w:w="120" w:type="dxa"/>
            <w:vAlign w:val="bottom"/>
          </w:tcPr>
          <w:p>
            <w:pPr>
              <w:spacing w:after="0"/>
              <w:rPr>
                <w:sz w:val="12"/>
                <w:szCs w:val="12"/>
                <w:color w:val="auto"/>
              </w:rPr>
            </w:pPr>
          </w:p>
        </w:tc>
        <w:tc>
          <w:tcPr>
            <w:tcW w:w="580" w:type="dxa"/>
            <w:vAlign w:val="bottom"/>
          </w:tcPr>
          <w:p>
            <w:pPr>
              <w:spacing w:after="0"/>
              <w:rPr>
                <w:sz w:val="20"/>
                <w:szCs w:val="20"/>
                <w:color w:val="auto"/>
              </w:rPr>
            </w:pPr>
            <w:r>
              <w:rPr>
                <w:rFonts w:ascii="Arial" w:cs="Arial" w:eastAsia="Arial" w:hAnsi="Arial"/>
                <w:sz w:val="10"/>
                <w:szCs w:val="10"/>
                <w:color w:val="003551"/>
              </w:rPr>
              <w:t>$360,000</w:t>
            </w:r>
          </w:p>
        </w:tc>
      </w:tr>
      <w:tr>
        <w:trPr>
          <w:trHeight w:val="63"/>
        </w:trPr>
        <w:tc>
          <w:tcPr>
            <w:tcW w:w="1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Borders>
              <w:bottom w:val="single" w:sz="8" w:color="77C483"/>
            </w:tcBorders>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Borders>
              <w:bottom w:val="single" w:sz="8" w:color="77C483"/>
            </w:tcBorders>
          </w:tcPr>
          <w:p>
            <w:pPr>
              <w:spacing w:after="0"/>
              <w:rPr>
                <w:sz w:val="5"/>
                <w:szCs w:val="5"/>
                <w:color w:val="auto"/>
              </w:rPr>
            </w:pPr>
          </w:p>
        </w:tc>
        <w:tc>
          <w:tcPr>
            <w:tcW w:w="580" w:type="dxa"/>
            <w:vAlign w:val="bottom"/>
          </w:tcPr>
          <w:p>
            <w:pPr>
              <w:spacing w:after="0"/>
              <w:rPr>
                <w:sz w:val="5"/>
                <w:szCs w:val="5"/>
                <w:color w:val="auto"/>
              </w:rPr>
            </w:pPr>
          </w:p>
        </w:tc>
      </w:tr>
      <w:tr>
        <w:trPr>
          <w:trHeight w:val="180"/>
        </w:trPr>
        <w:tc>
          <w:tcPr>
            <w:tcW w:w="100" w:type="dxa"/>
            <w:vAlign w:val="bottom"/>
          </w:tcPr>
          <w:p>
            <w:pPr>
              <w:spacing w:after="0"/>
              <w:rPr>
                <w:sz w:val="15"/>
                <w:szCs w:val="15"/>
                <w:color w:val="auto"/>
              </w:rPr>
            </w:pPr>
          </w:p>
        </w:tc>
        <w:tc>
          <w:tcPr>
            <w:tcW w:w="1640" w:type="dxa"/>
            <w:vAlign w:val="bottom"/>
            <w:gridSpan w:val="2"/>
          </w:tcPr>
          <w:p>
            <w:pPr>
              <w:ind w:left="60"/>
              <w:spacing w:after="0"/>
              <w:rPr>
                <w:sz w:val="20"/>
                <w:szCs w:val="20"/>
                <w:color w:val="auto"/>
              </w:rPr>
            </w:pPr>
            <w:r>
              <w:rPr>
                <w:rFonts w:ascii="Arial" w:cs="Arial" w:eastAsia="Arial" w:hAnsi="Arial"/>
                <w:sz w:val="10"/>
                <w:szCs w:val="10"/>
                <w:b w:val="1"/>
                <w:bCs w:val="1"/>
                <w:color w:val="003551"/>
              </w:rPr>
              <w:t>Plus Year over Year Change</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18"/>
        </w:trPr>
        <w:tc>
          <w:tcPr>
            <w:tcW w:w="100" w:type="dxa"/>
            <w:vAlign w:val="bottom"/>
          </w:tcPr>
          <w:p>
            <w:pPr>
              <w:spacing w:after="0"/>
              <w:rPr>
                <w:sz w:val="10"/>
                <w:szCs w:val="10"/>
                <w:color w:val="auto"/>
              </w:rPr>
            </w:pPr>
          </w:p>
        </w:tc>
        <w:tc>
          <w:tcPr>
            <w:tcW w:w="1640" w:type="dxa"/>
            <w:vAlign w:val="bottom"/>
            <w:gridSpan w:val="2"/>
          </w:tcPr>
          <w:p>
            <w:pPr>
              <w:ind w:left="60"/>
              <w:spacing w:after="0"/>
              <w:rPr>
                <w:sz w:val="20"/>
                <w:szCs w:val="20"/>
                <w:color w:val="auto"/>
              </w:rPr>
            </w:pPr>
            <w:r>
              <w:rPr>
                <w:rFonts w:ascii="Arial" w:cs="Arial" w:eastAsia="Arial" w:hAnsi="Arial"/>
                <w:sz w:val="10"/>
                <w:szCs w:val="10"/>
                <w:b w:val="1"/>
                <w:bCs w:val="1"/>
                <w:color w:val="003551"/>
              </w:rPr>
              <w:t>in Fair Value as of the Last</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18"/>
        </w:trPr>
        <w:tc>
          <w:tcPr>
            <w:tcW w:w="100" w:type="dxa"/>
            <w:vAlign w:val="bottom"/>
          </w:tcPr>
          <w:p>
            <w:pPr>
              <w:spacing w:after="0"/>
              <w:rPr>
                <w:sz w:val="10"/>
                <w:szCs w:val="10"/>
                <w:color w:val="auto"/>
              </w:rPr>
            </w:pPr>
          </w:p>
        </w:tc>
        <w:tc>
          <w:tcPr>
            <w:tcW w:w="1640" w:type="dxa"/>
            <w:vAlign w:val="bottom"/>
            <w:gridSpan w:val="2"/>
          </w:tcPr>
          <w:p>
            <w:pPr>
              <w:ind w:left="60"/>
              <w:spacing w:after="0"/>
              <w:rPr>
                <w:sz w:val="20"/>
                <w:szCs w:val="20"/>
                <w:color w:val="auto"/>
              </w:rPr>
            </w:pPr>
            <w:r>
              <w:rPr>
                <w:rFonts w:ascii="Arial" w:cs="Arial" w:eastAsia="Arial" w:hAnsi="Arial"/>
                <w:sz w:val="10"/>
                <w:szCs w:val="10"/>
                <w:b w:val="1"/>
                <w:bCs w:val="1"/>
                <w:color w:val="003551"/>
              </w:rPr>
              <w:t>Day of the Fiscal Year of</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18"/>
        </w:trPr>
        <w:tc>
          <w:tcPr>
            <w:tcW w:w="100" w:type="dxa"/>
            <w:vAlign w:val="bottom"/>
          </w:tcPr>
          <w:p>
            <w:pPr>
              <w:spacing w:after="0"/>
              <w:rPr>
                <w:sz w:val="10"/>
                <w:szCs w:val="10"/>
                <w:color w:val="auto"/>
              </w:rPr>
            </w:pPr>
          </w:p>
        </w:tc>
        <w:tc>
          <w:tcPr>
            <w:tcW w:w="1640" w:type="dxa"/>
            <w:vAlign w:val="bottom"/>
            <w:gridSpan w:val="2"/>
          </w:tcPr>
          <w:p>
            <w:pPr>
              <w:ind w:left="60"/>
              <w:spacing w:after="0"/>
              <w:rPr>
                <w:sz w:val="20"/>
                <w:szCs w:val="20"/>
                <w:color w:val="auto"/>
              </w:rPr>
            </w:pPr>
            <w:r>
              <w:rPr>
                <w:rFonts w:ascii="Arial" w:cs="Arial" w:eastAsia="Arial" w:hAnsi="Arial"/>
                <w:sz w:val="10"/>
                <w:szCs w:val="10"/>
                <w:b w:val="1"/>
                <w:bCs w:val="1"/>
                <w:color w:val="003551"/>
              </w:rPr>
              <w:t>Outstanding and Unvested</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18"/>
        </w:trPr>
        <w:tc>
          <w:tcPr>
            <w:tcW w:w="100" w:type="dxa"/>
            <w:vAlign w:val="bottom"/>
          </w:tcPr>
          <w:p>
            <w:pPr>
              <w:spacing w:after="0"/>
              <w:rPr>
                <w:sz w:val="10"/>
                <w:szCs w:val="10"/>
                <w:color w:val="auto"/>
              </w:rPr>
            </w:pPr>
          </w:p>
        </w:tc>
        <w:tc>
          <w:tcPr>
            <w:tcW w:w="1640" w:type="dxa"/>
            <w:vAlign w:val="bottom"/>
            <w:gridSpan w:val="2"/>
          </w:tcPr>
          <w:p>
            <w:pPr>
              <w:ind w:left="60"/>
              <w:spacing w:after="0"/>
              <w:rPr>
                <w:sz w:val="20"/>
                <w:szCs w:val="20"/>
                <w:color w:val="auto"/>
              </w:rPr>
            </w:pPr>
            <w:r>
              <w:rPr>
                <w:rFonts w:ascii="Arial" w:cs="Arial" w:eastAsia="Arial" w:hAnsi="Arial"/>
                <w:sz w:val="10"/>
                <w:szCs w:val="10"/>
                <w:b w:val="1"/>
                <w:bCs w:val="1"/>
                <w:color w:val="003551"/>
              </w:rPr>
              <w:t>Equity Awards Granted in</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43"/>
        </w:trPr>
        <w:tc>
          <w:tcPr>
            <w:tcW w:w="100" w:type="dxa"/>
            <w:vAlign w:val="bottom"/>
          </w:tcPr>
          <w:p>
            <w:pPr>
              <w:spacing w:after="0"/>
              <w:rPr>
                <w:sz w:val="12"/>
                <w:szCs w:val="12"/>
                <w:color w:val="auto"/>
              </w:rPr>
            </w:pPr>
          </w:p>
        </w:tc>
        <w:tc>
          <w:tcPr>
            <w:tcW w:w="1640" w:type="dxa"/>
            <w:vAlign w:val="bottom"/>
            <w:gridSpan w:val="2"/>
          </w:tcPr>
          <w:p>
            <w:pPr>
              <w:ind w:left="60"/>
              <w:spacing w:after="0"/>
              <w:rPr>
                <w:sz w:val="20"/>
                <w:szCs w:val="20"/>
                <w:color w:val="auto"/>
              </w:rPr>
            </w:pPr>
            <w:r>
              <w:rPr>
                <w:rFonts w:ascii="Arial" w:cs="Arial" w:eastAsia="Arial" w:hAnsi="Arial"/>
                <w:sz w:val="10"/>
                <w:szCs w:val="10"/>
                <w:b w:val="1"/>
                <w:bCs w:val="1"/>
                <w:color w:val="003551"/>
              </w:rPr>
              <w:t>Prior Years</w:t>
            </w:r>
          </w:p>
        </w:tc>
        <w:tc>
          <w:tcPr>
            <w:tcW w:w="660" w:type="dxa"/>
            <w:vAlign w:val="bottom"/>
          </w:tcPr>
          <w:p>
            <w:pPr>
              <w:ind w:left="20"/>
              <w:spacing w:after="0"/>
              <w:rPr>
                <w:sz w:val="20"/>
                <w:szCs w:val="20"/>
                <w:color w:val="auto"/>
              </w:rPr>
            </w:pPr>
            <w:r>
              <w:rPr>
                <w:rFonts w:ascii="Arial" w:cs="Arial" w:eastAsia="Arial" w:hAnsi="Arial"/>
                <w:sz w:val="10"/>
                <w:szCs w:val="10"/>
                <w:color w:val="003551"/>
              </w:rPr>
              <w:t>$10,204,412</w:t>
            </w:r>
          </w:p>
        </w:tc>
        <w:tc>
          <w:tcPr>
            <w:tcW w:w="740" w:type="dxa"/>
            <w:vAlign w:val="bottom"/>
            <w:gridSpan w:val="2"/>
          </w:tcPr>
          <w:p>
            <w:pPr>
              <w:ind w:left="100"/>
              <w:spacing w:after="0"/>
              <w:rPr>
                <w:sz w:val="20"/>
                <w:szCs w:val="20"/>
                <w:color w:val="auto"/>
              </w:rPr>
            </w:pPr>
            <w:r>
              <w:rPr>
                <w:rFonts w:ascii="Arial" w:cs="Arial" w:eastAsia="Arial" w:hAnsi="Arial"/>
                <w:sz w:val="10"/>
                <w:szCs w:val="10"/>
                <w:color w:val="003551"/>
              </w:rPr>
              <w:t>$10,204,412</w:t>
            </w:r>
          </w:p>
        </w:tc>
        <w:tc>
          <w:tcPr>
            <w:tcW w:w="100" w:type="dxa"/>
            <w:vAlign w:val="bottom"/>
          </w:tcPr>
          <w:p>
            <w:pPr>
              <w:spacing w:after="0"/>
              <w:rPr>
                <w:sz w:val="12"/>
                <w:szCs w:val="12"/>
                <w:color w:val="auto"/>
              </w:rPr>
            </w:pPr>
          </w:p>
        </w:tc>
        <w:tc>
          <w:tcPr>
            <w:tcW w:w="560" w:type="dxa"/>
            <w:vAlign w:val="bottom"/>
          </w:tcPr>
          <w:p>
            <w:pPr>
              <w:spacing w:after="0"/>
              <w:rPr>
                <w:sz w:val="20"/>
                <w:szCs w:val="20"/>
                <w:color w:val="auto"/>
              </w:rPr>
            </w:pPr>
            <w:r>
              <w:rPr>
                <w:rFonts w:ascii="Arial" w:cs="Arial" w:eastAsia="Arial" w:hAnsi="Arial"/>
                <w:sz w:val="10"/>
                <w:szCs w:val="10"/>
                <w:color w:val="003551"/>
              </w:rPr>
              <w:t>$575,356</w:t>
            </w:r>
          </w:p>
        </w:tc>
        <w:tc>
          <w:tcPr>
            <w:tcW w:w="680" w:type="dxa"/>
            <w:vAlign w:val="bottom"/>
            <w:gridSpan w:val="2"/>
          </w:tcPr>
          <w:p>
            <w:pPr>
              <w:ind w:left="100"/>
              <w:spacing w:after="0"/>
              <w:rPr>
                <w:sz w:val="20"/>
                <w:szCs w:val="20"/>
                <w:color w:val="auto"/>
              </w:rPr>
            </w:pPr>
            <w:r>
              <w:rPr>
                <w:rFonts w:ascii="Arial" w:cs="Arial" w:eastAsia="Arial" w:hAnsi="Arial"/>
                <w:sz w:val="10"/>
                <w:szCs w:val="10"/>
                <w:color w:val="003551"/>
              </w:rPr>
              <w:t>$10,636,999</w:t>
            </w:r>
          </w:p>
        </w:tc>
        <w:tc>
          <w:tcPr>
            <w:tcW w:w="700" w:type="dxa"/>
            <w:vAlign w:val="bottom"/>
            <w:gridSpan w:val="2"/>
          </w:tcPr>
          <w:p>
            <w:pPr>
              <w:ind w:left="120"/>
              <w:spacing w:after="0"/>
              <w:rPr>
                <w:sz w:val="20"/>
                <w:szCs w:val="20"/>
                <w:color w:val="auto"/>
              </w:rPr>
            </w:pPr>
            <w:r>
              <w:rPr>
                <w:rFonts w:ascii="Arial" w:cs="Arial" w:eastAsia="Arial" w:hAnsi="Arial"/>
                <w:sz w:val="10"/>
                <w:szCs w:val="10"/>
                <w:color w:val="003551"/>
              </w:rPr>
              <w:t>$10,636,999</w:t>
            </w:r>
          </w:p>
        </w:tc>
        <w:tc>
          <w:tcPr>
            <w:tcW w:w="100" w:type="dxa"/>
            <w:vAlign w:val="bottom"/>
          </w:tcPr>
          <w:p>
            <w:pPr>
              <w:spacing w:after="0"/>
              <w:rPr>
                <w:sz w:val="12"/>
                <w:szCs w:val="12"/>
                <w:color w:val="auto"/>
              </w:rPr>
            </w:pPr>
          </w:p>
        </w:tc>
        <w:tc>
          <w:tcPr>
            <w:tcW w:w="540" w:type="dxa"/>
            <w:vAlign w:val="bottom"/>
          </w:tcPr>
          <w:p>
            <w:pPr>
              <w:ind w:left="20"/>
              <w:spacing w:after="0"/>
              <w:rPr>
                <w:sz w:val="20"/>
                <w:szCs w:val="20"/>
                <w:color w:val="auto"/>
              </w:rPr>
            </w:pPr>
            <w:r>
              <w:rPr>
                <w:rFonts w:ascii="Arial" w:cs="Arial" w:eastAsia="Arial" w:hAnsi="Arial"/>
                <w:sz w:val="10"/>
                <w:szCs w:val="10"/>
                <w:color w:val="003551"/>
              </w:rPr>
              <w:t>$531,109</w:t>
            </w:r>
          </w:p>
        </w:tc>
        <w:tc>
          <w:tcPr>
            <w:tcW w:w="660" w:type="dxa"/>
            <w:vAlign w:val="bottom"/>
            <w:gridSpan w:val="2"/>
          </w:tcPr>
          <w:p>
            <w:pPr>
              <w:ind w:left="120"/>
              <w:spacing w:after="0"/>
              <w:rPr>
                <w:sz w:val="20"/>
                <w:szCs w:val="20"/>
                <w:color w:val="auto"/>
              </w:rPr>
            </w:pPr>
            <w:r>
              <w:rPr>
                <w:rFonts w:ascii="Arial" w:cs="Arial" w:eastAsia="Arial" w:hAnsi="Arial"/>
                <w:sz w:val="10"/>
                <w:szCs w:val="10"/>
                <w:color w:val="003551"/>
              </w:rPr>
              <w:t>$66,000</w:t>
            </w:r>
          </w:p>
        </w:tc>
        <w:tc>
          <w:tcPr>
            <w:tcW w:w="700" w:type="dxa"/>
            <w:vAlign w:val="bottom"/>
            <w:gridSpan w:val="3"/>
          </w:tcPr>
          <w:p>
            <w:pPr>
              <w:ind w:left="140"/>
              <w:spacing w:after="0"/>
              <w:rPr>
                <w:sz w:val="20"/>
                <w:szCs w:val="20"/>
                <w:color w:val="auto"/>
              </w:rPr>
            </w:pPr>
            <w:r>
              <w:rPr>
                <w:rFonts w:ascii="Arial" w:cs="Arial" w:eastAsia="Arial" w:hAnsi="Arial"/>
                <w:sz w:val="10"/>
                <w:szCs w:val="10"/>
                <w:color w:val="003551"/>
              </w:rPr>
              <w:t>$66,000</w:t>
            </w:r>
          </w:p>
        </w:tc>
        <w:tc>
          <w:tcPr>
            <w:tcW w:w="120" w:type="dxa"/>
            <w:vAlign w:val="bottom"/>
          </w:tcPr>
          <w:p>
            <w:pPr>
              <w:spacing w:after="0"/>
              <w:rPr>
                <w:sz w:val="12"/>
                <w:szCs w:val="12"/>
                <w:color w:val="auto"/>
              </w:rPr>
            </w:pPr>
          </w:p>
        </w:tc>
        <w:tc>
          <w:tcPr>
            <w:tcW w:w="580" w:type="dxa"/>
            <w:vAlign w:val="bottom"/>
          </w:tcPr>
          <w:p>
            <w:pPr>
              <w:spacing w:after="0"/>
              <w:rPr>
                <w:sz w:val="20"/>
                <w:szCs w:val="20"/>
                <w:color w:val="auto"/>
              </w:rPr>
            </w:pPr>
            <w:r>
              <w:rPr>
                <w:rFonts w:ascii="Arial" w:cs="Arial" w:eastAsia="Arial" w:hAnsi="Arial"/>
                <w:sz w:val="10"/>
                <w:szCs w:val="10"/>
                <w:color w:val="003551"/>
              </w:rPr>
              <w:t>$0</w:t>
            </w:r>
          </w:p>
        </w:tc>
      </w:tr>
      <w:tr>
        <w:trPr>
          <w:trHeight w:val="63"/>
        </w:trPr>
        <w:tc>
          <w:tcPr>
            <w:tcW w:w="1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Borders>
              <w:bottom w:val="single" w:sz="8" w:color="77C483"/>
            </w:tcBorders>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Borders>
              <w:bottom w:val="single" w:sz="8" w:color="77C483"/>
            </w:tcBorders>
          </w:tcPr>
          <w:p>
            <w:pPr>
              <w:spacing w:after="0"/>
              <w:rPr>
                <w:sz w:val="5"/>
                <w:szCs w:val="5"/>
                <w:color w:val="auto"/>
              </w:rPr>
            </w:pPr>
          </w:p>
        </w:tc>
        <w:tc>
          <w:tcPr>
            <w:tcW w:w="580" w:type="dxa"/>
            <w:vAlign w:val="bottom"/>
          </w:tcPr>
          <w:p>
            <w:pPr>
              <w:spacing w:after="0"/>
              <w:rPr>
                <w:sz w:val="5"/>
                <w:szCs w:val="5"/>
                <w:color w:val="auto"/>
              </w:rPr>
            </w:pPr>
          </w:p>
        </w:tc>
      </w:tr>
      <w:tr>
        <w:trPr>
          <w:trHeight w:val="180"/>
        </w:trPr>
        <w:tc>
          <w:tcPr>
            <w:tcW w:w="100" w:type="dxa"/>
            <w:vAlign w:val="bottom"/>
          </w:tcPr>
          <w:p>
            <w:pPr>
              <w:spacing w:after="0"/>
              <w:rPr>
                <w:sz w:val="15"/>
                <w:szCs w:val="15"/>
                <w:color w:val="auto"/>
              </w:rPr>
            </w:pPr>
          </w:p>
        </w:tc>
        <w:tc>
          <w:tcPr>
            <w:tcW w:w="1640" w:type="dxa"/>
            <w:vAlign w:val="bottom"/>
            <w:gridSpan w:val="2"/>
          </w:tcPr>
          <w:p>
            <w:pPr>
              <w:ind w:left="60"/>
              <w:spacing w:after="0"/>
              <w:rPr>
                <w:sz w:val="20"/>
                <w:szCs w:val="20"/>
                <w:color w:val="auto"/>
              </w:rPr>
            </w:pPr>
            <w:r>
              <w:rPr>
                <w:rFonts w:ascii="Arial" w:cs="Arial" w:eastAsia="Arial" w:hAnsi="Arial"/>
                <w:sz w:val="10"/>
                <w:szCs w:val="10"/>
                <w:b w:val="1"/>
                <w:bCs w:val="1"/>
                <w:color w:val="003551"/>
              </w:rPr>
              <w:t>Plus Fair Value as of Vesting</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18"/>
        </w:trPr>
        <w:tc>
          <w:tcPr>
            <w:tcW w:w="100" w:type="dxa"/>
            <w:vAlign w:val="bottom"/>
          </w:tcPr>
          <w:p>
            <w:pPr>
              <w:spacing w:after="0"/>
              <w:rPr>
                <w:sz w:val="10"/>
                <w:szCs w:val="10"/>
                <w:color w:val="auto"/>
              </w:rPr>
            </w:pPr>
          </w:p>
        </w:tc>
        <w:tc>
          <w:tcPr>
            <w:tcW w:w="1640" w:type="dxa"/>
            <w:vAlign w:val="bottom"/>
            <w:gridSpan w:val="2"/>
          </w:tcPr>
          <w:p>
            <w:pPr>
              <w:ind w:left="60"/>
              <w:spacing w:after="0"/>
              <w:rPr>
                <w:sz w:val="20"/>
                <w:szCs w:val="20"/>
                <w:color w:val="auto"/>
              </w:rPr>
            </w:pPr>
            <w:r>
              <w:rPr>
                <w:rFonts w:ascii="Arial" w:cs="Arial" w:eastAsia="Arial" w:hAnsi="Arial"/>
                <w:sz w:val="10"/>
                <w:szCs w:val="10"/>
                <w:b w:val="1"/>
                <w:bCs w:val="1"/>
                <w:color w:val="003551"/>
              </w:rPr>
              <w:t>Date of Equity Awards</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18"/>
        </w:trPr>
        <w:tc>
          <w:tcPr>
            <w:tcW w:w="100" w:type="dxa"/>
            <w:vAlign w:val="bottom"/>
          </w:tcPr>
          <w:p>
            <w:pPr>
              <w:spacing w:after="0"/>
              <w:rPr>
                <w:sz w:val="10"/>
                <w:szCs w:val="10"/>
                <w:color w:val="auto"/>
              </w:rPr>
            </w:pPr>
          </w:p>
        </w:tc>
        <w:tc>
          <w:tcPr>
            <w:tcW w:w="1640" w:type="dxa"/>
            <w:vAlign w:val="bottom"/>
            <w:gridSpan w:val="2"/>
          </w:tcPr>
          <w:p>
            <w:pPr>
              <w:ind w:left="60"/>
              <w:spacing w:after="0"/>
              <w:rPr>
                <w:sz w:val="20"/>
                <w:szCs w:val="20"/>
                <w:color w:val="auto"/>
              </w:rPr>
            </w:pPr>
            <w:r>
              <w:rPr>
                <w:rFonts w:ascii="Arial" w:cs="Arial" w:eastAsia="Arial" w:hAnsi="Arial"/>
                <w:sz w:val="10"/>
                <w:szCs w:val="10"/>
                <w:b w:val="1"/>
                <w:bCs w:val="1"/>
                <w:color w:val="003551"/>
              </w:rPr>
              <w:t>Granted and Vested in the</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43"/>
        </w:trPr>
        <w:tc>
          <w:tcPr>
            <w:tcW w:w="100" w:type="dxa"/>
            <w:vAlign w:val="bottom"/>
          </w:tcPr>
          <w:p>
            <w:pPr>
              <w:spacing w:after="0"/>
              <w:rPr>
                <w:sz w:val="12"/>
                <w:szCs w:val="12"/>
                <w:color w:val="auto"/>
              </w:rPr>
            </w:pPr>
          </w:p>
        </w:tc>
        <w:tc>
          <w:tcPr>
            <w:tcW w:w="1640" w:type="dxa"/>
            <w:vAlign w:val="bottom"/>
            <w:gridSpan w:val="2"/>
          </w:tcPr>
          <w:p>
            <w:pPr>
              <w:ind w:left="60"/>
              <w:spacing w:after="0"/>
              <w:rPr>
                <w:sz w:val="20"/>
                <w:szCs w:val="20"/>
                <w:color w:val="auto"/>
              </w:rPr>
            </w:pPr>
            <w:r>
              <w:rPr>
                <w:rFonts w:ascii="Arial" w:cs="Arial" w:eastAsia="Arial" w:hAnsi="Arial"/>
                <w:sz w:val="10"/>
                <w:szCs w:val="10"/>
                <w:b w:val="1"/>
                <w:bCs w:val="1"/>
                <w:color w:val="003551"/>
              </w:rPr>
              <w:t>Fiscal Year</w:t>
            </w:r>
          </w:p>
        </w:tc>
        <w:tc>
          <w:tcPr>
            <w:tcW w:w="660" w:type="dxa"/>
            <w:vAlign w:val="bottom"/>
          </w:tcPr>
          <w:p>
            <w:pPr>
              <w:ind w:left="20"/>
              <w:spacing w:after="0"/>
              <w:rPr>
                <w:sz w:val="20"/>
                <w:szCs w:val="20"/>
                <w:color w:val="auto"/>
              </w:rPr>
            </w:pPr>
            <w:r>
              <w:rPr>
                <w:rFonts w:ascii="Arial" w:cs="Arial" w:eastAsia="Arial" w:hAnsi="Arial"/>
                <w:sz w:val="10"/>
                <w:szCs w:val="10"/>
                <w:color w:val="003551"/>
              </w:rPr>
              <w:t>$0</w:t>
            </w:r>
          </w:p>
        </w:tc>
        <w:tc>
          <w:tcPr>
            <w:tcW w:w="740" w:type="dxa"/>
            <w:vAlign w:val="bottom"/>
            <w:gridSpan w:val="2"/>
          </w:tcPr>
          <w:p>
            <w:pPr>
              <w:ind w:left="100"/>
              <w:spacing w:after="0"/>
              <w:rPr>
                <w:sz w:val="20"/>
                <w:szCs w:val="20"/>
                <w:color w:val="auto"/>
              </w:rPr>
            </w:pPr>
            <w:r>
              <w:rPr>
                <w:rFonts w:ascii="Arial" w:cs="Arial" w:eastAsia="Arial" w:hAnsi="Arial"/>
                <w:sz w:val="10"/>
                <w:szCs w:val="10"/>
                <w:color w:val="003551"/>
              </w:rPr>
              <w:t>$0</w:t>
            </w:r>
          </w:p>
        </w:tc>
        <w:tc>
          <w:tcPr>
            <w:tcW w:w="100" w:type="dxa"/>
            <w:vAlign w:val="bottom"/>
          </w:tcPr>
          <w:p>
            <w:pPr>
              <w:spacing w:after="0"/>
              <w:rPr>
                <w:sz w:val="12"/>
                <w:szCs w:val="12"/>
                <w:color w:val="auto"/>
              </w:rPr>
            </w:pPr>
          </w:p>
        </w:tc>
        <w:tc>
          <w:tcPr>
            <w:tcW w:w="560" w:type="dxa"/>
            <w:vAlign w:val="bottom"/>
          </w:tcPr>
          <w:p>
            <w:pPr>
              <w:spacing w:after="0"/>
              <w:rPr>
                <w:sz w:val="20"/>
                <w:szCs w:val="20"/>
                <w:color w:val="auto"/>
              </w:rPr>
            </w:pPr>
            <w:r>
              <w:rPr>
                <w:rFonts w:ascii="Arial" w:cs="Arial" w:eastAsia="Arial" w:hAnsi="Arial"/>
                <w:sz w:val="10"/>
                <w:szCs w:val="10"/>
                <w:color w:val="003551"/>
              </w:rPr>
              <w:t>$0</w:t>
            </w:r>
          </w:p>
        </w:tc>
        <w:tc>
          <w:tcPr>
            <w:tcW w:w="680" w:type="dxa"/>
            <w:vAlign w:val="bottom"/>
            <w:gridSpan w:val="2"/>
          </w:tcPr>
          <w:p>
            <w:pPr>
              <w:ind w:left="100"/>
              <w:spacing w:after="0"/>
              <w:rPr>
                <w:sz w:val="20"/>
                <w:szCs w:val="20"/>
                <w:color w:val="auto"/>
              </w:rPr>
            </w:pPr>
            <w:r>
              <w:rPr>
                <w:rFonts w:ascii="Arial" w:cs="Arial" w:eastAsia="Arial" w:hAnsi="Arial"/>
                <w:sz w:val="10"/>
                <w:szCs w:val="10"/>
                <w:color w:val="003551"/>
              </w:rPr>
              <w:t>$0</w:t>
            </w:r>
          </w:p>
        </w:tc>
        <w:tc>
          <w:tcPr>
            <w:tcW w:w="700" w:type="dxa"/>
            <w:vAlign w:val="bottom"/>
            <w:gridSpan w:val="2"/>
          </w:tcPr>
          <w:p>
            <w:pPr>
              <w:ind w:left="120"/>
              <w:spacing w:after="0"/>
              <w:rPr>
                <w:sz w:val="20"/>
                <w:szCs w:val="20"/>
                <w:color w:val="auto"/>
              </w:rPr>
            </w:pPr>
            <w:r>
              <w:rPr>
                <w:rFonts w:ascii="Arial" w:cs="Arial" w:eastAsia="Arial" w:hAnsi="Arial"/>
                <w:sz w:val="10"/>
                <w:szCs w:val="10"/>
                <w:color w:val="003551"/>
              </w:rPr>
              <w:t>$0</w:t>
            </w:r>
          </w:p>
        </w:tc>
        <w:tc>
          <w:tcPr>
            <w:tcW w:w="100" w:type="dxa"/>
            <w:vAlign w:val="bottom"/>
          </w:tcPr>
          <w:p>
            <w:pPr>
              <w:spacing w:after="0"/>
              <w:rPr>
                <w:sz w:val="12"/>
                <w:szCs w:val="12"/>
                <w:color w:val="auto"/>
              </w:rPr>
            </w:pPr>
          </w:p>
        </w:tc>
        <w:tc>
          <w:tcPr>
            <w:tcW w:w="540" w:type="dxa"/>
            <w:vAlign w:val="bottom"/>
          </w:tcPr>
          <w:p>
            <w:pPr>
              <w:ind w:left="20"/>
              <w:spacing w:after="0"/>
              <w:rPr>
                <w:sz w:val="20"/>
                <w:szCs w:val="20"/>
                <w:color w:val="auto"/>
              </w:rPr>
            </w:pPr>
            <w:r>
              <w:rPr>
                <w:rFonts w:ascii="Arial" w:cs="Arial" w:eastAsia="Arial" w:hAnsi="Arial"/>
                <w:sz w:val="10"/>
                <w:szCs w:val="10"/>
                <w:color w:val="003551"/>
              </w:rPr>
              <w:t>$0</w:t>
            </w:r>
          </w:p>
        </w:tc>
        <w:tc>
          <w:tcPr>
            <w:tcW w:w="660" w:type="dxa"/>
            <w:vAlign w:val="bottom"/>
            <w:gridSpan w:val="2"/>
          </w:tcPr>
          <w:p>
            <w:pPr>
              <w:ind w:left="120"/>
              <w:spacing w:after="0"/>
              <w:rPr>
                <w:sz w:val="20"/>
                <w:szCs w:val="20"/>
                <w:color w:val="auto"/>
              </w:rPr>
            </w:pPr>
            <w:r>
              <w:rPr>
                <w:rFonts w:ascii="Arial" w:cs="Arial" w:eastAsia="Arial" w:hAnsi="Arial"/>
                <w:sz w:val="10"/>
                <w:szCs w:val="10"/>
                <w:color w:val="003551"/>
              </w:rPr>
              <w:t>$0</w:t>
            </w:r>
          </w:p>
        </w:tc>
        <w:tc>
          <w:tcPr>
            <w:tcW w:w="700" w:type="dxa"/>
            <w:vAlign w:val="bottom"/>
            <w:gridSpan w:val="3"/>
          </w:tcPr>
          <w:p>
            <w:pPr>
              <w:ind w:left="140"/>
              <w:spacing w:after="0"/>
              <w:rPr>
                <w:sz w:val="20"/>
                <w:szCs w:val="20"/>
                <w:color w:val="auto"/>
              </w:rPr>
            </w:pPr>
            <w:r>
              <w:rPr>
                <w:rFonts w:ascii="Arial" w:cs="Arial" w:eastAsia="Arial" w:hAnsi="Arial"/>
                <w:sz w:val="10"/>
                <w:szCs w:val="10"/>
                <w:color w:val="003551"/>
              </w:rPr>
              <w:t>$0</w:t>
            </w:r>
          </w:p>
        </w:tc>
        <w:tc>
          <w:tcPr>
            <w:tcW w:w="120" w:type="dxa"/>
            <w:vAlign w:val="bottom"/>
          </w:tcPr>
          <w:p>
            <w:pPr>
              <w:spacing w:after="0"/>
              <w:rPr>
                <w:sz w:val="12"/>
                <w:szCs w:val="12"/>
                <w:color w:val="auto"/>
              </w:rPr>
            </w:pPr>
          </w:p>
        </w:tc>
        <w:tc>
          <w:tcPr>
            <w:tcW w:w="580" w:type="dxa"/>
            <w:vAlign w:val="bottom"/>
          </w:tcPr>
          <w:p>
            <w:pPr>
              <w:spacing w:after="0"/>
              <w:rPr>
                <w:sz w:val="20"/>
                <w:szCs w:val="20"/>
                <w:color w:val="auto"/>
              </w:rPr>
            </w:pPr>
            <w:r>
              <w:rPr>
                <w:rFonts w:ascii="Arial" w:cs="Arial" w:eastAsia="Arial" w:hAnsi="Arial"/>
                <w:sz w:val="10"/>
                <w:szCs w:val="10"/>
                <w:color w:val="003551"/>
              </w:rPr>
              <w:t>$0</w:t>
            </w:r>
          </w:p>
        </w:tc>
      </w:tr>
      <w:tr>
        <w:trPr>
          <w:trHeight w:val="63"/>
        </w:trPr>
        <w:tc>
          <w:tcPr>
            <w:tcW w:w="1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Borders>
              <w:bottom w:val="single" w:sz="8" w:color="77C483"/>
            </w:tcBorders>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Borders>
              <w:bottom w:val="single" w:sz="8" w:color="77C483"/>
            </w:tcBorders>
          </w:tcPr>
          <w:p>
            <w:pPr>
              <w:spacing w:after="0"/>
              <w:rPr>
                <w:sz w:val="5"/>
                <w:szCs w:val="5"/>
                <w:color w:val="auto"/>
              </w:rPr>
            </w:pPr>
          </w:p>
        </w:tc>
        <w:tc>
          <w:tcPr>
            <w:tcW w:w="580" w:type="dxa"/>
            <w:vAlign w:val="bottom"/>
          </w:tcPr>
          <w:p>
            <w:pPr>
              <w:spacing w:after="0"/>
              <w:rPr>
                <w:sz w:val="5"/>
                <w:szCs w:val="5"/>
                <w:color w:val="auto"/>
              </w:rPr>
            </w:pPr>
          </w:p>
        </w:tc>
      </w:tr>
      <w:tr>
        <w:trPr>
          <w:trHeight w:val="180"/>
        </w:trPr>
        <w:tc>
          <w:tcPr>
            <w:tcW w:w="100" w:type="dxa"/>
            <w:vAlign w:val="bottom"/>
          </w:tcPr>
          <w:p>
            <w:pPr>
              <w:spacing w:after="0"/>
              <w:rPr>
                <w:sz w:val="15"/>
                <w:szCs w:val="15"/>
                <w:color w:val="auto"/>
              </w:rPr>
            </w:pPr>
          </w:p>
        </w:tc>
        <w:tc>
          <w:tcPr>
            <w:tcW w:w="1640" w:type="dxa"/>
            <w:vAlign w:val="bottom"/>
            <w:gridSpan w:val="2"/>
          </w:tcPr>
          <w:p>
            <w:pPr>
              <w:ind w:left="60"/>
              <w:spacing w:after="0"/>
              <w:rPr>
                <w:sz w:val="20"/>
                <w:szCs w:val="20"/>
                <w:color w:val="auto"/>
              </w:rPr>
            </w:pPr>
            <w:r>
              <w:rPr>
                <w:rFonts w:ascii="Arial" w:cs="Arial" w:eastAsia="Arial" w:hAnsi="Arial"/>
                <w:sz w:val="10"/>
                <w:szCs w:val="10"/>
                <w:b w:val="1"/>
                <w:bCs w:val="1"/>
                <w:color w:val="003551"/>
              </w:rPr>
              <w:t>Plus Year over Year Change</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18"/>
        </w:trPr>
        <w:tc>
          <w:tcPr>
            <w:tcW w:w="100" w:type="dxa"/>
            <w:vAlign w:val="bottom"/>
          </w:tcPr>
          <w:p>
            <w:pPr>
              <w:spacing w:after="0"/>
              <w:rPr>
                <w:sz w:val="10"/>
                <w:szCs w:val="10"/>
                <w:color w:val="auto"/>
              </w:rPr>
            </w:pPr>
          </w:p>
        </w:tc>
        <w:tc>
          <w:tcPr>
            <w:tcW w:w="1640" w:type="dxa"/>
            <w:vAlign w:val="bottom"/>
            <w:gridSpan w:val="2"/>
          </w:tcPr>
          <w:p>
            <w:pPr>
              <w:ind w:left="60"/>
              <w:spacing w:after="0"/>
              <w:rPr>
                <w:sz w:val="20"/>
                <w:szCs w:val="20"/>
                <w:color w:val="auto"/>
              </w:rPr>
            </w:pPr>
            <w:r>
              <w:rPr>
                <w:rFonts w:ascii="Arial" w:cs="Arial" w:eastAsia="Arial" w:hAnsi="Arial"/>
                <w:sz w:val="10"/>
                <w:szCs w:val="10"/>
                <w:b w:val="1"/>
                <w:bCs w:val="1"/>
                <w:color w:val="003551"/>
              </w:rPr>
              <w:t>in Fair Value as of the Vesting</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18"/>
        </w:trPr>
        <w:tc>
          <w:tcPr>
            <w:tcW w:w="100" w:type="dxa"/>
            <w:vAlign w:val="bottom"/>
          </w:tcPr>
          <w:p>
            <w:pPr>
              <w:spacing w:after="0"/>
              <w:rPr>
                <w:sz w:val="10"/>
                <w:szCs w:val="10"/>
                <w:color w:val="auto"/>
              </w:rPr>
            </w:pPr>
          </w:p>
        </w:tc>
        <w:tc>
          <w:tcPr>
            <w:tcW w:w="1640" w:type="dxa"/>
            <w:vAlign w:val="bottom"/>
            <w:gridSpan w:val="2"/>
          </w:tcPr>
          <w:p>
            <w:pPr>
              <w:ind w:left="60"/>
              <w:spacing w:after="0"/>
              <w:rPr>
                <w:sz w:val="20"/>
                <w:szCs w:val="20"/>
                <w:color w:val="auto"/>
              </w:rPr>
            </w:pPr>
            <w:r>
              <w:rPr>
                <w:rFonts w:ascii="Arial" w:cs="Arial" w:eastAsia="Arial" w:hAnsi="Arial"/>
                <w:sz w:val="10"/>
                <w:szCs w:val="10"/>
                <w:b w:val="1"/>
                <w:bCs w:val="1"/>
                <w:color w:val="003551"/>
              </w:rPr>
              <w:t>Date of Equity Awards</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18"/>
        </w:trPr>
        <w:tc>
          <w:tcPr>
            <w:tcW w:w="100" w:type="dxa"/>
            <w:vAlign w:val="bottom"/>
          </w:tcPr>
          <w:p>
            <w:pPr>
              <w:spacing w:after="0"/>
              <w:rPr>
                <w:sz w:val="10"/>
                <w:szCs w:val="10"/>
                <w:color w:val="auto"/>
              </w:rPr>
            </w:pPr>
          </w:p>
        </w:tc>
        <w:tc>
          <w:tcPr>
            <w:tcW w:w="1640" w:type="dxa"/>
            <w:vAlign w:val="bottom"/>
            <w:gridSpan w:val="2"/>
          </w:tcPr>
          <w:p>
            <w:pPr>
              <w:ind w:left="60"/>
              <w:spacing w:after="0"/>
              <w:rPr>
                <w:sz w:val="20"/>
                <w:szCs w:val="20"/>
                <w:color w:val="auto"/>
              </w:rPr>
            </w:pPr>
            <w:r>
              <w:rPr>
                <w:rFonts w:ascii="Arial" w:cs="Arial" w:eastAsia="Arial" w:hAnsi="Arial"/>
                <w:sz w:val="10"/>
                <w:szCs w:val="10"/>
                <w:b w:val="1"/>
                <w:bCs w:val="1"/>
                <w:color w:val="003551"/>
              </w:rPr>
              <w:t>Granted in Prior Years that</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43"/>
        </w:trPr>
        <w:tc>
          <w:tcPr>
            <w:tcW w:w="100" w:type="dxa"/>
            <w:vAlign w:val="bottom"/>
          </w:tcPr>
          <w:p>
            <w:pPr>
              <w:spacing w:after="0"/>
              <w:rPr>
                <w:sz w:val="12"/>
                <w:szCs w:val="12"/>
                <w:color w:val="auto"/>
              </w:rPr>
            </w:pPr>
          </w:p>
        </w:tc>
        <w:tc>
          <w:tcPr>
            <w:tcW w:w="1640" w:type="dxa"/>
            <w:vAlign w:val="bottom"/>
            <w:gridSpan w:val="2"/>
          </w:tcPr>
          <w:p>
            <w:pPr>
              <w:ind w:left="60"/>
              <w:spacing w:after="0"/>
              <w:rPr>
                <w:sz w:val="20"/>
                <w:szCs w:val="20"/>
                <w:color w:val="auto"/>
              </w:rPr>
            </w:pPr>
            <w:r>
              <w:rPr>
                <w:rFonts w:ascii="Arial" w:cs="Arial" w:eastAsia="Arial" w:hAnsi="Arial"/>
                <w:sz w:val="10"/>
                <w:szCs w:val="10"/>
                <w:b w:val="1"/>
                <w:bCs w:val="1"/>
                <w:color w:val="003551"/>
              </w:rPr>
              <w:t>Vested During the Fiscal Year</w:t>
            </w:r>
          </w:p>
        </w:tc>
        <w:tc>
          <w:tcPr>
            <w:tcW w:w="660" w:type="dxa"/>
            <w:vAlign w:val="bottom"/>
          </w:tcPr>
          <w:p>
            <w:pPr>
              <w:ind w:left="20"/>
              <w:spacing w:after="0"/>
              <w:rPr>
                <w:sz w:val="20"/>
                <w:szCs w:val="20"/>
                <w:color w:val="auto"/>
              </w:rPr>
            </w:pPr>
            <w:r>
              <w:rPr>
                <w:rFonts w:ascii="Arial" w:cs="Arial" w:eastAsia="Arial" w:hAnsi="Arial"/>
                <w:sz w:val="10"/>
                <w:szCs w:val="10"/>
                <w:color w:val="003551"/>
              </w:rPr>
              <w:t>$677,326</w:t>
            </w:r>
          </w:p>
        </w:tc>
        <w:tc>
          <w:tcPr>
            <w:tcW w:w="740" w:type="dxa"/>
            <w:vAlign w:val="bottom"/>
            <w:gridSpan w:val="2"/>
          </w:tcPr>
          <w:p>
            <w:pPr>
              <w:ind w:left="100"/>
              <w:spacing w:after="0"/>
              <w:rPr>
                <w:sz w:val="20"/>
                <w:szCs w:val="20"/>
                <w:color w:val="auto"/>
              </w:rPr>
            </w:pPr>
            <w:r>
              <w:rPr>
                <w:rFonts w:ascii="Arial" w:cs="Arial" w:eastAsia="Arial" w:hAnsi="Arial"/>
                <w:sz w:val="10"/>
                <w:szCs w:val="10"/>
                <w:color w:val="003551"/>
              </w:rPr>
              <w:t>$677,326</w:t>
            </w:r>
          </w:p>
        </w:tc>
        <w:tc>
          <w:tcPr>
            <w:tcW w:w="100" w:type="dxa"/>
            <w:vAlign w:val="bottom"/>
          </w:tcPr>
          <w:p>
            <w:pPr>
              <w:spacing w:after="0"/>
              <w:rPr>
                <w:sz w:val="12"/>
                <w:szCs w:val="12"/>
                <w:color w:val="auto"/>
              </w:rPr>
            </w:pPr>
          </w:p>
        </w:tc>
        <w:tc>
          <w:tcPr>
            <w:tcW w:w="560" w:type="dxa"/>
            <w:vAlign w:val="bottom"/>
          </w:tcPr>
          <w:p>
            <w:pPr>
              <w:spacing w:after="0"/>
              <w:rPr>
                <w:sz w:val="20"/>
                <w:szCs w:val="20"/>
                <w:color w:val="auto"/>
              </w:rPr>
            </w:pPr>
            <w:r>
              <w:rPr>
                <w:rFonts w:ascii="Arial" w:cs="Arial" w:eastAsia="Arial" w:hAnsi="Arial"/>
                <w:sz w:val="10"/>
                <w:szCs w:val="10"/>
                <w:color w:val="003551"/>
              </w:rPr>
              <w:t>(​$75,083)</w:t>
            </w:r>
          </w:p>
        </w:tc>
        <w:tc>
          <w:tcPr>
            <w:tcW w:w="680" w:type="dxa"/>
            <w:vAlign w:val="bottom"/>
            <w:gridSpan w:val="2"/>
          </w:tcPr>
          <w:p>
            <w:pPr>
              <w:ind w:left="100"/>
              <w:spacing w:after="0"/>
              <w:rPr>
                <w:sz w:val="20"/>
                <w:szCs w:val="20"/>
                <w:color w:val="auto"/>
              </w:rPr>
            </w:pPr>
            <w:r>
              <w:rPr>
                <w:rFonts w:ascii="Arial" w:cs="Arial" w:eastAsia="Arial" w:hAnsi="Arial"/>
                <w:sz w:val="10"/>
                <w:szCs w:val="10"/>
                <w:color w:val="003551"/>
              </w:rPr>
              <w:t>$0</w:t>
            </w:r>
          </w:p>
        </w:tc>
        <w:tc>
          <w:tcPr>
            <w:tcW w:w="700" w:type="dxa"/>
            <w:vAlign w:val="bottom"/>
            <w:gridSpan w:val="2"/>
          </w:tcPr>
          <w:p>
            <w:pPr>
              <w:ind w:left="120"/>
              <w:spacing w:after="0"/>
              <w:rPr>
                <w:sz w:val="20"/>
                <w:szCs w:val="20"/>
                <w:color w:val="auto"/>
              </w:rPr>
            </w:pPr>
            <w:r>
              <w:rPr>
                <w:rFonts w:ascii="Arial" w:cs="Arial" w:eastAsia="Arial" w:hAnsi="Arial"/>
                <w:sz w:val="10"/>
                <w:szCs w:val="10"/>
                <w:color w:val="003551"/>
              </w:rPr>
              <w:t>$0</w:t>
            </w:r>
          </w:p>
        </w:tc>
        <w:tc>
          <w:tcPr>
            <w:tcW w:w="100" w:type="dxa"/>
            <w:vAlign w:val="bottom"/>
          </w:tcPr>
          <w:p>
            <w:pPr>
              <w:spacing w:after="0"/>
              <w:rPr>
                <w:sz w:val="12"/>
                <w:szCs w:val="12"/>
                <w:color w:val="auto"/>
              </w:rPr>
            </w:pPr>
          </w:p>
        </w:tc>
        <w:tc>
          <w:tcPr>
            <w:tcW w:w="540" w:type="dxa"/>
            <w:vAlign w:val="bottom"/>
          </w:tcPr>
          <w:p>
            <w:pPr>
              <w:ind w:left="20"/>
              <w:spacing w:after="0"/>
              <w:rPr>
                <w:sz w:val="20"/>
                <w:szCs w:val="20"/>
                <w:color w:val="auto"/>
              </w:rPr>
            </w:pPr>
            <w:r>
              <w:rPr>
                <w:rFonts w:ascii="Arial" w:cs="Arial" w:eastAsia="Arial" w:hAnsi="Arial"/>
                <w:sz w:val="10"/>
                <w:szCs w:val="10"/>
                <w:color w:val="003551"/>
              </w:rPr>
              <w:t>$0</w:t>
            </w:r>
          </w:p>
        </w:tc>
        <w:tc>
          <w:tcPr>
            <w:tcW w:w="660" w:type="dxa"/>
            <w:vAlign w:val="bottom"/>
            <w:gridSpan w:val="2"/>
          </w:tcPr>
          <w:p>
            <w:pPr>
              <w:ind w:left="120"/>
              <w:spacing w:after="0"/>
              <w:rPr>
                <w:sz w:val="20"/>
                <w:szCs w:val="20"/>
                <w:color w:val="auto"/>
              </w:rPr>
            </w:pPr>
            <w:r>
              <w:rPr>
                <w:rFonts w:ascii="Arial" w:cs="Arial" w:eastAsia="Arial" w:hAnsi="Arial"/>
                <w:sz w:val="10"/>
                <w:szCs w:val="10"/>
                <w:color w:val="003551"/>
              </w:rPr>
              <w:t>$0</w:t>
            </w:r>
          </w:p>
        </w:tc>
        <w:tc>
          <w:tcPr>
            <w:tcW w:w="700" w:type="dxa"/>
            <w:vAlign w:val="bottom"/>
            <w:gridSpan w:val="3"/>
          </w:tcPr>
          <w:p>
            <w:pPr>
              <w:ind w:left="140"/>
              <w:spacing w:after="0"/>
              <w:rPr>
                <w:sz w:val="20"/>
                <w:szCs w:val="20"/>
                <w:color w:val="auto"/>
              </w:rPr>
            </w:pPr>
            <w:r>
              <w:rPr>
                <w:rFonts w:ascii="Arial" w:cs="Arial" w:eastAsia="Arial" w:hAnsi="Arial"/>
                <w:sz w:val="10"/>
                <w:szCs w:val="10"/>
                <w:color w:val="003551"/>
              </w:rPr>
              <w:t>$0</w:t>
            </w:r>
          </w:p>
        </w:tc>
        <w:tc>
          <w:tcPr>
            <w:tcW w:w="120" w:type="dxa"/>
            <w:vAlign w:val="bottom"/>
          </w:tcPr>
          <w:p>
            <w:pPr>
              <w:spacing w:after="0"/>
              <w:rPr>
                <w:sz w:val="12"/>
                <w:szCs w:val="12"/>
                <w:color w:val="auto"/>
              </w:rPr>
            </w:pPr>
          </w:p>
        </w:tc>
        <w:tc>
          <w:tcPr>
            <w:tcW w:w="580" w:type="dxa"/>
            <w:vAlign w:val="bottom"/>
          </w:tcPr>
          <w:p>
            <w:pPr>
              <w:spacing w:after="0"/>
              <w:rPr>
                <w:sz w:val="20"/>
                <w:szCs w:val="20"/>
                <w:color w:val="auto"/>
              </w:rPr>
            </w:pPr>
            <w:r>
              <w:rPr>
                <w:rFonts w:ascii="Arial" w:cs="Arial" w:eastAsia="Arial" w:hAnsi="Arial"/>
                <w:sz w:val="10"/>
                <w:szCs w:val="10"/>
                <w:color w:val="003551"/>
              </w:rPr>
              <w:t>$0</w:t>
            </w:r>
          </w:p>
        </w:tc>
      </w:tr>
      <w:tr>
        <w:trPr>
          <w:trHeight w:val="63"/>
        </w:trPr>
        <w:tc>
          <w:tcPr>
            <w:tcW w:w="1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Borders>
              <w:bottom w:val="single" w:sz="8" w:color="77C483"/>
            </w:tcBorders>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Borders>
              <w:bottom w:val="single" w:sz="8" w:color="77C483"/>
            </w:tcBorders>
          </w:tcPr>
          <w:p>
            <w:pPr>
              <w:spacing w:after="0"/>
              <w:rPr>
                <w:sz w:val="5"/>
                <w:szCs w:val="5"/>
                <w:color w:val="auto"/>
              </w:rPr>
            </w:pPr>
          </w:p>
        </w:tc>
        <w:tc>
          <w:tcPr>
            <w:tcW w:w="580" w:type="dxa"/>
            <w:vAlign w:val="bottom"/>
          </w:tcPr>
          <w:p>
            <w:pPr>
              <w:spacing w:after="0"/>
              <w:rPr>
                <w:sz w:val="5"/>
                <w:szCs w:val="5"/>
                <w:color w:val="auto"/>
              </w:rPr>
            </w:pPr>
          </w:p>
        </w:tc>
      </w:tr>
      <w:tr>
        <w:trPr>
          <w:trHeight w:val="180"/>
        </w:trPr>
        <w:tc>
          <w:tcPr>
            <w:tcW w:w="100" w:type="dxa"/>
            <w:vAlign w:val="bottom"/>
          </w:tcPr>
          <w:p>
            <w:pPr>
              <w:spacing w:after="0"/>
              <w:rPr>
                <w:sz w:val="15"/>
                <w:szCs w:val="15"/>
                <w:color w:val="auto"/>
              </w:rPr>
            </w:pPr>
          </w:p>
        </w:tc>
        <w:tc>
          <w:tcPr>
            <w:tcW w:w="1640" w:type="dxa"/>
            <w:vAlign w:val="bottom"/>
            <w:gridSpan w:val="2"/>
          </w:tcPr>
          <w:p>
            <w:pPr>
              <w:ind w:left="60"/>
              <w:spacing w:after="0"/>
              <w:rPr>
                <w:sz w:val="20"/>
                <w:szCs w:val="20"/>
                <w:color w:val="auto"/>
              </w:rPr>
            </w:pPr>
            <w:r>
              <w:rPr>
                <w:rFonts w:ascii="Arial" w:cs="Arial" w:eastAsia="Arial" w:hAnsi="Arial"/>
                <w:sz w:val="10"/>
                <w:szCs w:val="10"/>
                <w:b w:val="1"/>
                <w:bCs w:val="1"/>
                <w:color w:val="003551"/>
              </w:rPr>
              <w:t>Minus Fair Value at the End of</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18"/>
        </w:trPr>
        <w:tc>
          <w:tcPr>
            <w:tcW w:w="100" w:type="dxa"/>
            <w:vAlign w:val="bottom"/>
          </w:tcPr>
          <w:p>
            <w:pPr>
              <w:spacing w:after="0"/>
              <w:rPr>
                <w:sz w:val="10"/>
                <w:szCs w:val="10"/>
                <w:color w:val="auto"/>
              </w:rPr>
            </w:pPr>
          </w:p>
        </w:tc>
        <w:tc>
          <w:tcPr>
            <w:tcW w:w="1640" w:type="dxa"/>
            <w:vAlign w:val="bottom"/>
            <w:gridSpan w:val="2"/>
          </w:tcPr>
          <w:p>
            <w:pPr>
              <w:ind w:left="60"/>
              <w:spacing w:after="0"/>
              <w:rPr>
                <w:sz w:val="20"/>
                <w:szCs w:val="20"/>
                <w:color w:val="auto"/>
              </w:rPr>
            </w:pPr>
            <w:r>
              <w:rPr>
                <w:rFonts w:ascii="Arial" w:cs="Arial" w:eastAsia="Arial" w:hAnsi="Arial"/>
                <w:sz w:val="10"/>
                <w:szCs w:val="10"/>
                <w:b w:val="1"/>
                <w:bCs w:val="1"/>
                <w:color w:val="003551"/>
              </w:rPr>
              <w:t>the Prior Year of Equity</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18"/>
        </w:trPr>
        <w:tc>
          <w:tcPr>
            <w:tcW w:w="100" w:type="dxa"/>
            <w:vAlign w:val="bottom"/>
          </w:tcPr>
          <w:p>
            <w:pPr>
              <w:spacing w:after="0"/>
              <w:rPr>
                <w:sz w:val="10"/>
                <w:szCs w:val="10"/>
                <w:color w:val="auto"/>
              </w:rPr>
            </w:pPr>
          </w:p>
        </w:tc>
        <w:tc>
          <w:tcPr>
            <w:tcW w:w="1640" w:type="dxa"/>
            <w:vAlign w:val="bottom"/>
            <w:gridSpan w:val="2"/>
          </w:tcPr>
          <w:p>
            <w:pPr>
              <w:ind w:left="60"/>
              <w:spacing w:after="0"/>
              <w:rPr>
                <w:sz w:val="20"/>
                <w:szCs w:val="20"/>
                <w:color w:val="auto"/>
              </w:rPr>
            </w:pPr>
            <w:r>
              <w:rPr>
                <w:rFonts w:ascii="Arial" w:cs="Arial" w:eastAsia="Arial" w:hAnsi="Arial"/>
                <w:sz w:val="10"/>
                <w:szCs w:val="10"/>
                <w:b w:val="1"/>
                <w:bCs w:val="1"/>
                <w:color w:val="003551"/>
              </w:rPr>
              <w:t>Awards that Failed to Meet</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18"/>
        </w:trPr>
        <w:tc>
          <w:tcPr>
            <w:tcW w:w="100" w:type="dxa"/>
            <w:vAlign w:val="bottom"/>
          </w:tcPr>
          <w:p>
            <w:pPr>
              <w:spacing w:after="0"/>
              <w:rPr>
                <w:sz w:val="10"/>
                <w:szCs w:val="10"/>
                <w:color w:val="auto"/>
              </w:rPr>
            </w:pPr>
          </w:p>
        </w:tc>
        <w:tc>
          <w:tcPr>
            <w:tcW w:w="1640" w:type="dxa"/>
            <w:vAlign w:val="bottom"/>
            <w:gridSpan w:val="2"/>
          </w:tcPr>
          <w:p>
            <w:pPr>
              <w:ind w:left="60"/>
              <w:spacing w:after="0"/>
              <w:rPr>
                <w:sz w:val="20"/>
                <w:szCs w:val="20"/>
                <w:color w:val="auto"/>
              </w:rPr>
            </w:pPr>
            <w:r>
              <w:rPr>
                <w:rFonts w:ascii="Arial" w:cs="Arial" w:eastAsia="Arial" w:hAnsi="Arial"/>
                <w:sz w:val="10"/>
                <w:szCs w:val="10"/>
                <w:b w:val="1"/>
                <w:bCs w:val="1"/>
                <w:color w:val="003551"/>
              </w:rPr>
              <w:t>Vesting Conditions in the</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43"/>
        </w:trPr>
        <w:tc>
          <w:tcPr>
            <w:tcW w:w="100" w:type="dxa"/>
            <w:vAlign w:val="bottom"/>
          </w:tcPr>
          <w:p>
            <w:pPr>
              <w:spacing w:after="0"/>
              <w:rPr>
                <w:sz w:val="12"/>
                <w:szCs w:val="12"/>
                <w:color w:val="auto"/>
              </w:rPr>
            </w:pPr>
          </w:p>
        </w:tc>
        <w:tc>
          <w:tcPr>
            <w:tcW w:w="1640" w:type="dxa"/>
            <w:vAlign w:val="bottom"/>
            <w:gridSpan w:val="2"/>
          </w:tcPr>
          <w:p>
            <w:pPr>
              <w:ind w:left="60"/>
              <w:spacing w:after="0"/>
              <w:rPr>
                <w:sz w:val="20"/>
                <w:szCs w:val="20"/>
                <w:color w:val="auto"/>
              </w:rPr>
            </w:pPr>
            <w:r>
              <w:rPr>
                <w:rFonts w:ascii="Arial" w:cs="Arial" w:eastAsia="Arial" w:hAnsi="Arial"/>
                <w:sz w:val="10"/>
                <w:szCs w:val="10"/>
                <w:b w:val="1"/>
                <w:bCs w:val="1"/>
                <w:color w:val="003551"/>
              </w:rPr>
              <w:t>Fiscal Year</w:t>
            </w:r>
          </w:p>
        </w:tc>
        <w:tc>
          <w:tcPr>
            <w:tcW w:w="660" w:type="dxa"/>
            <w:vAlign w:val="bottom"/>
          </w:tcPr>
          <w:p>
            <w:pPr>
              <w:ind w:left="20"/>
              <w:spacing w:after="0"/>
              <w:rPr>
                <w:sz w:val="20"/>
                <w:szCs w:val="20"/>
                <w:color w:val="auto"/>
              </w:rPr>
            </w:pPr>
            <w:r>
              <w:rPr>
                <w:rFonts w:ascii="Arial" w:cs="Arial" w:eastAsia="Arial" w:hAnsi="Arial"/>
                <w:sz w:val="10"/>
                <w:szCs w:val="10"/>
                <w:color w:val="003551"/>
              </w:rPr>
              <w:t>($2,894,316)</w:t>
            </w:r>
          </w:p>
        </w:tc>
        <w:tc>
          <w:tcPr>
            <w:tcW w:w="740" w:type="dxa"/>
            <w:vAlign w:val="bottom"/>
            <w:gridSpan w:val="2"/>
          </w:tcPr>
          <w:p>
            <w:pPr>
              <w:ind w:left="100"/>
              <w:spacing w:after="0"/>
              <w:rPr>
                <w:sz w:val="20"/>
                <w:szCs w:val="20"/>
                <w:color w:val="auto"/>
              </w:rPr>
            </w:pPr>
            <w:r>
              <w:rPr>
                <w:rFonts w:ascii="Arial" w:cs="Arial" w:eastAsia="Arial" w:hAnsi="Arial"/>
                <w:sz w:val="10"/>
                <w:szCs w:val="10"/>
                <w:color w:val="003551"/>
              </w:rPr>
              <w:t>($2,894,316)</w:t>
            </w:r>
          </w:p>
        </w:tc>
        <w:tc>
          <w:tcPr>
            <w:tcW w:w="100" w:type="dxa"/>
            <w:vAlign w:val="bottom"/>
          </w:tcPr>
          <w:p>
            <w:pPr>
              <w:spacing w:after="0"/>
              <w:rPr>
                <w:sz w:val="12"/>
                <w:szCs w:val="12"/>
                <w:color w:val="auto"/>
              </w:rPr>
            </w:pPr>
          </w:p>
        </w:tc>
        <w:tc>
          <w:tcPr>
            <w:tcW w:w="560" w:type="dxa"/>
            <w:vAlign w:val="bottom"/>
          </w:tcPr>
          <w:p>
            <w:pPr>
              <w:spacing w:after="0"/>
              <w:rPr>
                <w:sz w:val="20"/>
                <w:szCs w:val="20"/>
                <w:color w:val="auto"/>
              </w:rPr>
            </w:pPr>
            <w:r>
              <w:rPr>
                <w:rFonts w:ascii="Arial" w:cs="Arial" w:eastAsia="Arial" w:hAnsi="Arial"/>
                <w:sz w:val="10"/>
                <w:szCs w:val="10"/>
                <w:color w:val="003551"/>
              </w:rPr>
              <w:t>$0</w:t>
            </w:r>
          </w:p>
        </w:tc>
        <w:tc>
          <w:tcPr>
            <w:tcW w:w="680" w:type="dxa"/>
            <w:vAlign w:val="bottom"/>
            <w:gridSpan w:val="2"/>
          </w:tcPr>
          <w:p>
            <w:pPr>
              <w:ind w:left="100"/>
              <w:spacing w:after="0"/>
              <w:rPr>
                <w:sz w:val="20"/>
                <w:szCs w:val="20"/>
                <w:color w:val="auto"/>
              </w:rPr>
            </w:pPr>
            <w:r>
              <w:rPr>
                <w:rFonts w:ascii="Arial" w:cs="Arial" w:eastAsia="Arial" w:hAnsi="Arial"/>
                <w:sz w:val="10"/>
                <w:szCs w:val="10"/>
                <w:color w:val="003551"/>
              </w:rPr>
              <w:t>$0</w:t>
            </w:r>
          </w:p>
        </w:tc>
        <w:tc>
          <w:tcPr>
            <w:tcW w:w="700" w:type="dxa"/>
            <w:vAlign w:val="bottom"/>
            <w:gridSpan w:val="2"/>
          </w:tcPr>
          <w:p>
            <w:pPr>
              <w:ind w:left="120"/>
              <w:spacing w:after="0"/>
              <w:rPr>
                <w:sz w:val="20"/>
                <w:szCs w:val="20"/>
                <w:color w:val="auto"/>
              </w:rPr>
            </w:pPr>
            <w:r>
              <w:rPr>
                <w:rFonts w:ascii="Arial" w:cs="Arial" w:eastAsia="Arial" w:hAnsi="Arial"/>
                <w:sz w:val="10"/>
                <w:szCs w:val="10"/>
                <w:color w:val="003551"/>
              </w:rPr>
              <w:t>$0</w:t>
            </w:r>
          </w:p>
        </w:tc>
        <w:tc>
          <w:tcPr>
            <w:tcW w:w="100" w:type="dxa"/>
            <w:vAlign w:val="bottom"/>
          </w:tcPr>
          <w:p>
            <w:pPr>
              <w:spacing w:after="0"/>
              <w:rPr>
                <w:sz w:val="12"/>
                <w:szCs w:val="12"/>
                <w:color w:val="auto"/>
              </w:rPr>
            </w:pPr>
          </w:p>
        </w:tc>
        <w:tc>
          <w:tcPr>
            <w:tcW w:w="540" w:type="dxa"/>
            <w:vAlign w:val="bottom"/>
          </w:tcPr>
          <w:p>
            <w:pPr>
              <w:ind w:left="20"/>
              <w:spacing w:after="0"/>
              <w:rPr>
                <w:sz w:val="20"/>
                <w:szCs w:val="20"/>
                <w:color w:val="auto"/>
              </w:rPr>
            </w:pPr>
            <w:r>
              <w:rPr>
                <w:rFonts w:ascii="Arial" w:cs="Arial" w:eastAsia="Arial" w:hAnsi="Arial"/>
                <w:sz w:val="10"/>
                <w:szCs w:val="10"/>
                <w:color w:val="003551"/>
              </w:rPr>
              <w:t>$0</w:t>
            </w:r>
          </w:p>
        </w:tc>
        <w:tc>
          <w:tcPr>
            <w:tcW w:w="660" w:type="dxa"/>
            <w:vAlign w:val="bottom"/>
            <w:gridSpan w:val="2"/>
          </w:tcPr>
          <w:p>
            <w:pPr>
              <w:ind w:left="120"/>
              <w:spacing w:after="0"/>
              <w:rPr>
                <w:sz w:val="20"/>
                <w:szCs w:val="20"/>
                <w:color w:val="auto"/>
              </w:rPr>
            </w:pPr>
            <w:r>
              <w:rPr>
                <w:rFonts w:ascii="Arial" w:cs="Arial" w:eastAsia="Arial" w:hAnsi="Arial"/>
                <w:sz w:val="10"/>
                <w:szCs w:val="10"/>
                <w:color w:val="003551"/>
              </w:rPr>
              <w:t>$0</w:t>
            </w:r>
          </w:p>
        </w:tc>
        <w:tc>
          <w:tcPr>
            <w:tcW w:w="700" w:type="dxa"/>
            <w:vAlign w:val="bottom"/>
            <w:gridSpan w:val="3"/>
          </w:tcPr>
          <w:p>
            <w:pPr>
              <w:ind w:left="140"/>
              <w:spacing w:after="0"/>
              <w:rPr>
                <w:sz w:val="20"/>
                <w:szCs w:val="20"/>
                <w:color w:val="auto"/>
              </w:rPr>
            </w:pPr>
            <w:r>
              <w:rPr>
                <w:rFonts w:ascii="Arial" w:cs="Arial" w:eastAsia="Arial" w:hAnsi="Arial"/>
                <w:sz w:val="10"/>
                <w:szCs w:val="10"/>
                <w:color w:val="003551"/>
              </w:rPr>
              <w:t>$0</w:t>
            </w:r>
          </w:p>
        </w:tc>
        <w:tc>
          <w:tcPr>
            <w:tcW w:w="120" w:type="dxa"/>
            <w:vAlign w:val="bottom"/>
          </w:tcPr>
          <w:p>
            <w:pPr>
              <w:spacing w:after="0"/>
              <w:rPr>
                <w:sz w:val="12"/>
                <w:szCs w:val="12"/>
                <w:color w:val="auto"/>
              </w:rPr>
            </w:pPr>
          </w:p>
        </w:tc>
        <w:tc>
          <w:tcPr>
            <w:tcW w:w="580" w:type="dxa"/>
            <w:vAlign w:val="bottom"/>
          </w:tcPr>
          <w:p>
            <w:pPr>
              <w:spacing w:after="0"/>
              <w:rPr>
                <w:sz w:val="20"/>
                <w:szCs w:val="20"/>
                <w:color w:val="auto"/>
              </w:rPr>
            </w:pPr>
            <w:r>
              <w:rPr>
                <w:rFonts w:ascii="Arial" w:cs="Arial" w:eastAsia="Arial" w:hAnsi="Arial"/>
                <w:sz w:val="10"/>
                <w:szCs w:val="10"/>
                <w:color w:val="003551"/>
              </w:rPr>
              <w:t>$0</w:t>
            </w:r>
          </w:p>
        </w:tc>
      </w:tr>
      <w:tr>
        <w:trPr>
          <w:trHeight w:val="63"/>
        </w:trPr>
        <w:tc>
          <w:tcPr>
            <w:tcW w:w="1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Borders>
              <w:bottom w:val="single" w:sz="8" w:color="77C483"/>
            </w:tcBorders>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Borders>
              <w:bottom w:val="single" w:sz="8" w:color="77C483"/>
            </w:tcBorders>
          </w:tcPr>
          <w:p>
            <w:pPr>
              <w:spacing w:after="0"/>
              <w:rPr>
                <w:sz w:val="5"/>
                <w:szCs w:val="5"/>
                <w:color w:val="auto"/>
              </w:rPr>
            </w:pPr>
          </w:p>
        </w:tc>
        <w:tc>
          <w:tcPr>
            <w:tcW w:w="580" w:type="dxa"/>
            <w:vAlign w:val="bottom"/>
          </w:tcPr>
          <w:p>
            <w:pPr>
              <w:spacing w:after="0"/>
              <w:rPr>
                <w:sz w:val="5"/>
                <w:szCs w:val="5"/>
                <w:color w:val="auto"/>
              </w:rPr>
            </w:pPr>
          </w:p>
        </w:tc>
      </w:tr>
      <w:tr>
        <w:trPr>
          <w:trHeight w:val="180"/>
        </w:trPr>
        <w:tc>
          <w:tcPr>
            <w:tcW w:w="100" w:type="dxa"/>
            <w:vAlign w:val="bottom"/>
          </w:tcPr>
          <w:p>
            <w:pPr>
              <w:spacing w:after="0"/>
              <w:rPr>
                <w:sz w:val="15"/>
                <w:szCs w:val="15"/>
                <w:color w:val="auto"/>
              </w:rPr>
            </w:pPr>
          </w:p>
        </w:tc>
        <w:tc>
          <w:tcPr>
            <w:tcW w:w="1640" w:type="dxa"/>
            <w:vAlign w:val="bottom"/>
            <w:gridSpan w:val="2"/>
          </w:tcPr>
          <w:p>
            <w:pPr>
              <w:ind w:left="60"/>
              <w:spacing w:after="0"/>
              <w:rPr>
                <w:sz w:val="20"/>
                <w:szCs w:val="20"/>
                <w:color w:val="auto"/>
              </w:rPr>
            </w:pPr>
            <w:r>
              <w:rPr>
                <w:rFonts w:ascii="Arial" w:cs="Arial" w:eastAsia="Arial" w:hAnsi="Arial"/>
                <w:sz w:val="10"/>
                <w:szCs w:val="10"/>
                <w:b w:val="1"/>
                <w:bCs w:val="1"/>
                <w:color w:val="003551"/>
              </w:rPr>
              <w:t>Plus Value of Dividends or</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18"/>
        </w:trPr>
        <w:tc>
          <w:tcPr>
            <w:tcW w:w="100" w:type="dxa"/>
            <w:vAlign w:val="bottom"/>
          </w:tcPr>
          <w:p>
            <w:pPr>
              <w:spacing w:after="0"/>
              <w:rPr>
                <w:sz w:val="10"/>
                <w:szCs w:val="10"/>
                <w:color w:val="auto"/>
              </w:rPr>
            </w:pPr>
          </w:p>
        </w:tc>
        <w:tc>
          <w:tcPr>
            <w:tcW w:w="1640" w:type="dxa"/>
            <w:vAlign w:val="bottom"/>
            <w:gridSpan w:val="2"/>
          </w:tcPr>
          <w:p>
            <w:pPr>
              <w:ind w:left="60"/>
              <w:spacing w:after="0"/>
              <w:rPr>
                <w:sz w:val="20"/>
                <w:szCs w:val="20"/>
                <w:color w:val="auto"/>
              </w:rPr>
            </w:pPr>
            <w:r>
              <w:rPr>
                <w:rFonts w:ascii="Arial" w:cs="Arial" w:eastAsia="Arial" w:hAnsi="Arial"/>
                <w:sz w:val="10"/>
                <w:szCs w:val="10"/>
                <w:b w:val="1"/>
                <w:bCs w:val="1"/>
                <w:color w:val="003551"/>
              </w:rPr>
              <w:t>other Earnings Paid on Stock</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18"/>
        </w:trPr>
        <w:tc>
          <w:tcPr>
            <w:tcW w:w="100" w:type="dxa"/>
            <w:vAlign w:val="bottom"/>
          </w:tcPr>
          <w:p>
            <w:pPr>
              <w:spacing w:after="0"/>
              <w:rPr>
                <w:sz w:val="10"/>
                <w:szCs w:val="10"/>
                <w:color w:val="auto"/>
              </w:rPr>
            </w:pPr>
          </w:p>
        </w:tc>
        <w:tc>
          <w:tcPr>
            <w:tcW w:w="1640" w:type="dxa"/>
            <w:vAlign w:val="bottom"/>
            <w:gridSpan w:val="2"/>
          </w:tcPr>
          <w:p>
            <w:pPr>
              <w:ind w:left="60"/>
              <w:spacing w:after="0"/>
              <w:rPr>
                <w:sz w:val="20"/>
                <w:szCs w:val="20"/>
                <w:color w:val="auto"/>
              </w:rPr>
            </w:pPr>
            <w:r>
              <w:rPr>
                <w:rFonts w:ascii="Arial" w:cs="Arial" w:eastAsia="Arial" w:hAnsi="Arial"/>
                <w:sz w:val="10"/>
                <w:szCs w:val="10"/>
                <w:b w:val="1"/>
                <w:bCs w:val="1"/>
                <w:color w:val="003551"/>
              </w:rPr>
              <w:t>or Option Awards Not</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18"/>
        </w:trPr>
        <w:tc>
          <w:tcPr>
            <w:tcW w:w="100" w:type="dxa"/>
            <w:vAlign w:val="bottom"/>
          </w:tcPr>
          <w:p>
            <w:pPr>
              <w:spacing w:after="0"/>
              <w:rPr>
                <w:sz w:val="10"/>
                <w:szCs w:val="10"/>
                <w:color w:val="auto"/>
              </w:rPr>
            </w:pPr>
          </w:p>
        </w:tc>
        <w:tc>
          <w:tcPr>
            <w:tcW w:w="1640" w:type="dxa"/>
            <w:vAlign w:val="bottom"/>
            <w:gridSpan w:val="2"/>
          </w:tcPr>
          <w:p>
            <w:pPr>
              <w:ind w:left="60"/>
              <w:spacing w:after="0"/>
              <w:rPr>
                <w:sz w:val="20"/>
                <w:szCs w:val="20"/>
                <w:color w:val="auto"/>
              </w:rPr>
            </w:pPr>
            <w:r>
              <w:rPr>
                <w:rFonts w:ascii="Arial" w:cs="Arial" w:eastAsia="Arial" w:hAnsi="Arial"/>
                <w:sz w:val="10"/>
                <w:szCs w:val="10"/>
                <w:b w:val="1"/>
                <w:bCs w:val="1"/>
                <w:color w:val="003551"/>
              </w:rPr>
              <w:t>Otherwise Reflected in Fair</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18"/>
        </w:trPr>
        <w:tc>
          <w:tcPr>
            <w:tcW w:w="100" w:type="dxa"/>
            <w:vAlign w:val="bottom"/>
          </w:tcPr>
          <w:p>
            <w:pPr>
              <w:spacing w:after="0"/>
              <w:rPr>
                <w:sz w:val="10"/>
                <w:szCs w:val="10"/>
                <w:color w:val="auto"/>
              </w:rPr>
            </w:pPr>
          </w:p>
        </w:tc>
        <w:tc>
          <w:tcPr>
            <w:tcW w:w="1640" w:type="dxa"/>
            <w:vAlign w:val="bottom"/>
            <w:gridSpan w:val="2"/>
          </w:tcPr>
          <w:p>
            <w:pPr>
              <w:ind w:left="60"/>
              <w:spacing w:after="0"/>
              <w:rPr>
                <w:sz w:val="20"/>
                <w:szCs w:val="20"/>
                <w:color w:val="auto"/>
              </w:rPr>
            </w:pPr>
            <w:r>
              <w:rPr>
                <w:rFonts w:ascii="Arial" w:cs="Arial" w:eastAsia="Arial" w:hAnsi="Arial"/>
                <w:sz w:val="10"/>
                <w:szCs w:val="10"/>
                <w:b w:val="1"/>
                <w:bCs w:val="1"/>
                <w:color w:val="003551"/>
              </w:rPr>
              <w:t>Value or Total Compensation</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43"/>
        </w:trPr>
        <w:tc>
          <w:tcPr>
            <w:tcW w:w="100" w:type="dxa"/>
            <w:vAlign w:val="bottom"/>
          </w:tcPr>
          <w:p>
            <w:pPr>
              <w:spacing w:after="0"/>
              <w:rPr>
                <w:sz w:val="12"/>
                <w:szCs w:val="12"/>
                <w:color w:val="auto"/>
              </w:rPr>
            </w:pPr>
          </w:p>
        </w:tc>
        <w:tc>
          <w:tcPr>
            <w:tcW w:w="1640" w:type="dxa"/>
            <w:vAlign w:val="bottom"/>
            <w:gridSpan w:val="2"/>
          </w:tcPr>
          <w:p>
            <w:pPr>
              <w:ind w:left="60"/>
              <w:spacing w:after="0"/>
              <w:rPr>
                <w:sz w:val="20"/>
                <w:szCs w:val="20"/>
                <w:color w:val="auto"/>
              </w:rPr>
            </w:pPr>
            <w:r>
              <w:rPr>
                <w:rFonts w:ascii="Arial" w:cs="Arial" w:eastAsia="Arial" w:hAnsi="Arial"/>
                <w:sz w:val="10"/>
                <w:szCs w:val="10"/>
                <w:b w:val="1"/>
                <w:bCs w:val="1"/>
                <w:color w:val="003551"/>
              </w:rPr>
              <w:t>for the Fiscal Year</w:t>
            </w:r>
          </w:p>
        </w:tc>
        <w:tc>
          <w:tcPr>
            <w:tcW w:w="660" w:type="dxa"/>
            <w:vAlign w:val="bottom"/>
          </w:tcPr>
          <w:p>
            <w:pPr>
              <w:ind w:left="20"/>
              <w:spacing w:after="0"/>
              <w:rPr>
                <w:sz w:val="20"/>
                <w:szCs w:val="20"/>
                <w:color w:val="auto"/>
              </w:rPr>
            </w:pPr>
            <w:r>
              <w:rPr>
                <w:rFonts w:ascii="Arial" w:cs="Arial" w:eastAsia="Arial" w:hAnsi="Arial"/>
                <w:sz w:val="10"/>
                <w:szCs w:val="10"/>
                <w:color w:val="003551"/>
              </w:rPr>
              <w:t>$0</w:t>
            </w:r>
          </w:p>
        </w:tc>
        <w:tc>
          <w:tcPr>
            <w:tcW w:w="740" w:type="dxa"/>
            <w:vAlign w:val="bottom"/>
            <w:gridSpan w:val="2"/>
          </w:tcPr>
          <w:p>
            <w:pPr>
              <w:ind w:left="100"/>
              <w:spacing w:after="0"/>
              <w:rPr>
                <w:sz w:val="20"/>
                <w:szCs w:val="20"/>
                <w:color w:val="auto"/>
              </w:rPr>
            </w:pPr>
            <w:r>
              <w:rPr>
                <w:rFonts w:ascii="Arial" w:cs="Arial" w:eastAsia="Arial" w:hAnsi="Arial"/>
                <w:sz w:val="10"/>
                <w:szCs w:val="10"/>
                <w:color w:val="003551"/>
              </w:rPr>
              <w:t>$0</w:t>
            </w:r>
          </w:p>
        </w:tc>
        <w:tc>
          <w:tcPr>
            <w:tcW w:w="100" w:type="dxa"/>
            <w:vAlign w:val="bottom"/>
          </w:tcPr>
          <w:p>
            <w:pPr>
              <w:spacing w:after="0"/>
              <w:rPr>
                <w:sz w:val="12"/>
                <w:szCs w:val="12"/>
                <w:color w:val="auto"/>
              </w:rPr>
            </w:pPr>
          </w:p>
        </w:tc>
        <w:tc>
          <w:tcPr>
            <w:tcW w:w="560" w:type="dxa"/>
            <w:vAlign w:val="bottom"/>
          </w:tcPr>
          <w:p>
            <w:pPr>
              <w:spacing w:after="0"/>
              <w:rPr>
                <w:sz w:val="20"/>
                <w:szCs w:val="20"/>
                <w:color w:val="auto"/>
              </w:rPr>
            </w:pPr>
            <w:r>
              <w:rPr>
                <w:rFonts w:ascii="Arial" w:cs="Arial" w:eastAsia="Arial" w:hAnsi="Arial"/>
                <w:sz w:val="10"/>
                <w:szCs w:val="10"/>
                <w:color w:val="003551"/>
              </w:rPr>
              <w:t>$0</w:t>
            </w:r>
          </w:p>
        </w:tc>
        <w:tc>
          <w:tcPr>
            <w:tcW w:w="680" w:type="dxa"/>
            <w:vAlign w:val="bottom"/>
            <w:gridSpan w:val="2"/>
          </w:tcPr>
          <w:p>
            <w:pPr>
              <w:ind w:left="100"/>
              <w:spacing w:after="0"/>
              <w:rPr>
                <w:sz w:val="20"/>
                <w:szCs w:val="20"/>
                <w:color w:val="auto"/>
              </w:rPr>
            </w:pPr>
            <w:r>
              <w:rPr>
                <w:rFonts w:ascii="Arial" w:cs="Arial" w:eastAsia="Arial" w:hAnsi="Arial"/>
                <w:sz w:val="10"/>
                <w:szCs w:val="10"/>
                <w:color w:val="003551"/>
              </w:rPr>
              <w:t>$0</w:t>
            </w:r>
          </w:p>
        </w:tc>
        <w:tc>
          <w:tcPr>
            <w:tcW w:w="700" w:type="dxa"/>
            <w:vAlign w:val="bottom"/>
            <w:gridSpan w:val="2"/>
          </w:tcPr>
          <w:p>
            <w:pPr>
              <w:ind w:left="120"/>
              <w:spacing w:after="0"/>
              <w:rPr>
                <w:sz w:val="20"/>
                <w:szCs w:val="20"/>
                <w:color w:val="auto"/>
              </w:rPr>
            </w:pPr>
            <w:r>
              <w:rPr>
                <w:rFonts w:ascii="Arial" w:cs="Arial" w:eastAsia="Arial" w:hAnsi="Arial"/>
                <w:sz w:val="10"/>
                <w:szCs w:val="10"/>
                <w:color w:val="003551"/>
              </w:rPr>
              <w:t>$0</w:t>
            </w:r>
          </w:p>
        </w:tc>
        <w:tc>
          <w:tcPr>
            <w:tcW w:w="100" w:type="dxa"/>
            <w:vAlign w:val="bottom"/>
          </w:tcPr>
          <w:p>
            <w:pPr>
              <w:spacing w:after="0"/>
              <w:rPr>
                <w:sz w:val="12"/>
                <w:szCs w:val="12"/>
                <w:color w:val="auto"/>
              </w:rPr>
            </w:pPr>
          </w:p>
        </w:tc>
        <w:tc>
          <w:tcPr>
            <w:tcW w:w="540" w:type="dxa"/>
            <w:vAlign w:val="bottom"/>
          </w:tcPr>
          <w:p>
            <w:pPr>
              <w:ind w:left="20"/>
              <w:spacing w:after="0"/>
              <w:rPr>
                <w:sz w:val="20"/>
                <w:szCs w:val="20"/>
                <w:color w:val="auto"/>
              </w:rPr>
            </w:pPr>
            <w:r>
              <w:rPr>
                <w:rFonts w:ascii="Arial" w:cs="Arial" w:eastAsia="Arial" w:hAnsi="Arial"/>
                <w:sz w:val="10"/>
                <w:szCs w:val="10"/>
                <w:color w:val="003551"/>
              </w:rPr>
              <w:t>$0</w:t>
            </w:r>
          </w:p>
        </w:tc>
        <w:tc>
          <w:tcPr>
            <w:tcW w:w="660" w:type="dxa"/>
            <w:vAlign w:val="bottom"/>
            <w:gridSpan w:val="2"/>
          </w:tcPr>
          <w:p>
            <w:pPr>
              <w:ind w:left="120"/>
              <w:spacing w:after="0"/>
              <w:rPr>
                <w:sz w:val="20"/>
                <w:szCs w:val="20"/>
                <w:color w:val="auto"/>
              </w:rPr>
            </w:pPr>
            <w:r>
              <w:rPr>
                <w:rFonts w:ascii="Arial" w:cs="Arial" w:eastAsia="Arial" w:hAnsi="Arial"/>
                <w:sz w:val="10"/>
                <w:szCs w:val="10"/>
                <w:color w:val="003551"/>
              </w:rPr>
              <w:t>$0</w:t>
            </w:r>
          </w:p>
        </w:tc>
        <w:tc>
          <w:tcPr>
            <w:tcW w:w="700" w:type="dxa"/>
            <w:vAlign w:val="bottom"/>
            <w:gridSpan w:val="3"/>
          </w:tcPr>
          <w:p>
            <w:pPr>
              <w:ind w:left="140"/>
              <w:spacing w:after="0"/>
              <w:rPr>
                <w:sz w:val="20"/>
                <w:szCs w:val="20"/>
                <w:color w:val="auto"/>
              </w:rPr>
            </w:pPr>
            <w:r>
              <w:rPr>
                <w:rFonts w:ascii="Arial" w:cs="Arial" w:eastAsia="Arial" w:hAnsi="Arial"/>
                <w:sz w:val="10"/>
                <w:szCs w:val="10"/>
                <w:color w:val="003551"/>
              </w:rPr>
              <w:t>$0</w:t>
            </w:r>
          </w:p>
        </w:tc>
        <w:tc>
          <w:tcPr>
            <w:tcW w:w="120" w:type="dxa"/>
            <w:vAlign w:val="bottom"/>
          </w:tcPr>
          <w:p>
            <w:pPr>
              <w:spacing w:after="0"/>
              <w:rPr>
                <w:sz w:val="12"/>
                <w:szCs w:val="12"/>
                <w:color w:val="auto"/>
              </w:rPr>
            </w:pPr>
          </w:p>
        </w:tc>
        <w:tc>
          <w:tcPr>
            <w:tcW w:w="580" w:type="dxa"/>
            <w:vAlign w:val="bottom"/>
          </w:tcPr>
          <w:p>
            <w:pPr>
              <w:spacing w:after="0"/>
              <w:rPr>
                <w:sz w:val="20"/>
                <w:szCs w:val="20"/>
                <w:color w:val="auto"/>
              </w:rPr>
            </w:pPr>
            <w:r>
              <w:rPr>
                <w:rFonts w:ascii="Arial" w:cs="Arial" w:eastAsia="Arial" w:hAnsi="Arial"/>
                <w:sz w:val="10"/>
                <w:szCs w:val="10"/>
                <w:color w:val="003551"/>
              </w:rPr>
              <w:t>$0</w:t>
            </w:r>
          </w:p>
        </w:tc>
      </w:tr>
      <w:tr>
        <w:trPr>
          <w:trHeight w:val="63"/>
        </w:trPr>
        <w:tc>
          <w:tcPr>
            <w:tcW w:w="1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Borders>
              <w:bottom w:val="single" w:sz="8" w:color="77C483"/>
            </w:tcBorders>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bottom w:val="single" w:sz="8" w:color="77C483"/>
            </w:tcBorders>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Borders>
              <w:bottom w:val="single" w:sz="8" w:color="77C483"/>
            </w:tcBorders>
          </w:tcPr>
          <w:p>
            <w:pPr>
              <w:spacing w:after="0"/>
              <w:rPr>
                <w:sz w:val="5"/>
                <w:szCs w:val="5"/>
                <w:color w:val="auto"/>
              </w:rPr>
            </w:pPr>
          </w:p>
        </w:tc>
        <w:tc>
          <w:tcPr>
            <w:tcW w:w="580" w:type="dxa"/>
            <w:vAlign w:val="bottom"/>
          </w:tcPr>
          <w:p>
            <w:pPr>
              <w:spacing w:after="0"/>
              <w:rPr>
                <w:sz w:val="5"/>
                <w:szCs w:val="5"/>
                <w:color w:val="auto"/>
              </w:rPr>
            </w:pPr>
          </w:p>
        </w:tc>
      </w:tr>
      <w:tr>
        <w:trPr>
          <w:trHeight w:val="205"/>
        </w:trPr>
        <w:tc>
          <w:tcPr>
            <w:tcW w:w="100" w:type="dxa"/>
            <w:vAlign w:val="bottom"/>
          </w:tcPr>
          <w:p>
            <w:pPr>
              <w:spacing w:after="0"/>
              <w:rPr>
                <w:sz w:val="17"/>
                <w:szCs w:val="17"/>
                <w:color w:val="auto"/>
              </w:rPr>
            </w:pPr>
          </w:p>
        </w:tc>
        <w:tc>
          <w:tcPr>
            <w:tcW w:w="1640" w:type="dxa"/>
            <w:vAlign w:val="bottom"/>
            <w:gridSpan w:val="2"/>
          </w:tcPr>
          <w:p>
            <w:pPr>
              <w:ind w:left="60"/>
              <w:spacing w:after="0"/>
              <w:rPr>
                <w:sz w:val="20"/>
                <w:szCs w:val="20"/>
                <w:color w:val="auto"/>
              </w:rPr>
            </w:pPr>
            <w:r>
              <w:rPr>
                <w:rFonts w:ascii="Arial" w:cs="Arial" w:eastAsia="Arial" w:hAnsi="Arial"/>
                <w:sz w:val="10"/>
                <w:szCs w:val="10"/>
                <w:b w:val="1"/>
                <w:bCs w:val="1"/>
                <w:color w:val="003551"/>
              </w:rPr>
              <w:t>Compensation Actually Paid</w:t>
            </w:r>
          </w:p>
        </w:tc>
        <w:tc>
          <w:tcPr>
            <w:tcW w:w="660" w:type="dxa"/>
            <w:vAlign w:val="bottom"/>
          </w:tcPr>
          <w:p>
            <w:pPr>
              <w:ind w:left="20"/>
              <w:spacing w:after="0"/>
              <w:rPr>
                <w:sz w:val="20"/>
                <w:szCs w:val="20"/>
                <w:color w:val="auto"/>
              </w:rPr>
            </w:pPr>
            <w:r>
              <w:rPr>
                <w:rFonts w:ascii="Arial" w:cs="Arial" w:eastAsia="Arial" w:hAnsi="Arial"/>
                <w:sz w:val="10"/>
                <w:szCs w:val="10"/>
                <w:b w:val="1"/>
                <w:bCs w:val="1"/>
                <w:color w:val="003551"/>
              </w:rPr>
              <w:t>$116,262,163</w:t>
            </w:r>
          </w:p>
        </w:tc>
        <w:tc>
          <w:tcPr>
            <w:tcW w:w="740" w:type="dxa"/>
            <w:vAlign w:val="bottom"/>
            <w:gridSpan w:val="2"/>
          </w:tcPr>
          <w:p>
            <w:pPr>
              <w:ind w:left="100"/>
              <w:spacing w:after="0"/>
              <w:rPr>
                <w:sz w:val="20"/>
                <w:szCs w:val="20"/>
                <w:color w:val="auto"/>
              </w:rPr>
            </w:pPr>
            <w:r>
              <w:rPr>
                <w:rFonts w:ascii="Arial" w:cs="Arial" w:eastAsia="Arial" w:hAnsi="Arial"/>
                <w:sz w:val="10"/>
                <w:szCs w:val="10"/>
                <w:b w:val="1"/>
                <w:bCs w:val="1"/>
                <w:color w:val="003551"/>
              </w:rPr>
              <w:t>$116,262,163</w:t>
            </w:r>
          </w:p>
        </w:tc>
        <w:tc>
          <w:tcPr>
            <w:tcW w:w="10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Arial" w:cs="Arial" w:eastAsia="Arial" w:hAnsi="Arial"/>
                <w:sz w:val="10"/>
                <w:szCs w:val="10"/>
                <w:b w:val="1"/>
                <w:bCs w:val="1"/>
                <w:color w:val="003551"/>
              </w:rPr>
              <w:t>$3,553,385</w:t>
            </w:r>
          </w:p>
        </w:tc>
        <w:tc>
          <w:tcPr>
            <w:tcW w:w="680" w:type="dxa"/>
            <w:vAlign w:val="bottom"/>
            <w:gridSpan w:val="2"/>
          </w:tcPr>
          <w:p>
            <w:pPr>
              <w:ind w:left="100"/>
              <w:spacing w:after="0"/>
              <w:rPr>
                <w:sz w:val="20"/>
                <w:szCs w:val="20"/>
                <w:color w:val="auto"/>
              </w:rPr>
            </w:pPr>
            <w:r>
              <w:rPr>
                <w:rFonts w:ascii="Arial" w:cs="Arial" w:eastAsia="Arial" w:hAnsi="Arial"/>
                <w:sz w:val="10"/>
                <w:szCs w:val="10"/>
                <w:b w:val="1"/>
                <w:bCs w:val="1"/>
                <w:color w:val="003551"/>
              </w:rPr>
              <w:t>$23,271,677</w:t>
            </w:r>
          </w:p>
        </w:tc>
        <w:tc>
          <w:tcPr>
            <w:tcW w:w="700" w:type="dxa"/>
            <w:vAlign w:val="bottom"/>
            <w:gridSpan w:val="2"/>
          </w:tcPr>
          <w:p>
            <w:pPr>
              <w:ind w:left="120"/>
              <w:spacing w:after="0"/>
              <w:rPr>
                <w:sz w:val="20"/>
                <w:szCs w:val="20"/>
                <w:color w:val="auto"/>
              </w:rPr>
            </w:pPr>
            <w:r>
              <w:rPr>
                <w:rFonts w:ascii="Arial" w:cs="Arial" w:eastAsia="Arial" w:hAnsi="Arial"/>
                <w:sz w:val="10"/>
                <w:szCs w:val="10"/>
                <w:b w:val="1"/>
                <w:bCs w:val="1"/>
                <w:color w:val="003551"/>
              </w:rPr>
              <w:t>$23,271,677</w:t>
            </w:r>
          </w:p>
        </w:tc>
        <w:tc>
          <w:tcPr>
            <w:tcW w:w="100" w:type="dxa"/>
            <w:vAlign w:val="bottom"/>
          </w:tcPr>
          <w:p>
            <w:pPr>
              <w:spacing w:after="0"/>
              <w:rPr>
                <w:sz w:val="17"/>
                <w:szCs w:val="17"/>
                <w:color w:val="auto"/>
              </w:rPr>
            </w:pPr>
          </w:p>
        </w:tc>
        <w:tc>
          <w:tcPr>
            <w:tcW w:w="540" w:type="dxa"/>
            <w:vAlign w:val="bottom"/>
          </w:tcPr>
          <w:p>
            <w:pPr>
              <w:ind w:left="20"/>
              <w:spacing w:after="0"/>
              <w:rPr>
                <w:sz w:val="20"/>
                <w:szCs w:val="20"/>
                <w:color w:val="auto"/>
              </w:rPr>
            </w:pPr>
            <w:r>
              <w:rPr>
                <w:rFonts w:ascii="Arial" w:cs="Arial" w:eastAsia="Arial" w:hAnsi="Arial"/>
                <w:sz w:val="10"/>
                <w:szCs w:val="10"/>
                <w:b w:val="1"/>
                <w:bCs w:val="1"/>
                <w:color w:val="003551"/>
                <w:w w:val="99"/>
              </w:rPr>
              <w:t>$1,940,501</w:t>
            </w:r>
          </w:p>
        </w:tc>
        <w:tc>
          <w:tcPr>
            <w:tcW w:w="660" w:type="dxa"/>
            <w:vAlign w:val="bottom"/>
            <w:gridSpan w:val="2"/>
          </w:tcPr>
          <w:p>
            <w:pPr>
              <w:ind w:left="120"/>
              <w:spacing w:after="0"/>
              <w:rPr>
                <w:sz w:val="20"/>
                <w:szCs w:val="20"/>
                <w:color w:val="auto"/>
              </w:rPr>
            </w:pPr>
            <w:r>
              <w:rPr>
                <w:rFonts w:ascii="Arial" w:cs="Arial" w:eastAsia="Arial" w:hAnsi="Arial"/>
                <w:sz w:val="10"/>
                <w:szCs w:val="10"/>
                <w:b w:val="1"/>
                <w:bCs w:val="1"/>
                <w:color w:val="003551"/>
              </w:rPr>
              <w:t>$8,171,715</w:t>
            </w:r>
          </w:p>
        </w:tc>
        <w:tc>
          <w:tcPr>
            <w:tcW w:w="700" w:type="dxa"/>
            <w:vAlign w:val="bottom"/>
            <w:gridSpan w:val="3"/>
          </w:tcPr>
          <w:p>
            <w:pPr>
              <w:ind w:left="140"/>
              <w:spacing w:after="0"/>
              <w:rPr>
                <w:sz w:val="20"/>
                <w:szCs w:val="20"/>
                <w:color w:val="auto"/>
              </w:rPr>
            </w:pPr>
            <w:r>
              <w:rPr>
                <w:rFonts w:ascii="Arial" w:cs="Arial" w:eastAsia="Arial" w:hAnsi="Arial"/>
                <w:sz w:val="10"/>
                <w:szCs w:val="10"/>
                <w:b w:val="1"/>
                <w:bCs w:val="1"/>
                <w:color w:val="003551"/>
              </w:rPr>
              <w:t>$8,171,715</w:t>
            </w:r>
          </w:p>
        </w:tc>
        <w:tc>
          <w:tcPr>
            <w:tcW w:w="120" w:type="dxa"/>
            <w:vAlign w:val="bottom"/>
          </w:tcPr>
          <w:p>
            <w:pPr>
              <w:spacing w:after="0"/>
              <w:rPr>
                <w:sz w:val="17"/>
                <w:szCs w:val="17"/>
                <w:color w:val="auto"/>
              </w:rPr>
            </w:pPr>
          </w:p>
        </w:tc>
        <w:tc>
          <w:tcPr>
            <w:tcW w:w="580" w:type="dxa"/>
            <w:vAlign w:val="bottom"/>
          </w:tcPr>
          <w:p>
            <w:pPr>
              <w:spacing w:after="0"/>
              <w:rPr>
                <w:sz w:val="20"/>
                <w:szCs w:val="20"/>
                <w:color w:val="auto"/>
              </w:rPr>
            </w:pPr>
            <w:r>
              <w:rPr>
                <w:rFonts w:ascii="Arial" w:cs="Arial" w:eastAsia="Arial" w:hAnsi="Arial"/>
                <w:sz w:val="10"/>
                <w:szCs w:val="10"/>
                <w:b w:val="1"/>
                <w:bCs w:val="1"/>
                <w:color w:val="003551"/>
              </w:rPr>
              <w:t>$893,793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59055</wp:posOffset>
            </wp:positionV>
            <wp:extent cx="49987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998720"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-3516630</wp:posOffset>
            </wp:positionV>
            <wp:extent cx="49987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998720"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-3183890</wp:posOffset>
            </wp:positionV>
            <wp:extent cx="49987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998720"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-2626995</wp:posOffset>
            </wp:positionV>
            <wp:extent cx="49987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998720"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-2069465</wp:posOffset>
            </wp:positionV>
            <wp:extent cx="49987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998720"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-1661795</wp:posOffset>
            </wp:positionV>
            <wp:extent cx="49987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998720"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-1179830</wp:posOffset>
            </wp:positionV>
            <wp:extent cx="49987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998720"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-697230</wp:posOffset>
            </wp:positionV>
            <wp:extent cx="49987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998720"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-139700</wp:posOffset>
            </wp:positionV>
            <wp:extent cx="49987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998720" cy="825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200660</wp:posOffset>
            </wp:positionV>
            <wp:extent cx="540385" cy="6318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6" w:right="12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940"/>
        <w:spacing w:after="0"/>
        <w:rPr>
          <w:sz w:val="20"/>
          <w:szCs w:val="20"/>
          <w:color w:val="auto"/>
        </w:rPr>
      </w:pPr>
      <w:r>
        <w:rPr>
          <w:rFonts w:ascii="Arial" w:cs="Arial" w:eastAsia="Arial" w:hAnsi="Arial"/>
          <w:sz w:val="12"/>
          <w:szCs w:val="12"/>
          <w:i w:val="1"/>
          <w:iCs w:val="1"/>
          <w:color w:val="003551"/>
        </w:rPr>
        <w:t>The fair value of equity awards was calculated in accordance with ASC Topic 718.</w:t>
      </w:r>
    </w:p>
    <w:p>
      <w:pPr>
        <w:spacing w:after="0" w:line="3" w:lineRule="exact"/>
        <w:rPr>
          <w:sz w:val="20"/>
          <w:szCs w:val="20"/>
          <w:color w:val="auto"/>
        </w:rPr>
      </w:pPr>
    </w:p>
    <w:p>
      <w:pPr>
        <w:ind w:left="1280" w:right="740" w:hanging="337"/>
        <w:spacing w:after="0" w:line="227" w:lineRule="auto"/>
        <w:tabs>
          <w:tab w:leader="none" w:pos="1280" w:val="left"/>
        </w:tabs>
        <w:numPr>
          <w:ilvl w:val="0"/>
          <w:numId w:val="48"/>
        </w:numPr>
        <w:rPr>
          <w:rFonts w:ascii="Arial" w:cs="Arial" w:eastAsia="Arial" w:hAnsi="Arial"/>
          <w:sz w:val="12"/>
          <w:szCs w:val="12"/>
          <w:i w:val="1"/>
          <w:iCs w:val="1"/>
          <w:color w:val="003551"/>
        </w:rPr>
      </w:pPr>
      <w:r>
        <w:rPr>
          <w:rFonts w:ascii="Arial" w:cs="Arial" w:eastAsia="Arial" w:hAnsi="Arial"/>
          <w:sz w:val="12"/>
          <w:szCs w:val="12"/>
          <w:i w:val="1"/>
          <w:iCs w:val="1"/>
          <w:color w:val="003551"/>
        </w:rPr>
        <w:t>Total Shareholder Return (TSR) is cumulative for the measurement periods beginning on June 30, 2022 and ending on June 30 of each of 2023, 2024, and 2025, respectively, calculated in accordance with Item 201(e) of Regulation S-K.</w:t>
      </w:r>
    </w:p>
    <w:p>
      <w:pPr>
        <w:jc w:val="both"/>
        <w:ind w:left="1280" w:right="740" w:hanging="337"/>
        <w:spacing w:after="0" w:line="235" w:lineRule="auto"/>
        <w:tabs>
          <w:tab w:leader="none" w:pos="1280" w:val="left"/>
        </w:tabs>
        <w:numPr>
          <w:ilvl w:val="0"/>
          <w:numId w:val="48"/>
        </w:numPr>
        <w:rPr>
          <w:rFonts w:ascii="Arial" w:cs="Arial" w:eastAsia="Arial" w:hAnsi="Arial"/>
          <w:sz w:val="12"/>
          <w:szCs w:val="12"/>
          <w:i w:val="1"/>
          <w:iCs w:val="1"/>
          <w:color w:val="003551"/>
        </w:rPr>
      </w:pPr>
      <w:r>
        <w:rPr>
          <w:rFonts w:ascii="Arial" w:cs="Arial" w:eastAsia="Arial" w:hAnsi="Arial"/>
          <w:sz w:val="12"/>
          <w:szCs w:val="12"/>
          <w:i w:val="1"/>
          <w:iCs w:val="1"/>
          <w:color w:val="003551"/>
        </w:rPr>
        <w:t>“Peer Group Total Shareholder Return” represents the weighted average total shareholder return according to the respective companies’ stock market capitalization at the beginning of each period for which a return is indicated. This “Peer Group” reflects the same Peer Group reported in the performance graph included in IREN’s Annual Report on Form 10-K for the fiscal year ended June 30, 2025. Our Peer Group includes the following companies: Bitdeer Technologies, Bitfarms, Cipher Mining, CleanSpark, Hut 8, MARA Holdings, and Riot Platforms.</w:t>
      </w:r>
    </w:p>
    <w:p>
      <w:pPr>
        <w:spacing w:after="0" w:line="211"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Performance measures used to link IREN performance and CAP</w:t>
      </w:r>
    </w:p>
    <w:p>
      <w:pPr>
        <w:spacing w:after="0" w:line="15" w:lineRule="exact"/>
        <w:rPr>
          <w:sz w:val="20"/>
          <w:szCs w:val="20"/>
          <w:color w:val="auto"/>
        </w:rPr>
      </w:pPr>
    </w:p>
    <w:p>
      <w:pPr>
        <w:ind w:left="940" w:right="800"/>
        <w:spacing w:after="0" w:line="252" w:lineRule="auto"/>
        <w:rPr>
          <w:sz w:val="20"/>
          <w:szCs w:val="20"/>
          <w:color w:val="auto"/>
        </w:rPr>
      </w:pPr>
      <w:r>
        <w:rPr>
          <w:rFonts w:ascii="Arial" w:cs="Arial" w:eastAsia="Arial" w:hAnsi="Arial"/>
          <w:sz w:val="17"/>
          <w:szCs w:val="17"/>
          <w:color w:val="003551"/>
        </w:rPr>
        <w:t>The following is a list of performance measures, which in our assessment represent the most important performance measures used by IREN to link compensation actually paid to the NEOs for fiscal year 2025. Please refer to the CD&amp;A to see how they are used in IREN’s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75565</wp:posOffset>
            </wp:positionV>
            <wp:extent cx="5223510" cy="9969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223510" cy="99695"/>
                    </a:xfrm>
                    <a:prstGeom prst="rect">
                      <a:avLst/>
                    </a:prstGeom>
                    <a:noFill/>
                  </pic:spPr>
                </pic:pic>
              </a:graphicData>
            </a:graphic>
          </wp:anchor>
        </w:drawing>
      </w:r>
    </w:p>
    <w:p>
      <w:pPr>
        <w:spacing w:after="0" w:line="63" w:lineRule="exact"/>
        <w:rPr>
          <w:sz w:val="20"/>
          <w:szCs w:val="20"/>
          <w:color w:val="auto"/>
        </w:rPr>
      </w:pPr>
    </w:p>
    <w:p>
      <w:pPr>
        <w:ind w:left="940"/>
        <w:spacing w:after="0"/>
        <w:rPr>
          <w:sz w:val="20"/>
          <w:szCs w:val="20"/>
          <w:color w:val="auto"/>
        </w:rPr>
      </w:pPr>
      <w:r>
        <w:rPr>
          <w:sz w:val="1"/>
          <w:szCs w:val="1"/>
          <w:color w:val="auto"/>
        </w:rPr>
        <w:drawing>
          <wp:inline distT="0" distB="0" distL="0" distR="0">
            <wp:extent cx="66675" cy="307975"/>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6675" cy="307975"/>
                    </a:xfrm>
                    <a:prstGeom prst="rect">
                      <a:avLst/>
                    </a:prstGeom>
                    <a:noFill/>
                    <a:ln>
                      <a:noFill/>
                    </a:ln>
                  </pic:spPr>
                </pic:pic>
              </a:graphicData>
            </a:graphic>
          </wp:inline>
        </w:drawing>
      </w:r>
      <w:r>
        <w:rPr>
          <w:rFonts w:ascii="Arial" w:cs="Arial" w:eastAsia="Arial" w:hAnsi="Arial"/>
          <w:sz w:val="17"/>
          <w:szCs w:val="17"/>
          <w:b w:val="1"/>
          <w:bCs w:val="1"/>
          <w:color w:val="003551"/>
        </w:rPr>
        <w:t xml:space="preserve"> Share</w:t>
      </w:r>
      <w:r>
        <w:rPr>
          <w:rFonts w:ascii="Arial" w:cs="Arial" w:eastAsia="Arial" w:hAnsi="Arial"/>
          <w:sz w:val="17"/>
          <w:szCs w:val="17"/>
          <w:color w:val="003551"/>
        </w:rPr>
        <w:t>​</w:t>
      </w:r>
      <w:r>
        <w:rPr>
          <w:rFonts w:ascii="Arial" w:cs="Arial" w:eastAsia="Arial" w:hAnsi="Arial"/>
          <w:sz w:val="17"/>
          <w:szCs w:val="17"/>
          <w:b w:val="1"/>
          <w:bCs w:val="1"/>
          <w:color w:val="003551"/>
        </w:rPr>
        <w:t xml:space="preserv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-207010</wp:posOffset>
            </wp:positionV>
            <wp:extent cx="5223510" cy="2076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223510" cy="207645"/>
                    </a:xfrm>
                    <a:prstGeom prst="rect">
                      <a:avLst/>
                    </a:prstGeom>
                    <a:noFill/>
                  </pic:spPr>
                </pic:pic>
              </a:graphicData>
            </a:graphic>
          </wp:anchor>
        </w:drawing>
      </w:r>
    </w:p>
    <w:p>
      <w:pPr>
        <w:spacing w:after="0" w:line="81" w:lineRule="exact"/>
        <w:rPr>
          <w:sz w:val="20"/>
          <w:szCs w:val="20"/>
          <w:color w:val="auto"/>
        </w:rPr>
      </w:pPr>
    </w:p>
    <w:p>
      <w:pPr>
        <w:ind w:left="1100"/>
        <w:spacing w:after="0"/>
        <w:rPr>
          <w:sz w:val="20"/>
          <w:szCs w:val="20"/>
          <w:color w:val="auto"/>
        </w:rPr>
      </w:pPr>
      <w:r>
        <w:rPr>
          <w:rFonts w:ascii="Arial" w:cs="Arial" w:eastAsia="Arial" w:hAnsi="Arial"/>
          <w:sz w:val="17"/>
          <w:szCs w:val="17"/>
          <w:color w:val="003551"/>
        </w:rPr>
        <w:t>Relative Total Shareholder Return</w:t>
      </w:r>
    </w:p>
    <w:p>
      <w:pPr>
        <w:spacing w:after="0" w:line="279"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Relationship between CAP and TSR</w:t>
      </w:r>
    </w:p>
    <w:p>
      <w:pPr>
        <w:spacing w:after="0" w:line="15" w:lineRule="exact"/>
        <w:rPr>
          <w:sz w:val="20"/>
          <w:szCs w:val="20"/>
          <w:color w:val="auto"/>
        </w:rPr>
      </w:pPr>
    </w:p>
    <w:p>
      <w:pPr>
        <w:ind w:left="940" w:right="1100"/>
        <w:spacing w:after="0" w:line="263" w:lineRule="auto"/>
        <w:rPr>
          <w:sz w:val="20"/>
          <w:szCs w:val="20"/>
          <w:color w:val="auto"/>
        </w:rPr>
      </w:pPr>
      <w:r>
        <w:rPr>
          <w:rFonts w:ascii="Arial" w:cs="Arial" w:eastAsia="Arial" w:hAnsi="Arial"/>
          <w:sz w:val="17"/>
          <w:szCs w:val="17"/>
          <w:color w:val="003551"/>
        </w:rPr>
        <w:t>The graphs below illustrate the relationship between our TSR and the Peer Group TSR, as well as the relationship between CAP and our TSR for the Co-PEOs and Non-PEO 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152400</wp:posOffset>
            </wp:positionV>
            <wp:extent cx="4558030" cy="2694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558030" cy="2694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144145</wp:posOffset>
            </wp:positionV>
            <wp:extent cx="540385" cy="6318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Relationship between CAP and GAAP Net Income</w:t>
      </w:r>
    </w:p>
    <w:p>
      <w:pPr>
        <w:spacing w:after="0" w:line="15" w:lineRule="exact"/>
        <w:rPr>
          <w:sz w:val="20"/>
          <w:szCs w:val="20"/>
          <w:color w:val="auto"/>
        </w:rPr>
      </w:pPr>
    </w:p>
    <w:p>
      <w:pPr>
        <w:ind w:left="940" w:right="1020"/>
        <w:spacing w:after="0" w:line="263" w:lineRule="auto"/>
        <w:rPr>
          <w:sz w:val="20"/>
          <w:szCs w:val="20"/>
          <w:color w:val="auto"/>
        </w:rPr>
      </w:pPr>
      <w:r>
        <w:rPr>
          <w:rFonts w:ascii="Arial" w:cs="Arial" w:eastAsia="Arial" w:hAnsi="Arial"/>
          <w:sz w:val="17"/>
          <w:szCs w:val="17"/>
          <w:color w:val="003551"/>
        </w:rPr>
        <w:t>The graph below reflects the relationship between the Co-PEOs and Average Non-PEO NEO CAP and our GAAP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950595</wp:posOffset>
            </wp:positionH>
            <wp:positionV relativeFrom="paragraph">
              <wp:posOffset>144145</wp:posOffset>
            </wp:positionV>
            <wp:extent cx="4516120" cy="25203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51612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 </w:t>
      </w:r>
    </w:p>
    <w:p>
      <w:pPr>
        <w:spacing w:after="0" w:line="240"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Relationship between CAP and share price (our company-selected measure)</w:t>
      </w:r>
    </w:p>
    <w:p>
      <w:pPr>
        <w:spacing w:after="0" w:line="15" w:lineRule="exact"/>
        <w:rPr>
          <w:sz w:val="20"/>
          <w:szCs w:val="20"/>
          <w:color w:val="auto"/>
        </w:rPr>
      </w:pPr>
    </w:p>
    <w:p>
      <w:pPr>
        <w:ind w:left="940" w:right="1020"/>
        <w:spacing w:after="0" w:line="263" w:lineRule="auto"/>
        <w:rPr>
          <w:sz w:val="20"/>
          <w:szCs w:val="20"/>
          <w:color w:val="auto"/>
        </w:rPr>
      </w:pPr>
      <w:r>
        <w:rPr>
          <w:rFonts w:ascii="Arial" w:cs="Arial" w:eastAsia="Arial" w:hAnsi="Arial"/>
          <w:sz w:val="17"/>
          <w:szCs w:val="17"/>
          <w:color w:val="003551"/>
        </w:rPr>
        <w:t>The graph below reflects the relationship between the Co-PEOs and Average Non-PEO NEO CAP and IREN’s share price as of the end of the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144145</wp:posOffset>
            </wp:positionV>
            <wp:extent cx="4549775" cy="252857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549775" cy="2528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144145</wp:posOffset>
            </wp:positionV>
            <wp:extent cx="540385" cy="6318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228600</wp:posOffset>
            </wp:positionV>
            <wp:extent cx="6786880" cy="165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6" w:right="12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940" w:right="1400"/>
        <w:spacing w:after="0" w:line="252" w:lineRule="auto"/>
        <w:rPr>
          <w:sz w:val="20"/>
          <w:szCs w:val="20"/>
          <w:color w:val="auto"/>
        </w:rPr>
      </w:pPr>
      <w:r>
        <w:rPr>
          <w:rFonts w:ascii="Arial" w:cs="Arial" w:eastAsia="Arial" w:hAnsi="Arial"/>
          <w:sz w:val="35"/>
          <w:szCs w:val="35"/>
          <w:color w:val="77C483"/>
        </w:rPr>
        <w:t>Security Ownership of Certain Beneficial Owners and Management</w:t>
      </w:r>
    </w:p>
    <w:p>
      <w:pPr>
        <w:spacing w:after="0" w:line="2" w:lineRule="exact"/>
        <w:rPr>
          <w:sz w:val="20"/>
          <w:szCs w:val="20"/>
          <w:color w:val="auto"/>
        </w:rPr>
      </w:pPr>
    </w:p>
    <w:p>
      <w:pPr>
        <w:ind w:left="940" w:right="980"/>
        <w:spacing w:after="0" w:line="263" w:lineRule="auto"/>
        <w:rPr>
          <w:sz w:val="20"/>
          <w:szCs w:val="20"/>
          <w:color w:val="auto"/>
        </w:rPr>
      </w:pPr>
      <w:r>
        <w:rPr>
          <w:rFonts w:ascii="Arial" w:cs="Arial" w:eastAsia="Arial" w:hAnsi="Arial"/>
          <w:sz w:val="17"/>
          <w:szCs w:val="17"/>
          <w:color w:val="003551"/>
        </w:rPr>
        <w:t>The following table sets forth information with respect to the beneficial ownership of our ordinary shares and B Class shares as of August 31, 2025 by:</w:t>
      </w:r>
    </w:p>
    <w:p>
      <w:pPr>
        <w:spacing w:after="0" w:line="80" w:lineRule="exact"/>
        <w:rPr>
          <w:sz w:val="20"/>
          <w:szCs w:val="20"/>
          <w:color w:val="auto"/>
        </w:rPr>
      </w:pPr>
    </w:p>
    <w:p>
      <w:pPr>
        <w:ind w:left="1280" w:right="1180" w:hanging="337"/>
        <w:spacing w:after="0" w:line="283" w:lineRule="auto"/>
        <w:tabs>
          <w:tab w:leader="none" w:pos="1280" w:val="left"/>
        </w:tabs>
        <w:numPr>
          <w:ilvl w:val="0"/>
          <w:numId w:val="49"/>
        </w:numPr>
        <w:rPr>
          <w:rFonts w:ascii="Arial" w:cs="Arial" w:eastAsia="Arial" w:hAnsi="Arial"/>
          <w:sz w:val="17"/>
          <w:szCs w:val="17"/>
          <w:color w:val="003551"/>
        </w:rPr>
      </w:pPr>
      <w:r>
        <w:rPr>
          <w:rFonts w:ascii="Arial" w:cs="Arial" w:eastAsia="Arial" w:hAnsi="Arial"/>
          <w:sz w:val="17"/>
          <w:szCs w:val="17"/>
          <w:color w:val="003551"/>
        </w:rPr>
        <w:t>each person, or group of affiliated persons, known by us to beneficially own more than 5% of our ordinary shares or B Class shares;</w:t>
      </w:r>
    </w:p>
    <w:p>
      <w:pPr>
        <w:spacing w:after="0" w:line="76" w:lineRule="exact"/>
        <w:rPr>
          <w:rFonts w:ascii="Arial" w:cs="Arial" w:eastAsia="Arial" w:hAnsi="Arial"/>
          <w:sz w:val="17"/>
          <w:szCs w:val="17"/>
          <w:color w:val="003551"/>
        </w:rPr>
      </w:pPr>
    </w:p>
    <w:p>
      <w:pPr>
        <w:ind w:left="1280" w:hanging="337"/>
        <w:spacing w:after="0"/>
        <w:tabs>
          <w:tab w:leader="none" w:pos="1280" w:val="left"/>
        </w:tabs>
        <w:numPr>
          <w:ilvl w:val="0"/>
          <w:numId w:val="49"/>
        </w:numPr>
        <w:rPr>
          <w:rFonts w:ascii="Arial" w:cs="Arial" w:eastAsia="Arial" w:hAnsi="Arial"/>
          <w:sz w:val="17"/>
          <w:szCs w:val="17"/>
          <w:color w:val="003551"/>
        </w:rPr>
      </w:pPr>
      <w:r>
        <w:rPr>
          <w:rFonts w:ascii="Arial" w:cs="Arial" w:eastAsia="Arial" w:hAnsi="Arial"/>
          <w:sz w:val="17"/>
          <w:szCs w:val="17"/>
          <w:color w:val="003551"/>
        </w:rPr>
        <w:t>each member of the Board and each executive officer; and</w:t>
      </w:r>
    </w:p>
    <w:p>
      <w:pPr>
        <w:spacing w:after="0" w:line="145" w:lineRule="exact"/>
        <w:rPr>
          <w:rFonts w:ascii="Arial" w:cs="Arial" w:eastAsia="Arial" w:hAnsi="Arial"/>
          <w:sz w:val="17"/>
          <w:szCs w:val="17"/>
          <w:color w:val="003551"/>
        </w:rPr>
      </w:pPr>
    </w:p>
    <w:p>
      <w:pPr>
        <w:ind w:left="1280" w:hanging="337"/>
        <w:spacing w:after="0"/>
        <w:tabs>
          <w:tab w:leader="none" w:pos="1280" w:val="left"/>
        </w:tabs>
        <w:numPr>
          <w:ilvl w:val="0"/>
          <w:numId w:val="49"/>
        </w:numPr>
        <w:rPr>
          <w:rFonts w:ascii="Arial" w:cs="Arial" w:eastAsia="Arial" w:hAnsi="Arial"/>
          <w:sz w:val="17"/>
          <w:szCs w:val="17"/>
          <w:color w:val="003551"/>
        </w:rPr>
      </w:pPr>
      <w:r>
        <w:rPr>
          <w:rFonts w:ascii="Arial" w:cs="Arial" w:eastAsia="Arial" w:hAnsi="Arial"/>
          <w:sz w:val="17"/>
          <w:szCs w:val="17"/>
          <w:color w:val="003551"/>
        </w:rPr>
        <w:t>the members of the Board and our executive officers as a group.</w:t>
      </w:r>
    </w:p>
    <w:p>
      <w:pPr>
        <w:spacing w:after="0" w:line="106" w:lineRule="exact"/>
        <w:rPr>
          <w:sz w:val="20"/>
          <w:szCs w:val="20"/>
          <w:color w:val="auto"/>
        </w:rPr>
      </w:pPr>
    </w:p>
    <w:p>
      <w:pPr>
        <w:ind w:left="940" w:right="760"/>
        <w:spacing w:after="0" w:line="246" w:lineRule="auto"/>
        <w:rPr>
          <w:sz w:val="20"/>
          <w:szCs w:val="20"/>
          <w:color w:val="auto"/>
        </w:rPr>
      </w:pPr>
      <w:r>
        <w:rPr>
          <w:rFonts w:ascii="Arial" w:cs="Arial" w:eastAsia="Arial" w:hAnsi="Arial"/>
          <w:sz w:val="17"/>
          <w:szCs w:val="17"/>
          <w:color w:val="003551"/>
        </w:rPr>
        <w:t>Beneficial ownership is determined in accordance with the rules of the SEC. These rules generally attribute beneficial ownership of securities to persons who possess sole or shared voting power or investment power with respect to those securities. In computing the number of ordinary shares beneficially owned by a person and the percentage beneficial ownership and voting power of that person, we deemed to be outstanding all ordinary shares subject to options or restricted stock units held by that person that are immediately exercisable or that will become exercisable within 60 days of August 31, 2025. We did not, however, deem such shares to be outstanding for the purpose of computing the percentage beneficial ownership or voting power of any other person (except with respect to the percentage beneficial ownership or voting power of all members of the Board and our executive officers as a group).</w:t>
      </w:r>
    </w:p>
    <w:p>
      <w:pPr>
        <w:spacing w:after="0" w:line="70" w:lineRule="exact"/>
        <w:rPr>
          <w:sz w:val="20"/>
          <w:szCs w:val="20"/>
          <w:color w:val="auto"/>
        </w:rPr>
      </w:pPr>
    </w:p>
    <w:p>
      <w:pPr>
        <w:ind w:left="940" w:right="800"/>
        <w:spacing w:after="0" w:line="246" w:lineRule="auto"/>
        <w:rPr>
          <w:sz w:val="20"/>
          <w:szCs w:val="20"/>
          <w:color w:val="auto"/>
        </w:rPr>
      </w:pPr>
      <w:r>
        <w:rPr>
          <w:rFonts w:ascii="Arial" w:cs="Arial" w:eastAsia="Arial" w:hAnsi="Arial"/>
          <w:sz w:val="17"/>
          <w:szCs w:val="17"/>
          <w:color w:val="003551"/>
        </w:rPr>
        <w:t>The percentage of ordinary shares beneficially owned and voting power is based on 271,980,494 ordinary shares and two B Class shares outstanding as of August 31, 2025. The B Class shares are required to be redeemed by IREN on the earlier of (i) when the holder of such B Class shares ceases to be a director due to voluntary retirement, (ii) such B Class shares are transferred in breach of IREN’s constitution,</w:t>
      </w:r>
    </w:p>
    <w:p>
      <w:pPr>
        <w:ind w:left="940" w:right="1240" w:firstLine="3"/>
        <w:spacing w:after="0" w:line="263" w:lineRule="auto"/>
        <w:tabs>
          <w:tab w:leader="none" w:pos="1221" w:val="left"/>
        </w:tabs>
        <w:numPr>
          <w:ilvl w:val="0"/>
          <w:numId w:val="50"/>
        </w:numPr>
        <w:rPr>
          <w:rFonts w:ascii="Arial" w:cs="Arial" w:eastAsia="Arial" w:hAnsi="Arial"/>
          <w:sz w:val="17"/>
          <w:szCs w:val="17"/>
          <w:color w:val="003551"/>
        </w:rPr>
      </w:pPr>
      <w:r>
        <w:rPr>
          <w:rFonts w:ascii="Arial" w:cs="Arial" w:eastAsia="Arial" w:hAnsi="Arial"/>
          <w:sz w:val="17"/>
          <w:szCs w:val="17"/>
          <w:color w:val="003551"/>
        </w:rPr>
        <w:t>liquidation or winding up of IREN, or (iv) November 17, 2033 (i.e., 12 years after IREN’s ordinary shares were first listed on a recognized stock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111125</wp:posOffset>
            </wp:positionV>
            <wp:extent cx="540385" cy="63182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6" w:right="12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40" w:right="740"/>
        <w:spacing w:after="0" w:line="255" w:lineRule="auto"/>
        <w:rPr>
          <w:sz w:val="20"/>
          <w:szCs w:val="20"/>
          <w:color w:val="auto"/>
        </w:rPr>
      </w:pPr>
      <w:r>
        <w:rPr>
          <w:rFonts w:ascii="Arial" w:cs="Arial" w:eastAsia="Arial" w:hAnsi="Arial"/>
          <w:sz w:val="17"/>
          <w:szCs w:val="17"/>
          <w:color w:val="003551"/>
        </w:rPr>
        <w:t>Except as otherwise indicated, all of the shares reflected in the table are ordinary shares and all persons listed below have sole voting and investment power with respect to the shares beneficially owned by them, subject to applicable community property laws. The information is not necessarily indicative of beneficial ownership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65405</wp:posOffset>
            </wp:positionV>
            <wp:extent cx="8255" cy="9969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255" cy="99695"/>
                    </a:xfrm>
                    <a:prstGeom prst="rect">
                      <a:avLst/>
                    </a:prstGeom>
                    <a:noFill/>
                  </pic:spPr>
                </pic:pic>
              </a:graphicData>
            </a:graphic>
          </wp:anchor>
        </w:drawing>
        <w:drawing>
          <wp:anchor simplePos="0" relativeHeight="251657728" behindDoc="1" locked="0" layoutInCell="0" allowOverlap="1">
            <wp:simplePos x="0" y="0"/>
            <wp:positionH relativeFrom="column">
              <wp:posOffset>3362960</wp:posOffset>
            </wp:positionH>
            <wp:positionV relativeFrom="paragraph">
              <wp:posOffset>65405</wp:posOffset>
            </wp:positionV>
            <wp:extent cx="8255" cy="2743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255" cy="274320"/>
                    </a:xfrm>
                    <a:prstGeom prst="rect">
                      <a:avLst/>
                    </a:prstGeom>
                    <a:noFill/>
                  </pic:spPr>
                </pic:pic>
              </a:graphicData>
            </a:graphic>
          </wp:anchor>
        </w:drawing>
        <w:drawing>
          <wp:anchor simplePos="0" relativeHeight="251657728" behindDoc="1" locked="0" layoutInCell="0" allowOverlap="1">
            <wp:simplePos x="0" y="0"/>
            <wp:positionH relativeFrom="column">
              <wp:posOffset>4976495</wp:posOffset>
            </wp:positionH>
            <wp:positionV relativeFrom="paragraph">
              <wp:posOffset>65405</wp:posOffset>
            </wp:positionV>
            <wp:extent cx="8255" cy="2743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255" cy="274320"/>
                    </a:xfrm>
                    <a:prstGeom prst="rect">
                      <a:avLst/>
                    </a:prstGeom>
                    <a:noFill/>
                  </pic:spPr>
                </pic:pic>
              </a:graphicData>
            </a:graphic>
          </wp:anchor>
        </w:drawing>
      </w:r>
    </w:p>
    <w:p>
      <w:pPr>
        <w:spacing w:after="0" w:line="83" w:lineRule="exact"/>
        <w:rPr>
          <w:sz w:val="20"/>
          <w:szCs w:val="20"/>
          <w:color w:val="auto"/>
        </w:rPr>
      </w:pPr>
    </w:p>
    <w:tbl>
      <w:tblPr>
        <w:tblLayout w:type="fixed"/>
        <w:tblInd w:w="940" w:type="dxa"/>
        <w:tblCellMar>
          <w:top w:w="0" w:type="dxa"/>
          <w:left w:w="0" w:type="dxa"/>
          <w:bottom w:w="0" w:type="dxa"/>
          <w:right w:w="0" w:type="dxa"/>
        </w:tblCellMar>
      </w:tblPr>
      <w:tr>
        <w:trPr>
          <w:trHeight w:val="306"/>
        </w:trPr>
        <w:tc>
          <w:tcPr>
            <w:tcW w:w="1640" w:type="dxa"/>
            <w:vAlign w:val="bottom"/>
            <w:shd w:val="clear" w:color="auto" w:fill="77C483"/>
          </w:tcPr>
          <w:p>
            <w:pPr>
              <w:spacing w:after="0"/>
              <w:rPr>
                <w:sz w:val="24"/>
                <w:szCs w:val="24"/>
                <w:color w:val="auto"/>
              </w:rPr>
            </w:pPr>
          </w:p>
        </w:tc>
        <w:tc>
          <w:tcPr>
            <w:tcW w:w="680" w:type="dxa"/>
            <w:vAlign w:val="bottom"/>
            <w:tcBorders>
              <w:left w:val="single" w:sz="8" w:color="77C483"/>
            </w:tcBorders>
            <w:shd w:val="clear" w:color="auto" w:fill="77C483"/>
          </w:tcPr>
          <w:p>
            <w:pPr>
              <w:spacing w:after="0"/>
              <w:rPr>
                <w:sz w:val="24"/>
                <w:szCs w:val="24"/>
                <w:color w:val="auto"/>
              </w:rPr>
            </w:pPr>
          </w:p>
        </w:tc>
        <w:tc>
          <w:tcPr>
            <w:tcW w:w="140" w:type="dxa"/>
            <w:vAlign w:val="bottom"/>
            <w:shd w:val="clear" w:color="auto" w:fill="77C483"/>
          </w:tcPr>
          <w:p>
            <w:pPr>
              <w:spacing w:after="0"/>
              <w:rPr>
                <w:sz w:val="24"/>
                <w:szCs w:val="24"/>
                <w:color w:val="auto"/>
              </w:rPr>
            </w:pPr>
          </w:p>
        </w:tc>
        <w:tc>
          <w:tcPr>
            <w:tcW w:w="1900" w:type="dxa"/>
            <w:vAlign w:val="bottom"/>
            <w:tcBorders>
              <w:right w:val="single" w:sz="8" w:color="77C483"/>
            </w:tcBorders>
            <w:shd w:val="clear" w:color="auto" w:fill="77C483"/>
          </w:tcPr>
          <w:p>
            <w:pPr>
              <w:ind w:left="60"/>
              <w:spacing w:after="0"/>
              <w:rPr>
                <w:sz w:val="20"/>
                <w:szCs w:val="20"/>
                <w:color w:val="auto"/>
              </w:rPr>
            </w:pPr>
            <w:r>
              <w:rPr>
                <w:rFonts w:ascii="Arial" w:cs="Arial" w:eastAsia="Arial" w:hAnsi="Arial"/>
                <w:sz w:val="12"/>
                <w:szCs w:val="12"/>
                <w:b w:val="1"/>
                <w:bCs w:val="1"/>
                <w:color w:val="003551"/>
              </w:rPr>
              <w:t>Ordinary Shares</w:t>
            </w:r>
          </w:p>
        </w:tc>
        <w:tc>
          <w:tcPr>
            <w:tcW w:w="80" w:type="dxa"/>
            <w:vAlign w:val="bottom"/>
            <w:shd w:val="clear" w:color="auto" w:fill="77C483"/>
          </w:tcPr>
          <w:p>
            <w:pPr>
              <w:spacing w:after="0"/>
              <w:rPr>
                <w:sz w:val="24"/>
                <w:szCs w:val="24"/>
                <w:color w:val="auto"/>
              </w:rPr>
            </w:pPr>
          </w:p>
        </w:tc>
        <w:tc>
          <w:tcPr>
            <w:tcW w:w="460" w:type="dxa"/>
            <w:vAlign w:val="bottom"/>
            <w:shd w:val="clear" w:color="auto" w:fill="77C483"/>
          </w:tcPr>
          <w:p>
            <w:pPr>
              <w:spacing w:after="0"/>
              <w:rPr>
                <w:sz w:val="24"/>
                <w:szCs w:val="24"/>
                <w:color w:val="auto"/>
              </w:rPr>
            </w:pPr>
          </w:p>
        </w:tc>
        <w:tc>
          <w:tcPr>
            <w:tcW w:w="160" w:type="dxa"/>
            <w:vAlign w:val="bottom"/>
            <w:shd w:val="clear" w:color="auto" w:fill="77C483"/>
          </w:tcPr>
          <w:p>
            <w:pPr>
              <w:spacing w:after="0"/>
              <w:rPr>
                <w:sz w:val="24"/>
                <w:szCs w:val="24"/>
                <w:color w:val="auto"/>
              </w:rPr>
            </w:pPr>
          </w:p>
        </w:tc>
        <w:tc>
          <w:tcPr>
            <w:tcW w:w="1840" w:type="dxa"/>
            <w:vAlign w:val="bottom"/>
            <w:tcBorders>
              <w:right w:val="single" w:sz="8" w:color="77C483"/>
            </w:tcBorders>
            <w:shd w:val="clear" w:color="auto" w:fill="77C483"/>
          </w:tcPr>
          <w:p>
            <w:pPr>
              <w:ind w:left="120"/>
              <w:spacing w:after="0"/>
              <w:rPr>
                <w:sz w:val="20"/>
                <w:szCs w:val="20"/>
                <w:color w:val="auto"/>
              </w:rPr>
            </w:pPr>
            <w:r>
              <w:rPr>
                <w:rFonts w:ascii="Arial" w:cs="Arial" w:eastAsia="Arial" w:hAnsi="Arial"/>
                <w:sz w:val="12"/>
                <w:szCs w:val="12"/>
                <w:b w:val="1"/>
                <w:bCs w:val="1"/>
                <w:color w:val="003551"/>
              </w:rPr>
              <w:t>B Class Shares</w:t>
            </w:r>
          </w:p>
        </w:tc>
        <w:tc>
          <w:tcPr>
            <w:tcW w:w="80" w:type="dxa"/>
            <w:vAlign w:val="bottom"/>
            <w:shd w:val="clear" w:color="auto" w:fill="77C483"/>
          </w:tcPr>
          <w:p>
            <w:pPr>
              <w:spacing w:after="0"/>
              <w:rPr>
                <w:sz w:val="24"/>
                <w:szCs w:val="24"/>
                <w:color w:val="auto"/>
              </w:rPr>
            </w:pPr>
          </w:p>
        </w:tc>
        <w:tc>
          <w:tcPr>
            <w:tcW w:w="1260" w:type="dxa"/>
            <w:vAlign w:val="bottom"/>
            <w:shd w:val="clear" w:color="auto" w:fill="77C483"/>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640" w:type="dxa"/>
            <w:vAlign w:val="bottom"/>
            <w:tcBorders>
              <w:bottom w:val="single" w:sz="8" w:color="77C483"/>
            </w:tcBorders>
            <w:shd w:val="clear" w:color="auto" w:fill="77C483"/>
          </w:tcPr>
          <w:p>
            <w:pPr>
              <w:spacing w:after="0"/>
              <w:rPr>
                <w:sz w:val="9"/>
                <w:szCs w:val="9"/>
                <w:color w:val="auto"/>
              </w:rPr>
            </w:pPr>
          </w:p>
        </w:tc>
        <w:tc>
          <w:tcPr>
            <w:tcW w:w="680" w:type="dxa"/>
            <w:vAlign w:val="bottom"/>
            <w:tcBorders>
              <w:left w:val="single" w:sz="8" w:color="77C483"/>
              <w:bottom w:val="single" w:sz="8" w:color="77C483"/>
            </w:tcBorders>
            <w:shd w:val="clear" w:color="auto" w:fill="77C483"/>
          </w:tcPr>
          <w:p>
            <w:pPr>
              <w:spacing w:after="0"/>
              <w:rPr>
                <w:sz w:val="9"/>
                <w:szCs w:val="9"/>
                <w:color w:val="auto"/>
              </w:rPr>
            </w:pPr>
          </w:p>
        </w:tc>
        <w:tc>
          <w:tcPr>
            <w:tcW w:w="140" w:type="dxa"/>
            <w:vAlign w:val="bottom"/>
            <w:tcBorders>
              <w:bottom w:val="single" w:sz="8" w:color="77C483"/>
            </w:tcBorders>
            <w:shd w:val="clear" w:color="auto" w:fill="77C483"/>
          </w:tcPr>
          <w:p>
            <w:pPr>
              <w:spacing w:after="0"/>
              <w:rPr>
                <w:sz w:val="9"/>
                <w:szCs w:val="9"/>
                <w:color w:val="auto"/>
              </w:rPr>
            </w:pPr>
          </w:p>
        </w:tc>
        <w:tc>
          <w:tcPr>
            <w:tcW w:w="1900" w:type="dxa"/>
            <w:vAlign w:val="bottom"/>
            <w:tcBorders>
              <w:bottom w:val="single" w:sz="8" w:color="77C483"/>
              <w:right w:val="single" w:sz="8" w:color="77C483"/>
            </w:tcBorders>
            <w:shd w:val="clear" w:color="auto" w:fill="77C483"/>
          </w:tcPr>
          <w:p>
            <w:pPr>
              <w:spacing w:after="0"/>
              <w:rPr>
                <w:sz w:val="9"/>
                <w:szCs w:val="9"/>
                <w:color w:val="auto"/>
              </w:rPr>
            </w:pPr>
          </w:p>
        </w:tc>
        <w:tc>
          <w:tcPr>
            <w:tcW w:w="80" w:type="dxa"/>
            <w:vAlign w:val="bottom"/>
            <w:tcBorders>
              <w:bottom w:val="single" w:sz="8" w:color="003551"/>
            </w:tcBorders>
            <w:shd w:val="clear" w:color="auto" w:fill="77C483"/>
          </w:tcPr>
          <w:p>
            <w:pPr>
              <w:spacing w:after="0"/>
              <w:rPr>
                <w:sz w:val="9"/>
                <w:szCs w:val="9"/>
                <w:color w:val="auto"/>
              </w:rPr>
            </w:pPr>
          </w:p>
        </w:tc>
        <w:tc>
          <w:tcPr>
            <w:tcW w:w="460" w:type="dxa"/>
            <w:vAlign w:val="bottom"/>
            <w:tcBorders>
              <w:bottom w:val="single" w:sz="8" w:color="77C483"/>
            </w:tcBorders>
            <w:shd w:val="clear" w:color="auto" w:fill="77C483"/>
          </w:tcPr>
          <w:p>
            <w:pPr>
              <w:spacing w:after="0"/>
              <w:rPr>
                <w:sz w:val="9"/>
                <w:szCs w:val="9"/>
                <w:color w:val="auto"/>
              </w:rPr>
            </w:pPr>
          </w:p>
        </w:tc>
        <w:tc>
          <w:tcPr>
            <w:tcW w:w="160" w:type="dxa"/>
            <w:vAlign w:val="bottom"/>
            <w:tcBorders>
              <w:bottom w:val="single" w:sz="8" w:color="77C483"/>
            </w:tcBorders>
            <w:shd w:val="clear" w:color="auto" w:fill="77C483"/>
          </w:tcPr>
          <w:p>
            <w:pPr>
              <w:spacing w:after="0"/>
              <w:rPr>
                <w:sz w:val="9"/>
                <w:szCs w:val="9"/>
                <w:color w:val="auto"/>
              </w:rPr>
            </w:pPr>
          </w:p>
        </w:tc>
        <w:tc>
          <w:tcPr>
            <w:tcW w:w="1840" w:type="dxa"/>
            <w:vAlign w:val="bottom"/>
            <w:tcBorders>
              <w:bottom w:val="single" w:sz="8" w:color="77C483"/>
              <w:right w:val="single" w:sz="8" w:color="77C483"/>
            </w:tcBorders>
            <w:shd w:val="clear" w:color="auto" w:fill="77C483"/>
          </w:tcPr>
          <w:p>
            <w:pPr>
              <w:spacing w:after="0"/>
              <w:rPr>
                <w:sz w:val="9"/>
                <w:szCs w:val="9"/>
                <w:color w:val="auto"/>
              </w:rPr>
            </w:pPr>
          </w:p>
        </w:tc>
        <w:tc>
          <w:tcPr>
            <w:tcW w:w="1340" w:type="dxa"/>
            <w:vAlign w:val="bottom"/>
            <w:tcBorders>
              <w:bottom w:val="single" w:sz="8" w:color="77C483"/>
            </w:tcBorders>
            <w:gridSpan w:val="2"/>
            <w:vMerge w:val="restart"/>
            <w:shd w:val="clear" w:color="auto" w:fill="77C483"/>
          </w:tcPr>
          <w:p>
            <w:pPr>
              <w:ind w:left="80"/>
              <w:spacing w:after="0"/>
              <w:rPr>
                <w:sz w:val="20"/>
                <w:szCs w:val="20"/>
                <w:color w:val="auto"/>
              </w:rPr>
            </w:pPr>
            <w:r>
              <w:rPr>
                <w:rFonts w:ascii="Arial" w:cs="Arial" w:eastAsia="Arial" w:hAnsi="Arial"/>
                <w:sz w:val="12"/>
                <w:szCs w:val="12"/>
                <w:b w:val="1"/>
                <w:bCs w:val="1"/>
                <w:color w:val="003551"/>
              </w:rPr>
              <w:t>Percentage of Total</w:t>
            </w:r>
          </w:p>
        </w:tc>
        <w:tc>
          <w:tcPr>
            <w:tcW w:w="0" w:type="dxa"/>
            <w:vAlign w:val="bottom"/>
          </w:tcPr>
          <w:p>
            <w:pPr>
              <w:spacing w:after="0"/>
              <w:rPr>
                <w:sz w:val="1"/>
                <w:szCs w:val="1"/>
                <w:color w:val="auto"/>
              </w:rPr>
            </w:pPr>
          </w:p>
        </w:tc>
      </w:tr>
      <w:tr>
        <w:trPr>
          <w:trHeight w:val="259"/>
        </w:trPr>
        <w:tc>
          <w:tcPr>
            <w:tcW w:w="1640" w:type="dxa"/>
            <w:vAlign w:val="bottom"/>
            <w:vMerge w:val="restart"/>
            <w:shd w:val="clear" w:color="auto" w:fill="77C483"/>
          </w:tcPr>
          <w:p>
            <w:pPr>
              <w:ind w:left="140"/>
              <w:spacing w:after="0"/>
              <w:rPr>
                <w:sz w:val="20"/>
                <w:szCs w:val="20"/>
                <w:color w:val="auto"/>
              </w:rPr>
            </w:pPr>
            <w:r>
              <w:rPr>
                <w:rFonts w:ascii="Arial" w:cs="Arial" w:eastAsia="Arial" w:hAnsi="Arial"/>
                <w:sz w:val="12"/>
                <w:szCs w:val="12"/>
                <w:b w:val="1"/>
                <w:bCs w:val="1"/>
                <w:color w:val="003551"/>
              </w:rPr>
              <w:t>Name</w:t>
            </w:r>
          </w:p>
        </w:tc>
        <w:tc>
          <w:tcPr>
            <w:tcW w:w="680" w:type="dxa"/>
            <w:vAlign w:val="bottom"/>
            <w:tcBorders>
              <w:left w:val="single" w:sz="8" w:color="77C483"/>
            </w:tcBorders>
            <w:vMerge w:val="restart"/>
            <w:shd w:val="clear" w:color="auto" w:fill="77C483"/>
          </w:tcPr>
          <w:p>
            <w:pPr>
              <w:ind w:left="60"/>
              <w:spacing w:after="0"/>
              <w:rPr>
                <w:sz w:val="20"/>
                <w:szCs w:val="20"/>
                <w:color w:val="auto"/>
              </w:rPr>
            </w:pPr>
            <w:r>
              <w:rPr>
                <w:rFonts w:ascii="Arial" w:cs="Arial" w:eastAsia="Arial" w:hAnsi="Arial"/>
                <w:sz w:val="12"/>
                <w:szCs w:val="12"/>
                <w:b w:val="1"/>
                <w:bCs w:val="1"/>
                <w:color w:val="003551"/>
              </w:rPr>
              <w:t>Number</w:t>
            </w:r>
          </w:p>
        </w:tc>
        <w:tc>
          <w:tcPr>
            <w:tcW w:w="2040" w:type="dxa"/>
            <w:vAlign w:val="bottom"/>
            <w:tcBorders>
              <w:right w:val="single" w:sz="8" w:color="77C483"/>
            </w:tcBorders>
            <w:gridSpan w:val="2"/>
            <w:shd w:val="clear" w:color="auto" w:fill="77C483"/>
          </w:tcPr>
          <w:p>
            <w:pPr>
              <w:ind w:left="140"/>
              <w:spacing w:after="0"/>
              <w:rPr>
                <w:sz w:val="20"/>
                <w:szCs w:val="20"/>
                <w:color w:val="auto"/>
              </w:rPr>
            </w:pPr>
            <w:r>
              <w:rPr>
                <w:rFonts w:ascii="Arial" w:cs="Arial" w:eastAsia="Arial" w:hAnsi="Arial"/>
                <w:sz w:val="12"/>
                <w:szCs w:val="12"/>
                <w:b w:val="1"/>
                <w:bCs w:val="1"/>
                <w:color w:val="003551"/>
              </w:rPr>
              <w:t>Percentage of Ordinary Shares</w:t>
            </w:r>
          </w:p>
        </w:tc>
        <w:tc>
          <w:tcPr>
            <w:tcW w:w="540" w:type="dxa"/>
            <w:vAlign w:val="bottom"/>
            <w:gridSpan w:val="2"/>
            <w:vMerge w:val="restart"/>
            <w:shd w:val="clear" w:color="auto" w:fill="77C483"/>
          </w:tcPr>
          <w:p>
            <w:pPr>
              <w:ind w:left="80"/>
              <w:spacing w:after="0"/>
              <w:rPr>
                <w:sz w:val="20"/>
                <w:szCs w:val="20"/>
                <w:color w:val="auto"/>
              </w:rPr>
            </w:pPr>
            <w:r>
              <w:rPr>
                <w:rFonts w:ascii="Arial" w:cs="Arial" w:eastAsia="Arial" w:hAnsi="Arial"/>
                <w:sz w:val="12"/>
                <w:szCs w:val="12"/>
                <w:b w:val="1"/>
                <w:bCs w:val="1"/>
                <w:color w:val="003551"/>
                <w:w w:val="96"/>
              </w:rPr>
              <w:t>Number</w:t>
            </w:r>
          </w:p>
        </w:tc>
        <w:tc>
          <w:tcPr>
            <w:tcW w:w="2000" w:type="dxa"/>
            <w:vAlign w:val="bottom"/>
            <w:tcBorders>
              <w:right w:val="single" w:sz="8" w:color="77C483"/>
            </w:tcBorders>
            <w:gridSpan w:val="2"/>
            <w:shd w:val="clear" w:color="auto" w:fill="77C483"/>
          </w:tcPr>
          <w:p>
            <w:pPr>
              <w:ind w:left="160"/>
              <w:spacing w:after="0"/>
              <w:rPr>
                <w:sz w:val="20"/>
                <w:szCs w:val="20"/>
                <w:color w:val="auto"/>
              </w:rPr>
            </w:pPr>
            <w:r>
              <w:rPr>
                <w:rFonts w:ascii="Arial" w:cs="Arial" w:eastAsia="Arial" w:hAnsi="Arial"/>
                <w:sz w:val="12"/>
                <w:szCs w:val="12"/>
                <w:b w:val="1"/>
                <w:bCs w:val="1"/>
                <w:color w:val="003551"/>
              </w:rPr>
              <w:t>Percentage of B Class Shares</w:t>
            </w:r>
          </w:p>
        </w:tc>
        <w:tc>
          <w:tcPr>
            <w:tcW w:w="1340" w:type="dxa"/>
            <w:vAlign w:val="bottom"/>
            <w:gridSpan w:val="2"/>
            <w:vMerge w:val="continue"/>
            <w:shd w:val="clear" w:color="auto" w:fill="77C483"/>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1640" w:type="dxa"/>
            <w:vAlign w:val="bottom"/>
            <w:vMerge w:val="continue"/>
            <w:shd w:val="clear" w:color="auto" w:fill="77C483"/>
          </w:tcPr>
          <w:p>
            <w:pPr>
              <w:spacing w:after="0"/>
              <w:rPr>
                <w:sz w:val="24"/>
                <w:szCs w:val="24"/>
                <w:color w:val="auto"/>
              </w:rPr>
            </w:pPr>
          </w:p>
        </w:tc>
        <w:tc>
          <w:tcPr>
            <w:tcW w:w="680" w:type="dxa"/>
            <w:vAlign w:val="bottom"/>
            <w:tcBorders>
              <w:left w:val="single" w:sz="8" w:color="77C483"/>
            </w:tcBorders>
            <w:vMerge w:val="continue"/>
            <w:shd w:val="clear" w:color="auto" w:fill="77C483"/>
          </w:tcPr>
          <w:p>
            <w:pPr>
              <w:spacing w:after="0"/>
              <w:rPr>
                <w:sz w:val="24"/>
                <w:szCs w:val="24"/>
                <w:color w:val="auto"/>
              </w:rPr>
            </w:pPr>
          </w:p>
        </w:tc>
        <w:tc>
          <w:tcPr>
            <w:tcW w:w="2040" w:type="dxa"/>
            <w:vAlign w:val="bottom"/>
            <w:tcBorders>
              <w:right w:val="single" w:sz="8" w:color="77C483"/>
            </w:tcBorders>
            <w:gridSpan w:val="2"/>
            <w:shd w:val="clear" w:color="auto" w:fill="77C483"/>
          </w:tcPr>
          <w:p>
            <w:pPr>
              <w:ind w:left="140"/>
              <w:spacing w:after="0"/>
              <w:rPr>
                <w:sz w:val="20"/>
                <w:szCs w:val="20"/>
                <w:color w:val="auto"/>
              </w:rPr>
            </w:pPr>
            <w:r>
              <w:rPr>
                <w:rFonts w:ascii="Arial" w:cs="Arial" w:eastAsia="Arial" w:hAnsi="Arial"/>
                <w:sz w:val="12"/>
                <w:szCs w:val="12"/>
                <w:b w:val="1"/>
                <w:bCs w:val="1"/>
                <w:color w:val="003551"/>
              </w:rPr>
              <w:t>Beneficially Owned</w:t>
            </w:r>
          </w:p>
        </w:tc>
        <w:tc>
          <w:tcPr>
            <w:tcW w:w="540" w:type="dxa"/>
            <w:vAlign w:val="bottom"/>
            <w:gridSpan w:val="2"/>
            <w:vMerge w:val="continue"/>
            <w:shd w:val="clear" w:color="auto" w:fill="77C483"/>
          </w:tcPr>
          <w:p>
            <w:pPr>
              <w:spacing w:after="0"/>
              <w:rPr>
                <w:sz w:val="24"/>
                <w:szCs w:val="24"/>
                <w:color w:val="auto"/>
              </w:rPr>
            </w:pPr>
          </w:p>
        </w:tc>
        <w:tc>
          <w:tcPr>
            <w:tcW w:w="2000" w:type="dxa"/>
            <w:vAlign w:val="bottom"/>
            <w:tcBorders>
              <w:right w:val="single" w:sz="8" w:color="77C483"/>
            </w:tcBorders>
            <w:gridSpan w:val="2"/>
            <w:shd w:val="clear" w:color="auto" w:fill="77C483"/>
          </w:tcPr>
          <w:p>
            <w:pPr>
              <w:ind w:left="160"/>
              <w:spacing w:after="0"/>
              <w:rPr>
                <w:sz w:val="20"/>
                <w:szCs w:val="20"/>
                <w:color w:val="auto"/>
              </w:rPr>
            </w:pPr>
            <w:r>
              <w:rPr>
                <w:rFonts w:ascii="Arial" w:cs="Arial" w:eastAsia="Arial" w:hAnsi="Arial"/>
                <w:sz w:val="12"/>
                <w:szCs w:val="12"/>
                <w:b w:val="1"/>
                <w:bCs w:val="1"/>
                <w:color w:val="003551"/>
              </w:rPr>
              <w:t>Beneficially Owned</w:t>
            </w:r>
          </w:p>
        </w:tc>
        <w:tc>
          <w:tcPr>
            <w:tcW w:w="1340" w:type="dxa"/>
            <w:vAlign w:val="bottom"/>
            <w:gridSpan w:val="2"/>
            <w:shd w:val="clear" w:color="auto" w:fill="77C483"/>
          </w:tcPr>
          <w:p>
            <w:pPr>
              <w:ind w:left="80"/>
              <w:spacing w:after="0"/>
              <w:rPr>
                <w:sz w:val="20"/>
                <w:szCs w:val="20"/>
                <w:color w:val="auto"/>
              </w:rPr>
            </w:pPr>
            <w:r>
              <w:rPr>
                <w:rFonts w:ascii="Arial" w:cs="Arial" w:eastAsia="Arial" w:hAnsi="Arial"/>
                <w:sz w:val="12"/>
                <w:szCs w:val="12"/>
                <w:b w:val="1"/>
                <w:bCs w:val="1"/>
                <w:color w:val="003551"/>
              </w:rPr>
              <w:t xml:space="preserve">Voting Power </w:t>
            </w:r>
            <w:r>
              <w:rPr>
                <w:rFonts w:ascii="Arial" w:cs="Arial" w:eastAsia="Arial" w:hAnsi="Arial"/>
                <w:sz w:val="20"/>
                <w:szCs w:val="20"/>
                <w:b w:val="1"/>
                <w:bCs w:val="1"/>
                <w:color w:val="003551"/>
                <w:vertAlign w:val="superscript"/>
              </w:rPr>
              <w:t>(1)(2)</w:t>
            </w:r>
          </w:p>
        </w:tc>
        <w:tc>
          <w:tcPr>
            <w:tcW w:w="0" w:type="dxa"/>
            <w:vAlign w:val="bottom"/>
          </w:tcPr>
          <w:p>
            <w:pPr>
              <w:spacing w:after="0"/>
              <w:rPr>
                <w:sz w:val="1"/>
                <w:szCs w:val="1"/>
                <w:color w:val="auto"/>
              </w:rPr>
            </w:pPr>
          </w:p>
        </w:tc>
      </w:tr>
      <w:tr>
        <w:trPr>
          <w:trHeight w:val="244"/>
        </w:trPr>
        <w:tc>
          <w:tcPr>
            <w:tcW w:w="1640" w:type="dxa"/>
            <w:vAlign w:val="bottom"/>
          </w:tcPr>
          <w:p>
            <w:pPr>
              <w:ind w:left="140"/>
              <w:spacing w:after="0"/>
              <w:rPr>
                <w:sz w:val="20"/>
                <w:szCs w:val="20"/>
                <w:color w:val="auto"/>
              </w:rPr>
            </w:pPr>
            <w:r>
              <w:rPr>
                <w:rFonts w:ascii="Arial" w:cs="Arial" w:eastAsia="Arial" w:hAnsi="Arial"/>
                <w:sz w:val="12"/>
                <w:szCs w:val="12"/>
                <w:b w:val="1"/>
                <w:bCs w:val="1"/>
                <w:color w:val="003551"/>
              </w:rPr>
              <w:t>Directors and Executive</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1640" w:type="dxa"/>
            <w:vAlign w:val="bottom"/>
          </w:tcPr>
          <w:p>
            <w:pPr>
              <w:ind w:left="140"/>
              <w:spacing w:after="0"/>
              <w:rPr>
                <w:sz w:val="20"/>
                <w:szCs w:val="20"/>
                <w:color w:val="auto"/>
              </w:rPr>
            </w:pPr>
            <w:r>
              <w:rPr>
                <w:rFonts w:ascii="Arial" w:cs="Arial" w:eastAsia="Arial" w:hAnsi="Arial"/>
                <w:sz w:val="12"/>
                <w:szCs w:val="12"/>
                <w:b w:val="1"/>
                <w:bCs w:val="1"/>
                <w:color w:val="003551"/>
              </w:rPr>
              <w:t>Officers:</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0"/>
        </w:trPr>
        <w:tc>
          <w:tcPr>
            <w:tcW w:w="1640" w:type="dxa"/>
            <w:vAlign w:val="bottom"/>
          </w:tcPr>
          <w:p>
            <w:pPr>
              <w:ind w:left="140"/>
              <w:spacing w:after="0"/>
              <w:rPr>
                <w:sz w:val="20"/>
                <w:szCs w:val="20"/>
                <w:color w:val="auto"/>
              </w:rPr>
            </w:pPr>
            <w:r>
              <w:rPr>
                <w:rFonts w:ascii="Arial" w:cs="Arial" w:eastAsia="Arial" w:hAnsi="Arial"/>
                <w:sz w:val="12"/>
                <w:szCs w:val="12"/>
                <w:color w:val="003551"/>
              </w:rPr>
              <w:t>Daniel Roberts</w:t>
            </w:r>
            <w:r>
              <w:rPr>
                <w:rFonts w:ascii="Arial" w:cs="Arial" w:eastAsia="Arial" w:hAnsi="Arial"/>
                <w:sz w:val="20"/>
                <w:szCs w:val="20"/>
                <w:color w:val="003551"/>
                <w:vertAlign w:val="superscript"/>
              </w:rPr>
              <w:t>(3)</w:t>
            </w:r>
          </w:p>
        </w:tc>
        <w:tc>
          <w:tcPr>
            <w:tcW w:w="680" w:type="dxa"/>
            <w:vAlign w:val="bottom"/>
          </w:tcPr>
          <w:p>
            <w:pPr>
              <w:ind w:left="60"/>
              <w:spacing w:after="0"/>
              <w:rPr>
                <w:sz w:val="20"/>
                <w:szCs w:val="20"/>
                <w:color w:val="auto"/>
              </w:rPr>
            </w:pPr>
            <w:r>
              <w:rPr>
                <w:rFonts w:ascii="Arial" w:cs="Arial" w:eastAsia="Arial" w:hAnsi="Arial"/>
                <w:sz w:val="12"/>
                <w:szCs w:val="12"/>
                <w:color w:val="003551"/>
              </w:rPr>
              <w:t>6,251,247</w:t>
            </w:r>
          </w:p>
        </w:tc>
        <w:tc>
          <w:tcPr>
            <w:tcW w:w="2040" w:type="dxa"/>
            <w:vAlign w:val="bottom"/>
            <w:gridSpan w:val="2"/>
          </w:tcPr>
          <w:p>
            <w:pPr>
              <w:ind w:left="140"/>
              <w:spacing w:after="0"/>
              <w:rPr>
                <w:sz w:val="20"/>
                <w:szCs w:val="20"/>
                <w:color w:val="auto"/>
              </w:rPr>
            </w:pPr>
            <w:r>
              <w:rPr>
                <w:rFonts w:ascii="Arial" w:cs="Arial" w:eastAsia="Arial" w:hAnsi="Arial"/>
                <w:sz w:val="12"/>
                <w:szCs w:val="12"/>
                <w:color w:val="003551"/>
              </w:rPr>
              <w:t>2.3%</w:t>
            </w:r>
          </w:p>
        </w:tc>
        <w:tc>
          <w:tcPr>
            <w:tcW w:w="540" w:type="dxa"/>
            <w:vAlign w:val="bottom"/>
            <w:gridSpan w:val="2"/>
          </w:tcPr>
          <w:p>
            <w:pPr>
              <w:ind w:left="80"/>
              <w:spacing w:after="0"/>
              <w:rPr>
                <w:sz w:val="20"/>
                <w:szCs w:val="20"/>
                <w:color w:val="auto"/>
              </w:rPr>
            </w:pPr>
            <w:r>
              <w:rPr>
                <w:rFonts w:ascii="Arial" w:cs="Arial" w:eastAsia="Arial" w:hAnsi="Arial"/>
                <w:sz w:val="12"/>
                <w:szCs w:val="12"/>
                <w:color w:val="003551"/>
              </w:rPr>
              <w:t>1</w:t>
            </w:r>
          </w:p>
        </w:tc>
        <w:tc>
          <w:tcPr>
            <w:tcW w:w="2000" w:type="dxa"/>
            <w:vAlign w:val="bottom"/>
            <w:gridSpan w:val="2"/>
          </w:tcPr>
          <w:p>
            <w:pPr>
              <w:ind w:left="160"/>
              <w:spacing w:after="0"/>
              <w:rPr>
                <w:sz w:val="20"/>
                <w:szCs w:val="20"/>
                <w:color w:val="auto"/>
              </w:rPr>
            </w:pPr>
            <w:r>
              <w:rPr>
                <w:rFonts w:ascii="Arial" w:cs="Arial" w:eastAsia="Arial" w:hAnsi="Arial"/>
                <w:sz w:val="12"/>
                <w:szCs w:val="12"/>
                <w:color w:val="003551"/>
              </w:rPr>
              <w:t>50.0%</w:t>
            </w:r>
          </w:p>
        </w:tc>
        <w:tc>
          <w:tcPr>
            <w:tcW w:w="1340" w:type="dxa"/>
            <w:vAlign w:val="bottom"/>
            <w:gridSpan w:val="2"/>
          </w:tcPr>
          <w:p>
            <w:pPr>
              <w:ind w:left="80"/>
              <w:spacing w:after="0"/>
              <w:rPr>
                <w:sz w:val="20"/>
                <w:szCs w:val="20"/>
                <w:color w:val="auto"/>
              </w:rPr>
            </w:pPr>
            <w:r>
              <w:rPr>
                <w:rFonts w:ascii="Arial" w:cs="Arial" w:eastAsia="Arial" w:hAnsi="Arial"/>
                <w:sz w:val="12"/>
                <w:szCs w:val="12"/>
                <w:color w:val="003551"/>
              </w:rPr>
              <w:t>21.8%</w:t>
            </w:r>
          </w:p>
        </w:tc>
        <w:tc>
          <w:tcPr>
            <w:tcW w:w="0" w:type="dxa"/>
            <w:vAlign w:val="bottom"/>
          </w:tcPr>
          <w:p>
            <w:pPr>
              <w:spacing w:after="0"/>
              <w:rPr>
                <w:sz w:val="1"/>
                <w:szCs w:val="1"/>
                <w:color w:val="auto"/>
              </w:rPr>
            </w:pPr>
          </w:p>
        </w:tc>
      </w:tr>
      <w:tr>
        <w:trPr>
          <w:trHeight w:val="406"/>
        </w:trPr>
        <w:tc>
          <w:tcPr>
            <w:tcW w:w="1640" w:type="dxa"/>
            <w:vAlign w:val="bottom"/>
          </w:tcPr>
          <w:p>
            <w:pPr>
              <w:ind w:left="140"/>
              <w:spacing w:after="0"/>
              <w:rPr>
                <w:sz w:val="20"/>
                <w:szCs w:val="20"/>
                <w:color w:val="auto"/>
              </w:rPr>
            </w:pPr>
            <w:r>
              <w:rPr>
                <w:rFonts w:ascii="Arial" w:cs="Arial" w:eastAsia="Arial" w:hAnsi="Arial"/>
                <w:sz w:val="12"/>
                <w:szCs w:val="12"/>
                <w:color w:val="003551"/>
              </w:rPr>
              <w:t>William Roberts</w:t>
            </w:r>
            <w:r>
              <w:rPr>
                <w:rFonts w:ascii="Arial" w:cs="Arial" w:eastAsia="Arial" w:hAnsi="Arial"/>
                <w:sz w:val="20"/>
                <w:szCs w:val="20"/>
                <w:color w:val="003551"/>
                <w:vertAlign w:val="superscript"/>
              </w:rPr>
              <w:t>(4)</w:t>
            </w:r>
          </w:p>
        </w:tc>
        <w:tc>
          <w:tcPr>
            <w:tcW w:w="680" w:type="dxa"/>
            <w:vAlign w:val="bottom"/>
          </w:tcPr>
          <w:p>
            <w:pPr>
              <w:ind w:left="60"/>
              <w:spacing w:after="0"/>
              <w:rPr>
                <w:sz w:val="20"/>
                <w:szCs w:val="20"/>
                <w:color w:val="auto"/>
              </w:rPr>
            </w:pPr>
            <w:r>
              <w:rPr>
                <w:rFonts w:ascii="Arial" w:cs="Arial" w:eastAsia="Arial" w:hAnsi="Arial"/>
                <w:sz w:val="12"/>
                <w:szCs w:val="12"/>
                <w:color w:val="003551"/>
              </w:rPr>
              <w:t>6,251,247</w:t>
            </w:r>
          </w:p>
        </w:tc>
        <w:tc>
          <w:tcPr>
            <w:tcW w:w="2040" w:type="dxa"/>
            <w:vAlign w:val="bottom"/>
            <w:gridSpan w:val="2"/>
          </w:tcPr>
          <w:p>
            <w:pPr>
              <w:ind w:left="140"/>
              <w:spacing w:after="0"/>
              <w:rPr>
                <w:sz w:val="20"/>
                <w:szCs w:val="20"/>
                <w:color w:val="auto"/>
              </w:rPr>
            </w:pPr>
            <w:r>
              <w:rPr>
                <w:rFonts w:ascii="Arial" w:cs="Arial" w:eastAsia="Arial" w:hAnsi="Arial"/>
                <w:sz w:val="12"/>
                <w:szCs w:val="12"/>
                <w:color w:val="003551"/>
              </w:rPr>
              <w:t>2.3%</w:t>
            </w:r>
          </w:p>
        </w:tc>
        <w:tc>
          <w:tcPr>
            <w:tcW w:w="540" w:type="dxa"/>
            <w:vAlign w:val="bottom"/>
            <w:gridSpan w:val="2"/>
          </w:tcPr>
          <w:p>
            <w:pPr>
              <w:ind w:left="80"/>
              <w:spacing w:after="0"/>
              <w:rPr>
                <w:sz w:val="20"/>
                <w:szCs w:val="20"/>
                <w:color w:val="auto"/>
              </w:rPr>
            </w:pPr>
            <w:r>
              <w:rPr>
                <w:rFonts w:ascii="Arial" w:cs="Arial" w:eastAsia="Arial" w:hAnsi="Arial"/>
                <w:sz w:val="12"/>
                <w:szCs w:val="12"/>
                <w:color w:val="003551"/>
              </w:rPr>
              <w:t>1</w:t>
            </w:r>
          </w:p>
        </w:tc>
        <w:tc>
          <w:tcPr>
            <w:tcW w:w="2000" w:type="dxa"/>
            <w:vAlign w:val="bottom"/>
            <w:gridSpan w:val="2"/>
          </w:tcPr>
          <w:p>
            <w:pPr>
              <w:ind w:left="160"/>
              <w:spacing w:after="0"/>
              <w:rPr>
                <w:sz w:val="20"/>
                <w:szCs w:val="20"/>
                <w:color w:val="auto"/>
              </w:rPr>
            </w:pPr>
            <w:r>
              <w:rPr>
                <w:rFonts w:ascii="Arial" w:cs="Arial" w:eastAsia="Arial" w:hAnsi="Arial"/>
                <w:sz w:val="12"/>
                <w:szCs w:val="12"/>
                <w:color w:val="003551"/>
              </w:rPr>
              <w:t>50.0%</w:t>
            </w:r>
          </w:p>
        </w:tc>
        <w:tc>
          <w:tcPr>
            <w:tcW w:w="1340" w:type="dxa"/>
            <w:vAlign w:val="bottom"/>
            <w:gridSpan w:val="2"/>
          </w:tcPr>
          <w:p>
            <w:pPr>
              <w:ind w:left="80"/>
              <w:spacing w:after="0"/>
              <w:rPr>
                <w:sz w:val="20"/>
                <w:szCs w:val="20"/>
                <w:color w:val="auto"/>
              </w:rPr>
            </w:pPr>
            <w:r>
              <w:rPr>
                <w:rFonts w:ascii="Arial" w:cs="Arial" w:eastAsia="Arial" w:hAnsi="Arial"/>
                <w:sz w:val="12"/>
                <w:szCs w:val="12"/>
                <w:color w:val="003551"/>
              </w:rPr>
              <w:t>21.8%</w:t>
            </w:r>
          </w:p>
        </w:tc>
        <w:tc>
          <w:tcPr>
            <w:tcW w:w="0" w:type="dxa"/>
            <w:vAlign w:val="bottom"/>
          </w:tcPr>
          <w:p>
            <w:pPr>
              <w:spacing w:after="0"/>
              <w:rPr>
                <w:sz w:val="1"/>
                <w:szCs w:val="1"/>
                <w:color w:val="auto"/>
              </w:rPr>
            </w:pPr>
          </w:p>
        </w:tc>
      </w:tr>
      <w:tr>
        <w:trPr>
          <w:trHeight w:val="406"/>
        </w:trPr>
        <w:tc>
          <w:tcPr>
            <w:tcW w:w="1640" w:type="dxa"/>
            <w:vAlign w:val="bottom"/>
          </w:tcPr>
          <w:p>
            <w:pPr>
              <w:ind w:left="140"/>
              <w:spacing w:after="0"/>
              <w:rPr>
                <w:sz w:val="20"/>
                <w:szCs w:val="20"/>
                <w:color w:val="auto"/>
              </w:rPr>
            </w:pPr>
            <w:r>
              <w:rPr>
                <w:rFonts w:ascii="Arial" w:cs="Arial" w:eastAsia="Arial" w:hAnsi="Arial"/>
                <w:sz w:val="12"/>
                <w:szCs w:val="12"/>
                <w:color w:val="003551"/>
              </w:rPr>
              <w:t>David Bartholomew</w:t>
            </w:r>
            <w:r>
              <w:rPr>
                <w:rFonts w:ascii="Arial" w:cs="Arial" w:eastAsia="Arial" w:hAnsi="Arial"/>
                <w:sz w:val="20"/>
                <w:szCs w:val="20"/>
                <w:color w:val="003551"/>
                <w:vertAlign w:val="superscript"/>
              </w:rPr>
              <w:t>(5)</w:t>
            </w:r>
          </w:p>
        </w:tc>
        <w:tc>
          <w:tcPr>
            <w:tcW w:w="680" w:type="dxa"/>
            <w:vAlign w:val="bottom"/>
          </w:tcPr>
          <w:p>
            <w:pPr>
              <w:ind w:left="60"/>
              <w:spacing w:after="0"/>
              <w:rPr>
                <w:sz w:val="20"/>
                <w:szCs w:val="20"/>
                <w:color w:val="auto"/>
              </w:rPr>
            </w:pPr>
            <w:r>
              <w:rPr>
                <w:rFonts w:ascii="Arial" w:cs="Arial" w:eastAsia="Arial" w:hAnsi="Arial"/>
                <w:sz w:val="12"/>
                <w:szCs w:val="12"/>
                <w:color w:val="003551"/>
              </w:rPr>
              <w:t>136,064</w:t>
            </w:r>
          </w:p>
        </w:tc>
        <w:tc>
          <w:tcPr>
            <w:tcW w:w="2040" w:type="dxa"/>
            <w:vAlign w:val="bottom"/>
            <w:gridSpan w:val="2"/>
          </w:tcPr>
          <w:p>
            <w:pPr>
              <w:ind w:left="140"/>
              <w:spacing w:after="0"/>
              <w:rPr>
                <w:sz w:val="20"/>
                <w:szCs w:val="20"/>
                <w:color w:val="auto"/>
              </w:rPr>
            </w:pPr>
            <w:r>
              <w:rPr>
                <w:rFonts w:ascii="Arial" w:cs="Arial" w:eastAsia="Arial" w:hAnsi="Arial"/>
                <w:sz w:val="12"/>
                <w:szCs w:val="12"/>
                <w:color w:val="003551"/>
              </w:rPr>
              <w:t>*</w:t>
            </w:r>
          </w:p>
        </w:tc>
        <w:tc>
          <w:tcPr>
            <w:tcW w:w="540" w:type="dxa"/>
            <w:vAlign w:val="bottom"/>
            <w:gridSpan w:val="2"/>
          </w:tcPr>
          <w:p>
            <w:pPr>
              <w:ind w:left="80"/>
              <w:spacing w:after="0"/>
              <w:rPr>
                <w:sz w:val="20"/>
                <w:szCs w:val="20"/>
                <w:color w:val="auto"/>
              </w:rPr>
            </w:pPr>
            <w:r>
              <w:rPr>
                <w:rFonts w:ascii="Arial" w:cs="Arial" w:eastAsia="Arial" w:hAnsi="Arial"/>
                <w:sz w:val="12"/>
                <w:szCs w:val="12"/>
                <w:color w:val="003551"/>
              </w:rPr>
              <w:t>-</w:t>
            </w:r>
          </w:p>
        </w:tc>
        <w:tc>
          <w:tcPr>
            <w:tcW w:w="2000" w:type="dxa"/>
            <w:vAlign w:val="bottom"/>
            <w:gridSpan w:val="2"/>
          </w:tcPr>
          <w:p>
            <w:pPr>
              <w:ind w:left="160"/>
              <w:spacing w:after="0"/>
              <w:rPr>
                <w:sz w:val="20"/>
                <w:szCs w:val="20"/>
                <w:color w:val="auto"/>
              </w:rPr>
            </w:pPr>
            <w:r>
              <w:rPr>
                <w:rFonts w:ascii="Arial" w:cs="Arial" w:eastAsia="Arial" w:hAnsi="Arial"/>
                <w:sz w:val="12"/>
                <w:szCs w:val="12"/>
                <w:color w:val="003551"/>
              </w:rPr>
              <w:t>-</w:t>
            </w:r>
          </w:p>
        </w:tc>
        <w:tc>
          <w:tcPr>
            <w:tcW w:w="1340" w:type="dxa"/>
            <w:vAlign w:val="bottom"/>
            <w:gridSpan w:val="2"/>
          </w:tcPr>
          <w:p>
            <w:pPr>
              <w:ind w:left="80"/>
              <w:spacing w:after="0"/>
              <w:rPr>
                <w:sz w:val="20"/>
                <w:szCs w:val="20"/>
                <w:color w:val="auto"/>
              </w:rPr>
            </w:pPr>
            <w:r>
              <w:rPr>
                <w:rFonts w:ascii="Arial" w:cs="Arial" w:eastAsia="Arial" w:hAnsi="Arial"/>
                <w:sz w:val="12"/>
                <w:szCs w:val="12"/>
                <w:color w:val="003551"/>
              </w:rPr>
              <w:t>*</w:t>
            </w:r>
          </w:p>
        </w:tc>
        <w:tc>
          <w:tcPr>
            <w:tcW w:w="0" w:type="dxa"/>
            <w:vAlign w:val="bottom"/>
          </w:tcPr>
          <w:p>
            <w:pPr>
              <w:spacing w:after="0"/>
              <w:rPr>
                <w:sz w:val="1"/>
                <w:szCs w:val="1"/>
                <w:color w:val="auto"/>
              </w:rPr>
            </w:pPr>
          </w:p>
        </w:tc>
      </w:tr>
      <w:tr>
        <w:trPr>
          <w:trHeight w:val="406"/>
        </w:trPr>
        <w:tc>
          <w:tcPr>
            <w:tcW w:w="1640" w:type="dxa"/>
            <w:vAlign w:val="bottom"/>
          </w:tcPr>
          <w:p>
            <w:pPr>
              <w:ind w:left="140"/>
              <w:spacing w:after="0"/>
              <w:rPr>
                <w:sz w:val="20"/>
                <w:szCs w:val="20"/>
                <w:color w:val="auto"/>
              </w:rPr>
            </w:pPr>
            <w:r>
              <w:rPr>
                <w:rFonts w:ascii="Arial" w:cs="Arial" w:eastAsia="Arial" w:hAnsi="Arial"/>
                <w:sz w:val="12"/>
                <w:szCs w:val="12"/>
                <w:color w:val="003551"/>
              </w:rPr>
              <w:t>Christopher Guzowski</w:t>
            </w:r>
            <w:r>
              <w:rPr>
                <w:rFonts w:ascii="Arial" w:cs="Arial" w:eastAsia="Arial" w:hAnsi="Arial"/>
                <w:sz w:val="20"/>
                <w:szCs w:val="20"/>
                <w:color w:val="003551"/>
                <w:vertAlign w:val="superscript"/>
              </w:rPr>
              <w:t>(6)</w:t>
            </w:r>
          </w:p>
        </w:tc>
        <w:tc>
          <w:tcPr>
            <w:tcW w:w="680" w:type="dxa"/>
            <w:vAlign w:val="bottom"/>
          </w:tcPr>
          <w:p>
            <w:pPr>
              <w:ind w:left="60"/>
              <w:spacing w:after="0"/>
              <w:rPr>
                <w:sz w:val="20"/>
                <w:szCs w:val="20"/>
                <w:color w:val="auto"/>
              </w:rPr>
            </w:pPr>
            <w:r>
              <w:rPr>
                <w:rFonts w:ascii="Arial" w:cs="Arial" w:eastAsia="Arial" w:hAnsi="Arial"/>
                <w:sz w:val="12"/>
                <w:szCs w:val="12"/>
                <w:color w:val="003551"/>
              </w:rPr>
              <w:t>57,351</w:t>
            </w:r>
          </w:p>
        </w:tc>
        <w:tc>
          <w:tcPr>
            <w:tcW w:w="2040" w:type="dxa"/>
            <w:vAlign w:val="bottom"/>
            <w:gridSpan w:val="2"/>
          </w:tcPr>
          <w:p>
            <w:pPr>
              <w:ind w:left="140"/>
              <w:spacing w:after="0"/>
              <w:rPr>
                <w:sz w:val="20"/>
                <w:szCs w:val="20"/>
                <w:color w:val="auto"/>
              </w:rPr>
            </w:pPr>
            <w:r>
              <w:rPr>
                <w:rFonts w:ascii="Arial" w:cs="Arial" w:eastAsia="Arial" w:hAnsi="Arial"/>
                <w:sz w:val="12"/>
                <w:szCs w:val="12"/>
                <w:color w:val="003551"/>
              </w:rPr>
              <w:t>*</w:t>
            </w:r>
          </w:p>
        </w:tc>
        <w:tc>
          <w:tcPr>
            <w:tcW w:w="540" w:type="dxa"/>
            <w:vAlign w:val="bottom"/>
            <w:gridSpan w:val="2"/>
          </w:tcPr>
          <w:p>
            <w:pPr>
              <w:ind w:left="80"/>
              <w:spacing w:after="0"/>
              <w:rPr>
                <w:sz w:val="20"/>
                <w:szCs w:val="20"/>
                <w:color w:val="auto"/>
              </w:rPr>
            </w:pPr>
            <w:r>
              <w:rPr>
                <w:rFonts w:ascii="Arial" w:cs="Arial" w:eastAsia="Arial" w:hAnsi="Arial"/>
                <w:sz w:val="12"/>
                <w:szCs w:val="12"/>
                <w:color w:val="003551"/>
              </w:rPr>
              <w:t>-</w:t>
            </w:r>
          </w:p>
        </w:tc>
        <w:tc>
          <w:tcPr>
            <w:tcW w:w="2000" w:type="dxa"/>
            <w:vAlign w:val="bottom"/>
            <w:gridSpan w:val="2"/>
          </w:tcPr>
          <w:p>
            <w:pPr>
              <w:ind w:left="160"/>
              <w:spacing w:after="0"/>
              <w:rPr>
                <w:sz w:val="20"/>
                <w:szCs w:val="20"/>
                <w:color w:val="auto"/>
              </w:rPr>
            </w:pPr>
            <w:r>
              <w:rPr>
                <w:rFonts w:ascii="Arial" w:cs="Arial" w:eastAsia="Arial" w:hAnsi="Arial"/>
                <w:sz w:val="12"/>
                <w:szCs w:val="12"/>
                <w:color w:val="003551"/>
              </w:rPr>
              <w:t>-</w:t>
            </w:r>
          </w:p>
        </w:tc>
        <w:tc>
          <w:tcPr>
            <w:tcW w:w="1340" w:type="dxa"/>
            <w:vAlign w:val="bottom"/>
            <w:gridSpan w:val="2"/>
          </w:tcPr>
          <w:p>
            <w:pPr>
              <w:ind w:left="80"/>
              <w:spacing w:after="0"/>
              <w:rPr>
                <w:sz w:val="20"/>
                <w:szCs w:val="20"/>
                <w:color w:val="auto"/>
              </w:rPr>
            </w:pPr>
            <w:r>
              <w:rPr>
                <w:rFonts w:ascii="Arial" w:cs="Arial" w:eastAsia="Arial" w:hAnsi="Arial"/>
                <w:sz w:val="12"/>
                <w:szCs w:val="12"/>
                <w:color w:val="003551"/>
              </w:rPr>
              <w:t>*</w:t>
            </w:r>
          </w:p>
        </w:tc>
        <w:tc>
          <w:tcPr>
            <w:tcW w:w="0" w:type="dxa"/>
            <w:vAlign w:val="bottom"/>
          </w:tcPr>
          <w:p>
            <w:pPr>
              <w:spacing w:after="0"/>
              <w:rPr>
                <w:sz w:val="1"/>
                <w:szCs w:val="1"/>
                <w:color w:val="auto"/>
              </w:rPr>
            </w:pPr>
          </w:p>
        </w:tc>
      </w:tr>
      <w:tr>
        <w:trPr>
          <w:trHeight w:val="406"/>
        </w:trPr>
        <w:tc>
          <w:tcPr>
            <w:tcW w:w="1640" w:type="dxa"/>
            <w:vAlign w:val="bottom"/>
          </w:tcPr>
          <w:p>
            <w:pPr>
              <w:ind w:left="140"/>
              <w:spacing w:after="0"/>
              <w:rPr>
                <w:sz w:val="20"/>
                <w:szCs w:val="20"/>
                <w:color w:val="auto"/>
              </w:rPr>
            </w:pPr>
            <w:r>
              <w:rPr>
                <w:rFonts w:ascii="Arial" w:cs="Arial" w:eastAsia="Arial" w:hAnsi="Arial"/>
                <w:sz w:val="12"/>
                <w:szCs w:val="12"/>
                <w:color w:val="003551"/>
              </w:rPr>
              <w:t>Michael Alfred</w:t>
            </w:r>
            <w:r>
              <w:rPr>
                <w:rFonts w:ascii="Arial" w:cs="Arial" w:eastAsia="Arial" w:hAnsi="Arial"/>
                <w:sz w:val="20"/>
                <w:szCs w:val="20"/>
                <w:color w:val="003551"/>
                <w:vertAlign w:val="superscript"/>
              </w:rPr>
              <w:t>(7)</w:t>
            </w:r>
          </w:p>
        </w:tc>
        <w:tc>
          <w:tcPr>
            <w:tcW w:w="680" w:type="dxa"/>
            <w:vAlign w:val="bottom"/>
          </w:tcPr>
          <w:p>
            <w:pPr>
              <w:ind w:left="60"/>
              <w:spacing w:after="0"/>
              <w:rPr>
                <w:sz w:val="20"/>
                <w:szCs w:val="20"/>
                <w:color w:val="auto"/>
              </w:rPr>
            </w:pPr>
            <w:r>
              <w:rPr>
                <w:rFonts w:ascii="Arial" w:cs="Arial" w:eastAsia="Arial" w:hAnsi="Arial"/>
                <w:sz w:val="12"/>
                <w:szCs w:val="12"/>
                <w:color w:val="003551"/>
              </w:rPr>
              <w:t>841,753</w:t>
            </w:r>
          </w:p>
        </w:tc>
        <w:tc>
          <w:tcPr>
            <w:tcW w:w="2040" w:type="dxa"/>
            <w:vAlign w:val="bottom"/>
            <w:gridSpan w:val="2"/>
          </w:tcPr>
          <w:p>
            <w:pPr>
              <w:ind w:left="140"/>
              <w:spacing w:after="0"/>
              <w:rPr>
                <w:sz w:val="20"/>
                <w:szCs w:val="20"/>
                <w:color w:val="auto"/>
              </w:rPr>
            </w:pPr>
            <w:r>
              <w:rPr>
                <w:rFonts w:ascii="Arial" w:cs="Arial" w:eastAsia="Arial" w:hAnsi="Arial"/>
                <w:sz w:val="12"/>
                <w:szCs w:val="12"/>
                <w:color w:val="003551"/>
              </w:rPr>
              <w:t>*</w:t>
            </w:r>
          </w:p>
        </w:tc>
        <w:tc>
          <w:tcPr>
            <w:tcW w:w="540" w:type="dxa"/>
            <w:vAlign w:val="bottom"/>
            <w:gridSpan w:val="2"/>
          </w:tcPr>
          <w:p>
            <w:pPr>
              <w:ind w:left="80"/>
              <w:spacing w:after="0"/>
              <w:rPr>
                <w:sz w:val="20"/>
                <w:szCs w:val="20"/>
                <w:color w:val="auto"/>
              </w:rPr>
            </w:pPr>
            <w:r>
              <w:rPr>
                <w:rFonts w:ascii="Arial" w:cs="Arial" w:eastAsia="Arial" w:hAnsi="Arial"/>
                <w:sz w:val="12"/>
                <w:szCs w:val="12"/>
                <w:color w:val="003551"/>
              </w:rPr>
              <w:t>-</w:t>
            </w:r>
          </w:p>
        </w:tc>
        <w:tc>
          <w:tcPr>
            <w:tcW w:w="2000" w:type="dxa"/>
            <w:vAlign w:val="bottom"/>
            <w:gridSpan w:val="2"/>
          </w:tcPr>
          <w:p>
            <w:pPr>
              <w:ind w:left="160"/>
              <w:spacing w:after="0"/>
              <w:rPr>
                <w:sz w:val="20"/>
                <w:szCs w:val="20"/>
                <w:color w:val="auto"/>
              </w:rPr>
            </w:pPr>
            <w:r>
              <w:rPr>
                <w:rFonts w:ascii="Arial" w:cs="Arial" w:eastAsia="Arial" w:hAnsi="Arial"/>
                <w:sz w:val="12"/>
                <w:szCs w:val="12"/>
                <w:color w:val="003551"/>
              </w:rPr>
              <w:t>-</w:t>
            </w:r>
          </w:p>
        </w:tc>
        <w:tc>
          <w:tcPr>
            <w:tcW w:w="1340" w:type="dxa"/>
            <w:vAlign w:val="bottom"/>
            <w:gridSpan w:val="2"/>
          </w:tcPr>
          <w:p>
            <w:pPr>
              <w:ind w:left="80"/>
              <w:spacing w:after="0"/>
              <w:rPr>
                <w:sz w:val="20"/>
                <w:szCs w:val="20"/>
                <w:color w:val="auto"/>
              </w:rPr>
            </w:pPr>
            <w:r>
              <w:rPr>
                <w:rFonts w:ascii="Arial" w:cs="Arial" w:eastAsia="Arial" w:hAnsi="Arial"/>
                <w:sz w:val="12"/>
                <w:szCs w:val="12"/>
                <w:color w:val="003551"/>
              </w:rPr>
              <w:t>*</w:t>
            </w:r>
          </w:p>
        </w:tc>
        <w:tc>
          <w:tcPr>
            <w:tcW w:w="0" w:type="dxa"/>
            <w:vAlign w:val="bottom"/>
          </w:tcPr>
          <w:p>
            <w:pPr>
              <w:spacing w:after="0"/>
              <w:rPr>
                <w:sz w:val="1"/>
                <w:szCs w:val="1"/>
                <w:color w:val="auto"/>
              </w:rPr>
            </w:pPr>
          </w:p>
        </w:tc>
      </w:tr>
      <w:tr>
        <w:trPr>
          <w:trHeight w:val="406"/>
        </w:trPr>
        <w:tc>
          <w:tcPr>
            <w:tcW w:w="1640" w:type="dxa"/>
            <w:vAlign w:val="bottom"/>
          </w:tcPr>
          <w:p>
            <w:pPr>
              <w:ind w:left="140"/>
              <w:spacing w:after="0"/>
              <w:rPr>
                <w:sz w:val="20"/>
                <w:szCs w:val="20"/>
                <w:color w:val="auto"/>
              </w:rPr>
            </w:pPr>
            <w:r>
              <w:rPr>
                <w:rFonts w:ascii="Arial" w:cs="Arial" w:eastAsia="Arial" w:hAnsi="Arial"/>
                <w:sz w:val="12"/>
                <w:szCs w:val="12"/>
                <w:color w:val="003551"/>
              </w:rPr>
              <w:t>Sunita Parasuraman</w:t>
            </w:r>
            <w:r>
              <w:rPr>
                <w:rFonts w:ascii="Arial" w:cs="Arial" w:eastAsia="Arial" w:hAnsi="Arial"/>
                <w:sz w:val="20"/>
                <w:szCs w:val="20"/>
                <w:color w:val="003551"/>
                <w:vertAlign w:val="superscript"/>
              </w:rPr>
              <w:t>(8)</w:t>
            </w:r>
          </w:p>
        </w:tc>
        <w:tc>
          <w:tcPr>
            <w:tcW w:w="680" w:type="dxa"/>
            <w:vAlign w:val="bottom"/>
          </w:tcPr>
          <w:p>
            <w:pPr>
              <w:ind w:left="60"/>
              <w:spacing w:after="0"/>
              <w:rPr>
                <w:sz w:val="20"/>
                <w:szCs w:val="20"/>
                <w:color w:val="auto"/>
              </w:rPr>
            </w:pPr>
            <w:r>
              <w:rPr>
                <w:rFonts w:ascii="Arial" w:cs="Arial" w:eastAsia="Arial" w:hAnsi="Arial"/>
                <w:sz w:val="12"/>
                <w:szCs w:val="12"/>
                <w:color w:val="003551"/>
              </w:rPr>
              <w:t>30,866</w:t>
            </w:r>
          </w:p>
        </w:tc>
        <w:tc>
          <w:tcPr>
            <w:tcW w:w="2040" w:type="dxa"/>
            <w:vAlign w:val="bottom"/>
            <w:gridSpan w:val="2"/>
          </w:tcPr>
          <w:p>
            <w:pPr>
              <w:ind w:left="140"/>
              <w:spacing w:after="0"/>
              <w:rPr>
                <w:sz w:val="20"/>
                <w:szCs w:val="20"/>
                <w:color w:val="auto"/>
              </w:rPr>
            </w:pPr>
            <w:r>
              <w:rPr>
                <w:rFonts w:ascii="Arial" w:cs="Arial" w:eastAsia="Arial" w:hAnsi="Arial"/>
                <w:sz w:val="12"/>
                <w:szCs w:val="12"/>
                <w:color w:val="003551"/>
              </w:rPr>
              <w:t>*</w:t>
            </w:r>
          </w:p>
        </w:tc>
        <w:tc>
          <w:tcPr>
            <w:tcW w:w="540" w:type="dxa"/>
            <w:vAlign w:val="bottom"/>
            <w:gridSpan w:val="2"/>
          </w:tcPr>
          <w:p>
            <w:pPr>
              <w:ind w:left="80"/>
              <w:spacing w:after="0"/>
              <w:rPr>
                <w:sz w:val="20"/>
                <w:szCs w:val="20"/>
                <w:color w:val="auto"/>
              </w:rPr>
            </w:pPr>
            <w:r>
              <w:rPr>
                <w:rFonts w:ascii="Arial" w:cs="Arial" w:eastAsia="Arial" w:hAnsi="Arial"/>
                <w:sz w:val="12"/>
                <w:szCs w:val="12"/>
                <w:color w:val="003551"/>
              </w:rPr>
              <w:t>-</w:t>
            </w:r>
          </w:p>
        </w:tc>
        <w:tc>
          <w:tcPr>
            <w:tcW w:w="2000" w:type="dxa"/>
            <w:vAlign w:val="bottom"/>
            <w:gridSpan w:val="2"/>
          </w:tcPr>
          <w:p>
            <w:pPr>
              <w:ind w:left="160"/>
              <w:spacing w:after="0"/>
              <w:rPr>
                <w:sz w:val="20"/>
                <w:szCs w:val="20"/>
                <w:color w:val="auto"/>
              </w:rPr>
            </w:pPr>
            <w:r>
              <w:rPr>
                <w:rFonts w:ascii="Arial" w:cs="Arial" w:eastAsia="Arial" w:hAnsi="Arial"/>
                <w:sz w:val="12"/>
                <w:szCs w:val="12"/>
                <w:color w:val="003551"/>
              </w:rPr>
              <w:t>-</w:t>
            </w:r>
          </w:p>
        </w:tc>
        <w:tc>
          <w:tcPr>
            <w:tcW w:w="1340" w:type="dxa"/>
            <w:vAlign w:val="bottom"/>
            <w:gridSpan w:val="2"/>
          </w:tcPr>
          <w:p>
            <w:pPr>
              <w:ind w:left="80"/>
              <w:spacing w:after="0"/>
              <w:rPr>
                <w:sz w:val="20"/>
                <w:szCs w:val="20"/>
                <w:color w:val="auto"/>
              </w:rPr>
            </w:pPr>
            <w:r>
              <w:rPr>
                <w:rFonts w:ascii="Arial" w:cs="Arial" w:eastAsia="Arial" w:hAnsi="Arial"/>
                <w:sz w:val="12"/>
                <w:szCs w:val="12"/>
                <w:color w:val="003551"/>
              </w:rPr>
              <w:t>*</w:t>
            </w:r>
          </w:p>
        </w:tc>
        <w:tc>
          <w:tcPr>
            <w:tcW w:w="0" w:type="dxa"/>
            <w:vAlign w:val="bottom"/>
          </w:tcPr>
          <w:p>
            <w:pPr>
              <w:spacing w:after="0"/>
              <w:rPr>
                <w:sz w:val="1"/>
                <w:szCs w:val="1"/>
                <w:color w:val="auto"/>
              </w:rPr>
            </w:pPr>
          </w:p>
        </w:tc>
      </w:tr>
      <w:tr>
        <w:trPr>
          <w:trHeight w:val="406"/>
        </w:trPr>
        <w:tc>
          <w:tcPr>
            <w:tcW w:w="1640" w:type="dxa"/>
            <w:vAlign w:val="bottom"/>
          </w:tcPr>
          <w:p>
            <w:pPr>
              <w:ind w:left="140"/>
              <w:spacing w:after="0"/>
              <w:rPr>
                <w:sz w:val="20"/>
                <w:szCs w:val="20"/>
                <w:color w:val="auto"/>
              </w:rPr>
            </w:pPr>
            <w:r>
              <w:rPr>
                <w:rFonts w:ascii="Arial" w:cs="Arial" w:eastAsia="Arial" w:hAnsi="Arial"/>
                <w:sz w:val="12"/>
                <w:szCs w:val="12"/>
                <w:color w:val="003551"/>
              </w:rPr>
              <w:t>Belinda Nucifora</w:t>
            </w:r>
            <w:r>
              <w:rPr>
                <w:rFonts w:ascii="Arial" w:cs="Arial" w:eastAsia="Arial" w:hAnsi="Arial"/>
                <w:sz w:val="20"/>
                <w:szCs w:val="20"/>
                <w:color w:val="003551"/>
                <w:vertAlign w:val="superscript"/>
              </w:rPr>
              <w:t>(9)</w:t>
            </w:r>
          </w:p>
        </w:tc>
        <w:tc>
          <w:tcPr>
            <w:tcW w:w="680" w:type="dxa"/>
            <w:vAlign w:val="bottom"/>
          </w:tcPr>
          <w:p>
            <w:pPr>
              <w:ind w:left="60"/>
              <w:spacing w:after="0"/>
              <w:rPr>
                <w:sz w:val="20"/>
                <w:szCs w:val="20"/>
                <w:color w:val="auto"/>
              </w:rPr>
            </w:pPr>
            <w:r>
              <w:rPr>
                <w:rFonts w:ascii="Arial" w:cs="Arial" w:eastAsia="Arial" w:hAnsi="Arial"/>
                <w:sz w:val="12"/>
                <w:szCs w:val="12"/>
                <w:color w:val="003551"/>
              </w:rPr>
              <w:t>94,164</w:t>
            </w:r>
          </w:p>
        </w:tc>
        <w:tc>
          <w:tcPr>
            <w:tcW w:w="2040" w:type="dxa"/>
            <w:vAlign w:val="bottom"/>
            <w:gridSpan w:val="2"/>
          </w:tcPr>
          <w:p>
            <w:pPr>
              <w:ind w:left="140"/>
              <w:spacing w:after="0"/>
              <w:rPr>
                <w:sz w:val="20"/>
                <w:szCs w:val="20"/>
                <w:color w:val="auto"/>
              </w:rPr>
            </w:pPr>
            <w:r>
              <w:rPr>
                <w:rFonts w:ascii="Arial" w:cs="Arial" w:eastAsia="Arial" w:hAnsi="Arial"/>
                <w:sz w:val="12"/>
                <w:szCs w:val="12"/>
                <w:color w:val="003551"/>
              </w:rPr>
              <w:t>*</w:t>
            </w:r>
          </w:p>
        </w:tc>
        <w:tc>
          <w:tcPr>
            <w:tcW w:w="540" w:type="dxa"/>
            <w:vAlign w:val="bottom"/>
            <w:gridSpan w:val="2"/>
          </w:tcPr>
          <w:p>
            <w:pPr>
              <w:ind w:left="80"/>
              <w:spacing w:after="0"/>
              <w:rPr>
                <w:sz w:val="20"/>
                <w:szCs w:val="20"/>
                <w:color w:val="auto"/>
              </w:rPr>
            </w:pPr>
            <w:r>
              <w:rPr>
                <w:rFonts w:ascii="Arial" w:cs="Arial" w:eastAsia="Arial" w:hAnsi="Arial"/>
                <w:sz w:val="12"/>
                <w:szCs w:val="12"/>
                <w:color w:val="003551"/>
              </w:rPr>
              <w:t>-</w:t>
            </w:r>
          </w:p>
        </w:tc>
        <w:tc>
          <w:tcPr>
            <w:tcW w:w="2000" w:type="dxa"/>
            <w:vAlign w:val="bottom"/>
            <w:gridSpan w:val="2"/>
          </w:tcPr>
          <w:p>
            <w:pPr>
              <w:ind w:left="160"/>
              <w:spacing w:after="0"/>
              <w:rPr>
                <w:sz w:val="20"/>
                <w:szCs w:val="20"/>
                <w:color w:val="auto"/>
              </w:rPr>
            </w:pPr>
            <w:r>
              <w:rPr>
                <w:rFonts w:ascii="Arial" w:cs="Arial" w:eastAsia="Arial" w:hAnsi="Arial"/>
                <w:sz w:val="12"/>
                <w:szCs w:val="12"/>
                <w:color w:val="003551"/>
              </w:rPr>
              <w:t>-</w:t>
            </w:r>
          </w:p>
        </w:tc>
        <w:tc>
          <w:tcPr>
            <w:tcW w:w="1340" w:type="dxa"/>
            <w:vAlign w:val="bottom"/>
            <w:gridSpan w:val="2"/>
          </w:tcPr>
          <w:p>
            <w:pPr>
              <w:ind w:left="80"/>
              <w:spacing w:after="0"/>
              <w:rPr>
                <w:sz w:val="20"/>
                <w:szCs w:val="20"/>
                <w:color w:val="auto"/>
              </w:rPr>
            </w:pPr>
            <w:r>
              <w:rPr>
                <w:rFonts w:ascii="Arial" w:cs="Arial" w:eastAsia="Arial" w:hAnsi="Arial"/>
                <w:sz w:val="12"/>
                <w:szCs w:val="12"/>
                <w:color w:val="003551"/>
              </w:rPr>
              <w:t>*</w:t>
            </w:r>
          </w:p>
        </w:tc>
        <w:tc>
          <w:tcPr>
            <w:tcW w:w="0" w:type="dxa"/>
            <w:vAlign w:val="bottom"/>
          </w:tcPr>
          <w:p>
            <w:pPr>
              <w:spacing w:after="0"/>
              <w:rPr>
                <w:sz w:val="1"/>
                <w:szCs w:val="1"/>
                <w:color w:val="auto"/>
              </w:rPr>
            </w:pPr>
          </w:p>
        </w:tc>
      </w:tr>
      <w:tr>
        <w:trPr>
          <w:trHeight w:val="30"/>
        </w:trPr>
        <w:tc>
          <w:tcPr>
            <w:tcW w:w="1640" w:type="dxa"/>
            <w:vAlign w:val="bottom"/>
            <w:vMerge w:val="restart"/>
          </w:tcPr>
          <w:p>
            <w:pPr>
              <w:ind w:left="140"/>
              <w:spacing w:after="0"/>
              <w:rPr>
                <w:sz w:val="20"/>
                <w:szCs w:val="20"/>
                <w:color w:val="auto"/>
              </w:rPr>
            </w:pPr>
            <w:r>
              <w:rPr>
                <w:rFonts w:ascii="Arial" w:cs="Arial" w:eastAsia="Arial" w:hAnsi="Arial"/>
                <w:sz w:val="12"/>
                <w:szCs w:val="12"/>
                <w:color w:val="003551"/>
              </w:rPr>
              <w:t>All directors and executive</w:t>
            </w:r>
          </w:p>
        </w:tc>
        <w:tc>
          <w:tcPr>
            <w:tcW w:w="680" w:type="dxa"/>
            <w:vAlign w:val="bottom"/>
            <w:tcBorders>
              <w:left w:val="single" w:sz="8" w:color="77C483"/>
            </w:tcBorders>
          </w:tcPr>
          <w:p>
            <w:pPr>
              <w:spacing w:after="0"/>
              <w:rPr>
                <w:sz w:val="2"/>
                <w:szCs w:val="2"/>
                <w:color w:val="auto"/>
              </w:rPr>
            </w:pPr>
          </w:p>
        </w:tc>
        <w:tc>
          <w:tcPr>
            <w:tcW w:w="140" w:type="dxa"/>
            <w:vAlign w:val="bottom"/>
            <w:shd w:val="clear" w:color="auto" w:fill="77C483"/>
          </w:tcPr>
          <w:p>
            <w:pPr>
              <w:spacing w:after="0"/>
              <w:rPr>
                <w:sz w:val="2"/>
                <w:szCs w:val="2"/>
                <w:color w:val="auto"/>
              </w:rPr>
            </w:pPr>
          </w:p>
        </w:tc>
        <w:tc>
          <w:tcPr>
            <w:tcW w:w="1900" w:type="dxa"/>
            <w:vAlign w:val="bottom"/>
            <w:tcBorders>
              <w:right w:val="single" w:sz="8" w:color="77C483"/>
            </w:tcBorders>
          </w:tcPr>
          <w:p>
            <w:pPr>
              <w:spacing w:after="0"/>
              <w:rPr>
                <w:sz w:val="2"/>
                <w:szCs w:val="2"/>
                <w:color w:val="auto"/>
              </w:rPr>
            </w:pPr>
          </w:p>
        </w:tc>
        <w:tc>
          <w:tcPr>
            <w:tcW w:w="80" w:type="dxa"/>
            <w:vAlign w:val="bottom"/>
            <w:shd w:val="clear" w:color="auto" w:fill="77C483"/>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77C483"/>
          </w:tcPr>
          <w:p>
            <w:pPr>
              <w:spacing w:after="0"/>
              <w:rPr>
                <w:sz w:val="2"/>
                <w:szCs w:val="2"/>
                <w:color w:val="auto"/>
              </w:rPr>
            </w:pPr>
          </w:p>
        </w:tc>
        <w:tc>
          <w:tcPr>
            <w:tcW w:w="1840" w:type="dxa"/>
            <w:vAlign w:val="bottom"/>
            <w:tcBorders>
              <w:right w:val="single" w:sz="8" w:color="77C483"/>
            </w:tcBorders>
          </w:tcPr>
          <w:p>
            <w:pPr>
              <w:spacing w:after="0"/>
              <w:rPr>
                <w:sz w:val="2"/>
                <w:szCs w:val="2"/>
                <w:color w:val="auto"/>
              </w:rPr>
            </w:pPr>
          </w:p>
        </w:tc>
        <w:tc>
          <w:tcPr>
            <w:tcW w:w="80" w:type="dxa"/>
            <w:vAlign w:val="bottom"/>
            <w:shd w:val="clear" w:color="auto" w:fill="77C483"/>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1640" w:type="dxa"/>
            <w:vAlign w:val="bottom"/>
            <w:vMerge w:val="continue"/>
          </w:tcPr>
          <w:p>
            <w:pPr>
              <w:spacing w:after="0"/>
              <w:rPr>
                <w:sz w:val="19"/>
                <w:szCs w:val="19"/>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color w:val="003551"/>
                <w:w w:val="99"/>
              </w:rPr>
              <w:t>13,662,692</w:t>
            </w:r>
          </w:p>
        </w:tc>
        <w:tc>
          <w:tcPr>
            <w:tcW w:w="2040" w:type="dxa"/>
            <w:vAlign w:val="bottom"/>
            <w:gridSpan w:val="2"/>
            <w:vMerge w:val="restart"/>
          </w:tcPr>
          <w:p>
            <w:pPr>
              <w:ind w:left="140"/>
              <w:spacing w:after="0"/>
              <w:rPr>
                <w:sz w:val="20"/>
                <w:szCs w:val="20"/>
                <w:color w:val="auto"/>
              </w:rPr>
            </w:pPr>
            <w:r>
              <w:rPr>
                <w:rFonts w:ascii="Arial" w:cs="Arial" w:eastAsia="Arial" w:hAnsi="Arial"/>
                <w:sz w:val="12"/>
                <w:szCs w:val="12"/>
                <w:color w:val="003551"/>
              </w:rPr>
              <w:t>4.6%</w:t>
            </w:r>
          </w:p>
        </w:tc>
        <w:tc>
          <w:tcPr>
            <w:tcW w:w="540" w:type="dxa"/>
            <w:vAlign w:val="bottom"/>
            <w:gridSpan w:val="2"/>
            <w:vMerge w:val="restart"/>
          </w:tcPr>
          <w:p>
            <w:pPr>
              <w:ind w:left="80"/>
              <w:spacing w:after="0"/>
              <w:rPr>
                <w:sz w:val="20"/>
                <w:szCs w:val="20"/>
                <w:color w:val="auto"/>
              </w:rPr>
            </w:pPr>
            <w:r>
              <w:rPr>
                <w:rFonts w:ascii="Arial" w:cs="Arial" w:eastAsia="Arial" w:hAnsi="Arial"/>
                <w:sz w:val="12"/>
                <w:szCs w:val="12"/>
                <w:color w:val="003551"/>
              </w:rPr>
              <w:t>2</w:t>
            </w:r>
          </w:p>
        </w:tc>
        <w:tc>
          <w:tcPr>
            <w:tcW w:w="2000" w:type="dxa"/>
            <w:vAlign w:val="bottom"/>
            <w:gridSpan w:val="2"/>
            <w:vMerge w:val="restart"/>
          </w:tcPr>
          <w:p>
            <w:pPr>
              <w:ind w:left="160"/>
              <w:spacing w:after="0"/>
              <w:rPr>
                <w:sz w:val="20"/>
                <w:szCs w:val="20"/>
                <w:color w:val="auto"/>
              </w:rPr>
            </w:pPr>
            <w:r>
              <w:rPr>
                <w:rFonts w:ascii="Arial" w:cs="Arial" w:eastAsia="Arial" w:hAnsi="Arial"/>
                <w:sz w:val="12"/>
                <w:szCs w:val="12"/>
                <w:color w:val="003551"/>
              </w:rPr>
              <w:t>100.0%</w:t>
            </w:r>
          </w:p>
        </w:tc>
        <w:tc>
          <w:tcPr>
            <w:tcW w:w="1340" w:type="dxa"/>
            <w:vAlign w:val="bottom"/>
            <w:gridSpan w:val="2"/>
            <w:vMerge w:val="restart"/>
          </w:tcPr>
          <w:p>
            <w:pPr>
              <w:ind w:left="80"/>
              <w:spacing w:after="0"/>
              <w:rPr>
                <w:sz w:val="20"/>
                <w:szCs w:val="20"/>
                <w:color w:val="auto"/>
              </w:rPr>
            </w:pPr>
            <w:r>
              <w:rPr>
                <w:rFonts w:ascii="Arial" w:cs="Arial" w:eastAsia="Arial" w:hAnsi="Arial"/>
                <w:sz w:val="12"/>
                <w:szCs w:val="12"/>
                <w:color w:val="003551"/>
              </w:rPr>
              <w:t>43.5%</w:t>
            </w:r>
          </w:p>
        </w:tc>
        <w:tc>
          <w:tcPr>
            <w:tcW w:w="0" w:type="dxa"/>
            <w:vAlign w:val="bottom"/>
          </w:tcPr>
          <w:p>
            <w:pPr>
              <w:spacing w:after="0"/>
              <w:rPr>
                <w:sz w:val="1"/>
                <w:szCs w:val="1"/>
                <w:color w:val="auto"/>
              </w:rPr>
            </w:pPr>
          </w:p>
        </w:tc>
      </w:tr>
      <w:tr>
        <w:trPr>
          <w:trHeight w:val="161"/>
        </w:trPr>
        <w:tc>
          <w:tcPr>
            <w:tcW w:w="1640" w:type="dxa"/>
            <w:vAlign w:val="bottom"/>
          </w:tcPr>
          <w:p>
            <w:pPr>
              <w:ind w:left="140"/>
              <w:spacing w:after="0"/>
              <w:rPr>
                <w:sz w:val="20"/>
                <w:szCs w:val="20"/>
                <w:color w:val="auto"/>
              </w:rPr>
            </w:pPr>
            <w:r>
              <w:rPr>
                <w:rFonts w:ascii="Arial" w:cs="Arial" w:eastAsia="Arial" w:hAnsi="Arial"/>
                <w:sz w:val="12"/>
                <w:szCs w:val="12"/>
                <w:color w:val="003551"/>
              </w:rPr>
              <w:t>officers as a group</w:t>
            </w:r>
          </w:p>
        </w:tc>
        <w:tc>
          <w:tcPr>
            <w:tcW w:w="680" w:type="dxa"/>
            <w:vAlign w:val="bottom"/>
            <w:vMerge w:val="continue"/>
          </w:tcPr>
          <w:p>
            <w:pPr>
              <w:spacing w:after="0"/>
              <w:rPr>
                <w:sz w:val="13"/>
                <w:szCs w:val="13"/>
                <w:color w:val="auto"/>
              </w:rPr>
            </w:pPr>
          </w:p>
        </w:tc>
        <w:tc>
          <w:tcPr>
            <w:tcW w:w="2040" w:type="dxa"/>
            <w:vAlign w:val="bottom"/>
            <w:gridSpan w:val="2"/>
            <w:vMerge w:val="continue"/>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2000" w:type="dxa"/>
            <w:vAlign w:val="bottom"/>
            <w:gridSpan w:val="2"/>
            <w:vMerge w:val="continue"/>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Borders>
              <w:bottom w:val="single" w:sz="8" w:color="003551"/>
            </w:tcBorders>
          </w:tcPr>
          <w:p>
            <w:pPr>
              <w:spacing w:after="0"/>
              <w:rPr>
                <w:sz w:val="7"/>
                <w:szCs w:val="7"/>
                <w:color w:val="auto"/>
              </w:rPr>
            </w:pPr>
          </w:p>
        </w:tc>
        <w:tc>
          <w:tcPr>
            <w:tcW w:w="1900" w:type="dxa"/>
            <w:vAlign w:val="bottom"/>
          </w:tcPr>
          <w:p>
            <w:pPr>
              <w:spacing w:after="0"/>
              <w:rPr>
                <w:sz w:val="7"/>
                <w:szCs w:val="7"/>
                <w:color w:val="auto"/>
              </w:rPr>
            </w:pPr>
          </w:p>
        </w:tc>
        <w:tc>
          <w:tcPr>
            <w:tcW w:w="80" w:type="dxa"/>
            <w:vAlign w:val="bottom"/>
            <w:tcBorders>
              <w:bottom w:val="single" w:sz="8" w:color="003551"/>
            </w:tcBorders>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Borders>
              <w:bottom w:val="single" w:sz="8" w:color="003551"/>
            </w:tcBorders>
          </w:tcPr>
          <w:p>
            <w:pPr>
              <w:spacing w:after="0"/>
              <w:rPr>
                <w:sz w:val="7"/>
                <w:szCs w:val="7"/>
                <w:color w:val="auto"/>
              </w:rPr>
            </w:pPr>
          </w:p>
        </w:tc>
        <w:tc>
          <w:tcPr>
            <w:tcW w:w="1840" w:type="dxa"/>
            <w:vAlign w:val="bottom"/>
          </w:tcPr>
          <w:p>
            <w:pPr>
              <w:spacing w:after="0"/>
              <w:rPr>
                <w:sz w:val="7"/>
                <w:szCs w:val="7"/>
                <w:color w:val="auto"/>
              </w:rPr>
            </w:pPr>
          </w:p>
        </w:tc>
        <w:tc>
          <w:tcPr>
            <w:tcW w:w="80" w:type="dxa"/>
            <w:vAlign w:val="bottom"/>
            <w:tcBorders>
              <w:bottom w:val="single" w:sz="8" w:color="003551"/>
            </w:tcBorders>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-2971165</wp:posOffset>
            </wp:positionV>
            <wp:extent cx="3352165" cy="52387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52165" cy="523875"/>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-2971165</wp:posOffset>
            </wp:positionV>
            <wp:extent cx="3352165" cy="5238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352165" cy="523875"/>
                    </a:xfrm>
                    <a:prstGeom prst="rect">
                      <a:avLst/>
                    </a:prstGeom>
                    <a:noFill/>
                  </pic:spPr>
                </pic:pic>
              </a:graphicData>
            </a:graphic>
          </wp:anchor>
        </w:drawing>
        <w:drawing>
          <wp:anchor simplePos="0" relativeHeight="251657728" behindDoc="1" locked="0" layoutInCell="0" allowOverlap="1">
            <wp:simplePos x="0" y="0"/>
            <wp:positionH relativeFrom="column">
              <wp:posOffset>1682750</wp:posOffset>
            </wp:positionH>
            <wp:positionV relativeFrom="paragraph">
              <wp:posOffset>-325755</wp:posOffset>
            </wp:positionV>
            <wp:extent cx="414210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142105" cy="8255"/>
                    </a:xfrm>
                    <a:prstGeom prst="rect">
                      <a:avLst/>
                    </a:prstGeom>
                    <a:noFill/>
                  </pic:spPr>
                </pic:pic>
              </a:graphicData>
            </a:graphic>
          </wp:anchor>
        </w:drawing>
        <w:drawing>
          <wp:anchor simplePos="0" relativeHeight="251657728" behindDoc="1" locked="0" layoutInCell="0" allowOverlap="1">
            <wp:simplePos x="0" y="0"/>
            <wp:positionH relativeFrom="column">
              <wp:posOffset>1682750</wp:posOffset>
            </wp:positionH>
            <wp:positionV relativeFrom="paragraph">
              <wp:posOffset>-10160</wp:posOffset>
            </wp:positionV>
            <wp:extent cx="414210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142105" cy="8255"/>
                    </a:xfrm>
                    <a:prstGeom prst="rect">
                      <a:avLst/>
                    </a:prstGeom>
                    <a:noFill/>
                  </pic:spPr>
                </pic:pic>
              </a:graphicData>
            </a:graphic>
          </wp:anchor>
        </w:drawing>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2"/>
          <w:szCs w:val="12"/>
          <w:b w:val="1"/>
          <w:bCs w:val="1"/>
          <w:color w:val="003551"/>
        </w:rPr>
        <w:t>Principal Shareholders:</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003551"/>
        </w:rPr>
        <w:t>None</w:t>
      </w:r>
      <w:r>
        <w:rPr>
          <w:rFonts w:ascii="Arial" w:cs="Arial" w:eastAsia="Arial" w:hAnsi="Arial"/>
          <w:sz w:val="12"/>
          <w:szCs w:val="12"/>
          <w:color w:val="003551"/>
        </w:rPr>
        <w:t>​</w:t>
      </w:r>
    </w:p>
    <w:p>
      <w:pPr>
        <w:spacing w:after="0" w:line="257" w:lineRule="exact"/>
        <w:rPr>
          <w:sz w:val="20"/>
          <w:szCs w:val="20"/>
          <w:color w:val="auto"/>
        </w:rPr>
      </w:pPr>
    </w:p>
    <w:p>
      <w:pPr>
        <w:ind w:left="1280" w:hanging="337"/>
        <w:spacing w:after="0"/>
        <w:tabs>
          <w:tab w:leader="none" w:pos="1280" w:val="left"/>
        </w:tabs>
        <w:numPr>
          <w:ilvl w:val="0"/>
          <w:numId w:val="51"/>
        </w:numPr>
        <w:rPr>
          <w:rFonts w:ascii="Arial" w:cs="Arial" w:eastAsia="Arial" w:hAnsi="Arial"/>
          <w:sz w:val="12"/>
          <w:szCs w:val="12"/>
          <w:i w:val="1"/>
          <w:iCs w:val="1"/>
          <w:color w:val="003551"/>
        </w:rPr>
      </w:pPr>
      <w:r>
        <w:rPr>
          <w:rFonts w:ascii="Arial" w:cs="Arial" w:eastAsia="Arial" w:hAnsi="Arial"/>
          <w:sz w:val="12"/>
          <w:szCs w:val="12"/>
          <w:i w:val="1"/>
          <w:iCs w:val="1"/>
          <w:color w:val="003551"/>
        </w:rPr>
        <w:t>Indicates less than 1%.</w:t>
      </w:r>
    </w:p>
    <w:p>
      <w:pPr>
        <w:spacing w:after="0" w:line="3" w:lineRule="exact"/>
        <w:rPr>
          <w:sz w:val="20"/>
          <w:szCs w:val="20"/>
          <w:color w:val="auto"/>
        </w:rPr>
      </w:pPr>
    </w:p>
    <w:p>
      <w:pPr>
        <w:ind w:left="1280" w:right="740" w:hanging="337"/>
        <w:spacing w:after="0" w:line="227" w:lineRule="auto"/>
        <w:tabs>
          <w:tab w:leader="none" w:pos="1280" w:val="left"/>
        </w:tabs>
        <w:numPr>
          <w:ilvl w:val="0"/>
          <w:numId w:val="52"/>
        </w:numPr>
        <w:rPr>
          <w:rFonts w:ascii="Arial" w:cs="Arial" w:eastAsia="Arial" w:hAnsi="Arial"/>
          <w:sz w:val="12"/>
          <w:szCs w:val="12"/>
          <w:i w:val="1"/>
          <w:iCs w:val="1"/>
          <w:color w:val="003551"/>
        </w:rPr>
      </w:pPr>
      <w:r>
        <w:rPr>
          <w:rFonts w:ascii="Arial" w:cs="Arial" w:eastAsia="Arial" w:hAnsi="Arial"/>
          <w:sz w:val="12"/>
          <w:szCs w:val="12"/>
          <w:i w:val="1"/>
          <w:iCs w:val="1"/>
          <w:color w:val="003551"/>
        </w:rPr>
        <w:t>The number of shares included on this table includes those shares owned by the beneficial owner’s spouse, and entity or trust controlled by the beneficial owner, or owned by another person in the owner’s household.</w:t>
      </w:r>
    </w:p>
    <w:p>
      <w:pPr>
        <w:jc w:val="both"/>
        <w:ind w:left="1280" w:right="740" w:hanging="337"/>
        <w:spacing w:after="0" w:line="227" w:lineRule="auto"/>
        <w:tabs>
          <w:tab w:leader="none" w:pos="1280" w:val="left"/>
        </w:tabs>
        <w:numPr>
          <w:ilvl w:val="0"/>
          <w:numId w:val="52"/>
        </w:numPr>
        <w:rPr>
          <w:rFonts w:ascii="Arial" w:cs="Arial" w:eastAsia="Arial" w:hAnsi="Arial"/>
          <w:sz w:val="12"/>
          <w:szCs w:val="12"/>
          <w:i w:val="1"/>
          <w:iCs w:val="1"/>
          <w:color w:val="003551"/>
        </w:rPr>
      </w:pPr>
      <w:r>
        <w:rPr>
          <w:rFonts w:ascii="Arial" w:cs="Arial" w:eastAsia="Arial" w:hAnsi="Arial"/>
          <w:sz w:val="12"/>
          <w:szCs w:val="12"/>
          <w:i w:val="1"/>
          <w:iCs w:val="1"/>
          <w:color w:val="003551"/>
        </w:rPr>
        <w:t>Each member of the Board other than Sunita Parasuraman has been awarded options to purchase Ordinary shares for services on the Board. Shares awarded are issued to the recipient and vest over the term of services. In the event of early termination of services and not serving for the full term for which the shares were awarded, a pro rata portion of the shares are required to be returned to IREN.</w:t>
      </w:r>
    </w:p>
    <w:p>
      <w:pPr>
        <w:spacing w:after="0" w:line="1" w:lineRule="exact"/>
        <w:rPr>
          <w:rFonts w:ascii="Arial" w:cs="Arial" w:eastAsia="Arial" w:hAnsi="Arial"/>
          <w:sz w:val="12"/>
          <w:szCs w:val="12"/>
          <w:i w:val="1"/>
          <w:iCs w:val="1"/>
          <w:color w:val="003551"/>
        </w:rPr>
      </w:pPr>
    </w:p>
    <w:p>
      <w:pPr>
        <w:jc w:val="both"/>
        <w:ind w:left="1280" w:right="740" w:hanging="337"/>
        <w:spacing w:after="0"/>
        <w:tabs>
          <w:tab w:leader="none" w:pos="1280" w:val="left"/>
        </w:tabs>
        <w:numPr>
          <w:ilvl w:val="0"/>
          <w:numId w:val="52"/>
        </w:numPr>
        <w:rPr>
          <w:rFonts w:ascii="Arial" w:cs="Arial" w:eastAsia="Arial" w:hAnsi="Arial"/>
          <w:sz w:val="12"/>
          <w:szCs w:val="12"/>
          <w:i w:val="1"/>
          <w:iCs w:val="1"/>
          <w:color w:val="003551"/>
        </w:rPr>
      </w:pPr>
      <w:r>
        <w:rPr>
          <w:rFonts w:ascii="Arial" w:cs="Arial" w:eastAsia="Arial" w:hAnsi="Arial"/>
          <w:sz w:val="12"/>
          <w:szCs w:val="12"/>
          <w:i w:val="1"/>
          <w:iCs w:val="1"/>
          <w:color w:val="003551"/>
        </w:rPr>
        <w:t>Includes 5,509,268 Ordinary shares, including 1,000,000 Ordinary shares assuming the exercise of underlying vested options issued prior to IREN’s initial public offering, and 1 B Class share held by Awassi Capital Holdings 2 Pty Ltd (ACN 629 819 978) (“</w:t>
      </w:r>
      <w:r>
        <w:rPr>
          <w:rFonts w:ascii="Arial" w:cs="Arial" w:eastAsia="Arial" w:hAnsi="Arial"/>
          <w:sz w:val="12"/>
          <w:szCs w:val="12"/>
          <w:b w:val="1"/>
          <w:bCs w:val="1"/>
          <w:i w:val="1"/>
          <w:iCs w:val="1"/>
          <w:color w:val="003551"/>
        </w:rPr>
        <w:t>Awassi Capital 2</w:t>
      </w:r>
      <w:r>
        <w:rPr>
          <w:rFonts w:ascii="Arial" w:cs="Arial" w:eastAsia="Arial" w:hAnsi="Arial"/>
          <w:sz w:val="12"/>
          <w:szCs w:val="12"/>
          <w:i w:val="1"/>
          <w:iCs w:val="1"/>
          <w:color w:val="003551"/>
        </w:rPr>
        <w:t>”) as trustee for The Awassi Capital Trust #2 and 741,979 Restricted Stock Units granted under the 2022 and 2023 LTIP vested and unexercised. Mr. Roberts is the sole shareholder of Awassi Capital 2 and manages its investments and has voting power over the Ordinary shares of IREN held by Awassi Capital 2.</w:t>
      </w:r>
    </w:p>
    <w:p>
      <w:pPr>
        <w:spacing w:after="0" w:line="102" w:lineRule="exact"/>
        <w:rPr>
          <w:rFonts w:ascii="Arial" w:cs="Arial" w:eastAsia="Arial" w:hAnsi="Arial"/>
          <w:sz w:val="12"/>
          <w:szCs w:val="12"/>
          <w:i w:val="1"/>
          <w:iCs w:val="1"/>
          <w:color w:val="003551"/>
        </w:rPr>
      </w:pPr>
    </w:p>
    <w:p>
      <w:pPr>
        <w:jc w:val="both"/>
        <w:ind w:left="1280" w:right="740" w:hanging="337"/>
        <w:spacing w:after="0"/>
        <w:tabs>
          <w:tab w:leader="none" w:pos="1280" w:val="left"/>
        </w:tabs>
        <w:numPr>
          <w:ilvl w:val="0"/>
          <w:numId w:val="52"/>
        </w:numPr>
        <w:rPr>
          <w:rFonts w:ascii="Arial" w:cs="Arial" w:eastAsia="Arial" w:hAnsi="Arial"/>
          <w:sz w:val="12"/>
          <w:szCs w:val="12"/>
          <w:i w:val="1"/>
          <w:iCs w:val="1"/>
          <w:color w:val="003551"/>
        </w:rPr>
      </w:pPr>
      <w:r>
        <w:rPr>
          <w:rFonts w:ascii="Arial" w:cs="Arial" w:eastAsia="Arial" w:hAnsi="Arial"/>
          <w:sz w:val="12"/>
          <w:szCs w:val="12"/>
          <w:i w:val="1"/>
          <w:iCs w:val="1"/>
          <w:color w:val="003551"/>
        </w:rPr>
        <w:t>Includes 5,509,268 Ordinary shares, including 1,000,000 Ordinary shares assuming the exercise of underlying vested options issued prior to IREN’s initial public offering, and 1 B Class share held by Awassi Capital Holdings 1 Pty Ltd (ACN 629 820 499) (“</w:t>
      </w:r>
      <w:r>
        <w:rPr>
          <w:rFonts w:ascii="Arial" w:cs="Arial" w:eastAsia="Arial" w:hAnsi="Arial"/>
          <w:sz w:val="12"/>
          <w:szCs w:val="12"/>
          <w:b w:val="1"/>
          <w:bCs w:val="1"/>
          <w:i w:val="1"/>
          <w:iCs w:val="1"/>
          <w:color w:val="003551"/>
        </w:rPr>
        <w:t>Awassi Capital 1</w:t>
      </w:r>
      <w:r>
        <w:rPr>
          <w:rFonts w:ascii="Arial" w:cs="Arial" w:eastAsia="Arial" w:hAnsi="Arial"/>
          <w:sz w:val="12"/>
          <w:szCs w:val="12"/>
          <w:i w:val="1"/>
          <w:iCs w:val="1"/>
          <w:color w:val="003551"/>
        </w:rPr>
        <w:t>”) as trustee for The Awassi Capital Trust #1 and 741,979 Restricted Stock Units granted under the 2022 and 2023 LTIP vested and unexercised. Mr. Roberts is the sole shareholder of Awassi Capital 1 and manages its investments and has voting power over the Ordinary shares of IREN held by Awassi Capital 1.</w:t>
      </w:r>
    </w:p>
    <w:p>
      <w:pPr>
        <w:spacing w:after="0" w:line="102" w:lineRule="exact"/>
        <w:rPr>
          <w:rFonts w:ascii="Arial" w:cs="Arial" w:eastAsia="Arial" w:hAnsi="Arial"/>
          <w:sz w:val="12"/>
          <w:szCs w:val="12"/>
          <w:i w:val="1"/>
          <w:iCs w:val="1"/>
          <w:color w:val="003551"/>
        </w:rPr>
      </w:pPr>
    </w:p>
    <w:p>
      <w:pPr>
        <w:jc w:val="both"/>
        <w:ind w:left="1280" w:right="740" w:hanging="337"/>
        <w:spacing w:after="0" w:line="227" w:lineRule="auto"/>
        <w:tabs>
          <w:tab w:leader="none" w:pos="1280" w:val="left"/>
        </w:tabs>
        <w:numPr>
          <w:ilvl w:val="0"/>
          <w:numId w:val="52"/>
        </w:numPr>
        <w:rPr>
          <w:rFonts w:ascii="Arial" w:cs="Arial" w:eastAsia="Arial" w:hAnsi="Arial"/>
          <w:sz w:val="12"/>
          <w:szCs w:val="12"/>
          <w:i w:val="1"/>
          <w:iCs w:val="1"/>
          <w:color w:val="003551"/>
        </w:rPr>
      </w:pPr>
      <w:r>
        <w:rPr>
          <w:rFonts w:ascii="Arial" w:cs="Arial" w:eastAsia="Arial" w:hAnsi="Arial"/>
          <w:sz w:val="12"/>
          <w:szCs w:val="12"/>
          <w:i w:val="1"/>
          <w:iCs w:val="1"/>
          <w:color w:val="003551"/>
        </w:rPr>
        <w:t>Includes 34,853 Ordinary shares held directly by Mr. Bartholomew, 11,448 Ordinary shares acquired by Wetherby Place Investments Trust, an entity associated with Mr. Bartholomew, 28,371 Ordinary shares assuming the exercise of underlying vested options issued pursuant to the IREN Non-Executive Director Option Plan, 43,455 Restricted Stock Units granted under the 2023 LTIP vested and unexercised and 17,937 Restricted Stock Units granted under the 2023 LTIP expected to vest in September 2025.</w:t>
      </w:r>
    </w:p>
    <w:p>
      <w:pPr>
        <w:spacing w:after="0" w:line="1" w:lineRule="exact"/>
        <w:rPr>
          <w:rFonts w:ascii="Arial" w:cs="Arial" w:eastAsia="Arial" w:hAnsi="Arial"/>
          <w:sz w:val="12"/>
          <w:szCs w:val="12"/>
          <w:i w:val="1"/>
          <w:iCs w:val="1"/>
          <w:color w:val="003551"/>
        </w:rPr>
      </w:pPr>
    </w:p>
    <w:p>
      <w:pPr>
        <w:ind w:left="1280" w:right="740" w:hanging="337"/>
        <w:spacing w:after="0" w:line="227" w:lineRule="auto"/>
        <w:tabs>
          <w:tab w:leader="none" w:pos="1280" w:val="left"/>
        </w:tabs>
        <w:numPr>
          <w:ilvl w:val="0"/>
          <w:numId w:val="52"/>
        </w:numPr>
        <w:rPr>
          <w:rFonts w:ascii="Arial" w:cs="Arial" w:eastAsia="Arial" w:hAnsi="Arial"/>
          <w:sz w:val="12"/>
          <w:szCs w:val="12"/>
          <w:i w:val="1"/>
          <w:iCs w:val="1"/>
          <w:color w:val="003551"/>
        </w:rPr>
      </w:pPr>
      <w:r>
        <w:rPr>
          <w:rFonts w:ascii="Arial" w:cs="Arial" w:eastAsia="Arial" w:hAnsi="Arial"/>
          <w:sz w:val="12"/>
          <w:szCs w:val="12"/>
          <w:i w:val="1"/>
          <w:iCs w:val="1"/>
          <w:color w:val="003551"/>
        </w:rPr>
        <w:t>Includes 45,393 Ordinary shares assuming the exercise of underlying vested options issued pursuant to the IREN Non-Executive Director Option Plan and 11,958 Restricted Stock Units granted under the 2023 LTIP expected to vest in September 2025.</w:t>
      </w:r>
    </w:p>
    <w:p>
      <w:pPr>
        <w:jc w:val="both"/>
        <w:ind w:left="1280" w:right="740" w:hanging="337"/>
        <w:spacing w:after="0" w:line="227" w:lineRule="auto"/>
        <w:tabs>
          <w:tab w:leader="none" w:pos="1280" w:val="left"/>
        </w:tabs>
        <w:numPr>
          <w:ilvl w:val="0"/>
          <w:numId w:val="52"/>
        </w:numPr>
        <w:rPr>
          <w:rFonts w:ascii="Arial" w:cs="Arial" w:eastAsia="Arial" w:hAnsi="Arial"/>
          <w:sz w:val="12"/>
          <w:szCs w:val="12"/>
          <w:i w:val="1"/>
          <w:iCs w:val="1"/>
          <w:color w:val="003551"/>
        </w:rPr>
      </w:pPr>
      <w:r>
        <w:rPr>
          <w:rFonts w:ascii="Arial" w:cs="Arial" w:eastAsia="Arial" w:hAnsi="Arial"/>
          <w:sz w:val="12"/>
          <w:szCs w:val="12"/>
          <w:i w:val="1"/>
          <w:iCs w:val="1"/>
          <w:color w:val="003551"/>
        </w:rPr>
        <w:t>Includes 68,823 Ordinary shares held directly by Mr. Alfred, 1,000 Ordinary shares held in an IRA, 401(k) plan or other benefit or retirement plan, 750,461 Ordinary shares acquired by Alpine Fox LP, an entity associated with Mr. Alfred, 4,755 Ordinary shares assuming the exercise of underlying vested options issued pursuant to the IREN Non-Executive Director Option Plan, 4,756 Ordinary shares issued under the IREN Non-Executive Director Option Plan expected to vest in October 2025 and 11,958 Restricted Stock Units granted under the 2023 LTIP expected to vest in September 2025.</w:t>
      </w:r>
    </w:p>
    <w:p>
      <w:pPr>
        <w:spacing w:after="0" w:line="2" w:lineRule="exact"/>
        <w:rPr>
          <w:rFonts w:ascii="Arial" w:cs="Arial" w:eastAsia="Arial" w:hAnsi="Arial"/>
          <w:sz w:val="12"/>
          <w:szCs w:val="12"/>
          <w:i w:val="1"/>
          <w:iCs w:val="1"/>
          <w:color w:val="003551"/>
        </w:rPr>
      </w:pPr>
    </w:p>
    <w:p>
      <w:pPr>
        <w:ind w:left="1280" w:right="740" w:hanging="337"/>
        <w:spacing w:after="0" w:line="227" w:lineRule="auto"/>
        <w:tabs>
          <w:tab w:leader="none" w:pos="1280" w:val="left"/>
        </w:tabs>
        <w:numPr>
          <w:ilvl w:val="0"/>
          <w:numId w:val="52"/>
        </w:numPr>
        <w:rPr>
          <w:rFonts w:ascii="Arial" w:cs="Arial" w:eastAsia="Arial" w:hAnsi="Arial"/>
          <w:sz w:val="12"/>
          <w:szCs w:val="12"/>
          <w:i w:val="1"/>
          <w:iCs w:val="1"/>
          <w:color w:val="003551"/>
        </w:rPr>
      </w:pPr>
      <w:r>
        <w:rPr>
          <w:rFonts w:ascii="Arial" w:cs="Arial" w:eastAsia="Arial" w:hAnsi="Arial"/>
          <w:sz w:val="12"/>
          <w:szCs w:val="12"/>
          <w:i w:val="1"/>
          <w:iCs w:val="1"/>
          <w:color w:val="003551"/>
        </w:rPr>
        <w:t>Includes 18,905 Ordinary shares held directly by Ms. Parasuraman and 11,858 Restricted Stock Units granted under the 2023 LTIP expected to vest in September 2025.</w:t>
      </w:r>
    </w:p>
    <w:p>
      <w:pPr>
        <w:ind w:left="1280" w:right="740" w:hanging="337"/>
        <w:spacing w:after="0" w:line="246" w:lineRule="auto"/>
        <w:tabs>
          <w:tab w:leader="none" w:pos="1280" w:val="left"/>
        </w:tabs>
        <w:numPr>
          <w:ilvl w:val="0"/>
          <w:numId w:val="52"/>
        </w:numPr>
        <w:rPr>
          <w:rFonts w:ascii="Arial" w:cs="Arial" w:eastAsia="Arial" w:hAnsi="Arial"/>
          <w:sz w:val="12"/>
          <w:szCs w:val="12"/>
          <w:i w:val="1"/>
          <w:iCs w:val="1"/>
          <w:color w:val="003551"/>
        </w:rPr>
      </w:pPr>
      <w:r>
        <w:rPr>
          <w:rFonts w:ascii="Arial" w:cs="Arial" w:eastAsia="Arial" w:hAnsi="Arial"/>
          <w:sz w:val="12"/>
          <w:szCs w:val="12"/>
          <w:i w:val="1"/>
          <w:iCs w:val="1"/>
          <w:color w:val="003551"/>
        </w:rPr>
        <w:t>Includes 22,214 Restricted Stock Units granted under the 2023 LTIP vested and unexercised and 71,950 Restricted Stock Units granted under the 2022 LTIP and the 2023 LTIP which vested in connection with Ms. Nucifora’s termination of employment on September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123190</wp:posOffset>
            </wp:positionV>
            <wp:extent cx="540385" cy="6318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228600</wp:posOffset>
            </wp:positionV>
            <wp:extent cx="6786880" cy="165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6" w:right="12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940"/>
        <w:spacing w:after="0"/>
        <w:rPr>
          <w:sz w:val="20"/>
          <w:szCs w:val="20"/>
          <w:color w:val="auto"/>
        </w:rPr>
      </w:pPr>
      <w:r>
        <w:rPr>
          <w:rFonts w:ascii="Arial" w:cs="Arial" w:eastAsia="Arial" w:hAnsi="Arial"/>
          <w:sz w:val="35"/>
          <w:szCs w:val="35"/>
          <w:color w:val="77C483"/>
        </w:rPr>
        <w:t>Description of Non-Voting Matters</w:t>
      </w:r>
    </w:p>
    <w:p>
      <w:pPr>
        <w:spacing w:after="0" w:line="6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Financial Reports</w:t>
      </w:r>
    </w:p>
    <w:p>
      <w:pPr>
        <w:spacing w:after="0" w:line="11" w:lineRule="exact"/>
        <w:rPr>
          <w:sz w:val="20"/>
          <w:szCs w:val="20"/>
          <w:color w:val="auto"/>
        </w:rPr>
      </w:pPr>
    </w:p>
    <w:p>
      <w:pPr>
        <w:ind w:left="940" w:right="820"/>
        <w:spacing w:after="0" w:line="263" w:lineRule="auto"/>
        <w:rPr>
          <w:sz w:val="20"/>
          <w:szCs w:val="20"/>
          <w:color w:val="auto"/>
        </w:rPr>
      </w:pPr>
      <w:r>
        <w:rPr>
          <w:rFonts w:ascii="Arial" w:cs="Arial" w:eastAsia="Arial" w:hAnsi="Arial"/>
          <w:sz w:val="17"/>
          <w:szCs w:val="17"/>
          <w:color w:val="003551"/>
        </w:rPr>
        <w:t>Under section 317 of the Corporations Act, the Financial Report, Directors’ Report and Auditor’s Report in respect of Fiscal 2025 will be laid before the AGM.</w:t>
      </w:r>
    </w:p>
    <w:p>
      <w:pPr>
        <w:spacing w:after="0" w:line="53" w:lineRule="exact"/>
        <w:rPr>
          <w:sz w:val="20"/>
          <w:szCs w:val="20"/>
          <w:color w:val="auto"/>
        </w:rPr>
      </w:pPr>
    </w:p>
    <w:p>
      <w:pPr>
        <w:ind w:left="940" w:right="860"/>
        <w:spacing w:after="0" w:line="251" w:lineRule="auto"/>
        <w:rPr>
          <w:sz w:val="20"/>
          <w:szCs w:val="20"/>
          <w:color w:val="auto"/>
        </w:rPr>
      </w:pPr>
      <w:r>
        <w:rPr>
          <w:rFonts w:ascii="Arial" w:cs="Arial" w:eastAsia="Arial" w:hAnsi="Arial"/>
          <w:sz w:val="17"/>
          <w:szCs w:val="17"/>
          <w:color w:val="003551"/>
        </w:rPr>
        <w:t>The Financial Report contains the consolidated financial statements of IREN and its controlled entities as required to be prepared and lodged with the Australian Securities and Investments Commission in accordance with section 319 of the Corporations Act. As such, the Financial Report and the consolidated financial statements included therein have been prepared and audited in accordance with the requirements of the Corporations Act.</w:t>
      </w:r>
    </w:p>
    <w:p>
      <w:pPr>
        <w:spacing w:after="0" w:line="65" w:lineRule="exact"/>
        <w:rPr>
          <w:sz w:val="20"/>
          <w:szCs w:val="20"/>
          <w:color w:val="auto"/>
        </w:rPr>
      </w:pPr>
    </w:p>
    <w:p>
      <w:pPr>
        <w:ind w:left="940" w:right="900"/>
        <w:spacing w:after="0" w:line="250" w:lineRule="auto"/>
        <w:rPr>
          <w:sz w:val="20"/>
          <w:szCs w:val="20"/>
          <w:color w:val="auto"/>
        </w:rPr>
      </w:pPr>
      <w:r>
        <w:rPr>
          <w:rFonts w:ascii="Arial" w:cs="Arial" w:eastAsia="Arial" w:hAnsi="Arial"/>
          <w:sz w:val="17"/>
          <w:szCs w:val="17"/>
          <w:color w:val="003551"/>
        </w:rPr>
        <w:t>IREN’s Financial Report is separate and distinct from IREN’s Annual Report on Form 10-K filed with the SEC on August 28, 2025, and such Financial Report includes IREN’s annual financial statements that have been prepared and audited in accordance with International Financial Reporting Standards. IREN’s Financial Report and the consolidated financial statements included therein are being presented to the shareholders solely for the purposes of statutory compliance with the requirements of the Corporations Act.</w:t>
      </w:r>
    </w:p>
    <w:p>
      <w:pPr>
        <w:spacing w:after="0" w:line="266" w:lineRule="exact"/>
        <w:rPr>
          <w:sz w:val="20"/>
          <w:szCs w:val="20"/>
          <w:color w:val="auto"/>
        </w:rPr>
      </w:pPr>
    </w:p>
    <w:p>
      <w:pPr>
        <w:jc w:val="both"/>
        <w:ind w:left="940" w:right="800"/>
        <w:spacing w:after="0" w:line="262" w:lineRule="auto"/>
        <w:rPr>
          <w:sz w:val="20"/>
          <w:szCs w:val="20"/>
          <w:color w:val="auto"/>
        </w:rPr>
      </w:pPr>
      <w:r>
        <w:rPr>
          <w:rFonts w:ascii="Arial" w:cs="Arial" w:eastAsia="Arial" w:hAnsi="Arial"/>
          <w:sz w:val="17"/>
          <w:szCs w:val="17"/>
          <w:color w:val="003551"/>
        </w:rPr>
        <w:t>This item does not require a formal resolution to be put to the AGM and so no vote will be held. However, shareholders may ask questions on the matters contained in the reports. Shareholders will also be able to ask questions of the IREN’s Australian statutory auditor, who will attend the AGM.</w:t>
      </w:r>
    </w:p>
    <w:p>
      <w:pPr>
        <w:spacing w:after="0" w:line="93"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The reports are available on IREN’s website, https://iren.com/investor/annual-reports.</w:t>
      </w:r>
    </w:p>
    <w:p>
      <w:pPr>
        <w:spacing w:after="0" w:line="106" w:lineRule="exact"/>
        <w:rPr>
          <w:sz w:val="20"/>
          <w:szCs w:val="20"/>
          <w:color w:val="auto"/>
        </w:rPr>
      </w:pPr>
    </w:p>
    <w:p>
      <w:pPr>
        <w:ind w:left="940" w:right="820"/>
        <w:spacing w:after="0" w:line="255" w:lineRule="auto"/>
        <w:rPr>
          <w:sz w:val="20"/>
          <w:szCs w:val="20"/>
          <w:color w:val="auto"/>
        </w:rPr>
      </w:pPr>
      <w:r>
        <w:rPr>
          <w:rFonts w:ascii="Arial" w:cs="Arial" w:eastAsia="Arial" w:hAnsi="Arial"/>
          <w:sz w:val="17"/>
          <w:szCs w:val="17"/>
          <w:color w:val="003551"/>
        </w:rPr>
        <w:t>Shareholders are being provided with a reasonable opportunity to ask questions on these statements and reports ahead of the AGM. Shareholders may address written questions to the Chair about the management of IREN. All questions should be submitted to IREN in accordance with the instructions set out in this Proxy Statement (under the heading “How do I submit a question for the AGM?”).</w:t>
      </w:r>
    </w:p>
    <w:p>
      <w:pPr>
        <w:spacing w:after="0" w:line="60" w:lineRule="exact"/>
        <w:rPr>
          <w:sz w:val="20"/>
          <w:szCs w:val="20"/>
          <w:color w:val="auto"/>
        </w:rPr>
      </w:pPr>
    </w:p>
    <w:p>
      <w:pPr>
        <w:ind w:left="940" w:right="760"/>
        <w:spacing w:after="0" w:line="262" w:lineRule="auto"/>
        <w:rPr>
          <w:sz w:val="20"/>
          <w:szCs w:val="20"/>
          <w:color w:val="auto"/>
        </w:rPr>
      </w:pPr>
      <w:r>
        <w:rPr>
          <w:rFonts w:ascii="Arial" w:cs="Arial" w:eastAsia="Arial" w:hAnsi="Arial"/>
          <w:sz w:val="17"/>
          <w:szCs w:val="17"/>
          <w:color w:val="003551"/>
        </w:rPr>
        <w:t>The Chair will allow shareholders to ask questions of the Australian statutory auditor or its representatives. All questions should be submitted to IREN in accordance with the instructions set out in this Proxy Statement (under the heading “How do I submit a question for the AGM?”), and relevant to:</w:t>
      </w:r>
    </w:p>
    <w:p>
      <w:pPr>
        <w:spacing w:after="0" w:line="93" w:lineRule="exact"/>
        <w:rPr>
          <w:sz w:val="20"/>
          <w:szCs w:val="20"/>
          <w:color w:val="auto"/>
        </w:rPr>
      </w:pPr>
    </w:p>
    <w:p>
      <w:pPr>
        <w:ind w:left="1280" w:hanging="337"/>
        <w:spacing w:after="0"/>
        <w:tabs>
          <w:tab w:leader="none" w:pos="1280" w:val="left"/>
        </w:tabs>
        <w:numPr>
          <w:ilvl w:val="0"/>
          <w:numId w:val="53"/>
        </w:numPr>
        <w:rPr>
          <w:rFonts w:ascii="Arial" w:cs="Arial" w:eastAsia="Arial" w:hAnsi="Arial"/>
          <w:sz w:val="17"/>
          <w:szCs w:val="17"/>
          <w:color w:val="003551"/>
        </w:rPr>
      </w:pPr>
      <w:r>
        <w:rPr>
          <w:rFonts w:ascii="Arial" w:cs="Arial" w:eastAsia="Arial" w:hAnsi="Arial"/>
          <w:sz w:val="17"/>
          <w:szCs w:val="17"/>
          <w:color w:val="003551"/>
        </w:rPr>
        <w:t>the conduct of the audit;</w:t>
      </w:r>
    </w:p>
    <w:p>
      <w:pPr>
        <w:spacing w:after="0" w:line="131" w:lineRule="exact"/>
        <w:rPr>
          <w:rFonts w:ascii="Arial" w:cs="Arial" w:eastAsia="Arial" w:hAnsi="Arial"/>
          <w:sz w:val="17"/>
          <w:szCs w:val="17"/>
          <w:color w:val="003551"/>
        </w:rPr>
      </w:pPr>
    </w:p>
    <w:p>
      <w:pPr>
        <w:ind w:left="1280" w:hanging="337"/>
        <w:spacing w:after="0"/>
        <w:tabs>
          <w:tab w:leader="none" w:pos="1280" w:val="left"/>
        </w:tabs>
        <w:numPr>
          <w:ilvl w:val="0"/>
          <w:numId w:val="53"/>
        </w:numPr>
        <w:rPr>
          <w:rFonts w:ascii="Arial" w:cs="Arial" w:eastAsia="Arial" w:hAnsi="Arial"/>
          <w:sz w:val="17"/>
          <w:szCs w:val="17"/>
          <w:color w:val="003551"/>
        </w:rPr>
      </w:pPr>
      <w:r>
        <w:rPr>
          <w:rFonts w:ascii="Arial" w:cs="Arial" w:eastAsia="Arial" w:hAnsi="Arial"/>
          <w:sz w:val="17"/>
          <w:szCs w:val="17"/>
          <w:color w:val="003551"/>
        </w:rPr>
        <w:t>the preparation and content of the Auditor’s Report;</w:t>
      </w:r>
    </w:p>
    <w:p>
      <w:pPr>
        <w:spacing w:after="0" w:line="145" w:lineRule="exact"/>
        <w:rPr>
          <w:rFonts w:ascii="Arial" w:cs="Arial" w:eastAsia="Arial" w:hAnsi="Arial"/>
          <w:sz w:val="17"/>
          <w:szCs w:val="17"/>
          <w:color w:val="003551"/>
        </w:rPr>
      </w:pPr>
    </w:p>
    <w:p>
      <w:pPr>
        <w:ind w:left="1280" w:right="1380" w:hanging="337"/>
        <w:spacing w:after="0" w:line="283" w:lineRule="auto"/>
        <w:tabs>
          <w:tab w:leader="none" w:pos="1280" w:val="left"/>
        </w:tabs>
        <w:numPr>
          <w:ilvl w:val="0"/>
          <w:numId w:val="53"/>
        </w:numPr>
        <w:rPr>
          <w:rFonts w:ascii="Arial" w:cs="Arial" w:eastAsia="Arial" w:hAnsi="Arial"/>
          <w:sz w:val="17"/>
          <w:szCs w:val="17"/>
          <w:color w:val="003551"/>
        </w:rPr>
      </w:pPr>
      <w:r>
        <w:rPr>
          <w:rFonts w:ascii="Arial" w:cs="Arial" w:eastAsia="Arial" w:hAnsi="Arial"/>
          <w:sz w:val="17"/>
          <w:szCs w:val="17"/>
          <w:color w:val="003551"/>
        </w:rPr>
        <w:t>the accounting policies adopted by IREN in relation to the preparation of its Australian audited financial statements; and</w:t>
      </w:r>
    </w:p>
    <w:p>
      <w:pPr>
        <w:spacing w:after="0" w:line="76" w:lineRule="exact"/>
        <w:rPr>
          <w:rFonts w:ascii="Arial" w:cs="Arial" w:eastAsia="Arial" w:hAnsi="Arial"/>
          <w:sz w:val="17"/>
          <w:szCs w:val="17"/>
          <w:color w:val="003551"/>
        </w:rPr>
      </w:pPr>
    </w:p>
    <w:p>
      <w:pPr>
        <w:ind w:left="1280" w:hanging="337"/>
        <w:spacing w:after="0"/>
        <w:tabs>
          <w:tab w:leader="none" w:pos="1280" w:val="left"/>
        </w:tabs>
        <w:numPr>
          <w:ilvl w:val="0"/>
          <w:numId w:val="53"/>
        </w:numPr>
        <w:rPr>
          <w:rFonts w:ascii="Arial" w:cs="Arial" w:eastAsia="Arial" w:hAnsi="Arial"/>
          <w:sz w:val="17"/>
          <w:szCs w:val="17"/>
          <w:color w:val="003551"/>
        </w:rPr>
      </w:pPr>
      <w:r>
        <w:rPr>
          <w:rFonts w:ascii="Arial" w:cs="Arial" w:eastAsia="Arial" w:hAnsi="Arial"/>
          <w:sz w:val="17"/>
          <w:szCs w:val="17"/>
          <w:color w:val="003551"/>
        </w:rPr>
        <w:t>the independence of the Australian statutory auditor in relation to the conduct of the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144145</wp:posOffset>
            </wp:positionV>
            <wp:extent cx="540385" cy="63182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940"/>
        <w:spacing w:after="0"/>
        <w:rPr>
          <w:sz w:val="20"/>
          <w:szCs w:val="20"/>
          <w:color w:val="auto"/>
        </w:rPr>
      </w:pPr>
      <w:r>
        <w:rPr>
          <w:rFonts w:ascii="Arial" w:cs="Arial" w:eastAsia="Arial" w:hAnsi="Arial"/>
          <w:sz w:val="35"/>
          <w:szCs w:val="35"/>
          <w:color w:val="77C483"/>
        </w:rPr>
        <w:t>Description of Proposals</w:t>
      </w:r>
    </w:p>
    <w:p>
      <w:pPr>
        <w:spacing w:after="0" w:line="217" w:lineRule="exact"/>
        <w:rPr>
          <w:sz w:val="20"/>
          <w:szCs w:val="20"/>
          <w:color w:val="auto"/>
        </w:rPr>
      </w:pPr>
    </w:p>
    <w:p>
      <w:pPr>
        <w:ind w:left="940" w:right="760"/>
        <w:spacing w:after="0" w:line="262" w:lineRule="auto"/>
        <w:rPr>
          <w:sz w:val="20"/>
          <w:szCs w:val="20"/>
          <w:color w:val="auto"/>
        </w:rPr>
      </w:pPr>
      <w:r>
        <w:rPr>
          <w:rFonts w:ascii="Arial" w:cs="Arial" w:eastAsia="Arial" w:hAnsi="Arial"/>
          <w:sz w:val="28"/>
          <w:szCs w:val="28"/>
          <w:color w:val="003551"/>
        </w:rPr>
        <w:t>Proposal 1: Approve an amendment to IREN’s constitution to align the quorum requirement to conduct shareholder meetings with Nasdaq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-41275</wp:posOffset>
            </wp:positionV>
            <wp:extent cx="522351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223510" cy="8255"/>
                    </a:xfrm>
                    <a:prstGeom prst="rect">
                      <a:avLst/>
                    </a:prstGeom>
                    <a:noFill/>
                  </pic:spPr>
                </pic:pic>
              </a:graphicData>
            </a:graphic>
          </wp:anchor>
        </w:drawing>
      </w:r>
    </w:p>
    <w:p>
      <w:pPr>
        <w:spacing w:after="0" w:line="123"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Proposal</w:t>
      </w:r>
    </w:p>
    <w:p>
      <w:pPr>
        <w:spacing w:after="0" w:line="15" w:lineRule="exact"/>
        <w:rPr>
          <w:sz w:val="20"/>
          <w:szCs w:val="20"/>
          <w:color w:val="auto"/>
        </w:rPr>
      </w:pPr>
    </w:p>
    <w:p>
      <w:pPr>
        <w:ind w:left="940" w:right="820"/>
        <w:spacing w:after="0" w:line="257" w:lineRule="auto"/>
        <w:rPr>
          <w:sz w:val="20"/>
          <w:szCs w:val="20"/>
          <w:color w:val="auto"/>
        </w:rPr>
      </w:pPr>
      <w:r>
        <w:rPr>
          <w:rFonts w:ascii="Arial" w:cs="Arial" w:eastAsia="Arial" w:hAnsi="Arial"/>
          <w:sz w:val="17"/>
          <w:szCs w:val="17"/>
          <w:color w:val="003551"/>
        </w:rPr>
        <w:t>The Board has unanimously approved, adopted and declared advisable an amendment to rules 9.3 and 9.5 of the Constitution to align the quorum requirements for shareholder meetings with applicable Nasdaq rules (the “</w:t>
      </w:r>
      <w:r>
        <w:rPr>
          <w:rFonts w:ascii="Arial" w:cs="Arial" w:eastAsia="Arial" w:hAnsi="Arial"/>
          <w:sz w:val="17"/>
          <w:szCs w:val="17"/>
          <w:b w:val="1"/>
          <w:bCs w:val="1"/>
          <w:color w:val="003551"/>
        </w:rPr>
        <w:t>Quorum Amendment</w:t>
      </w:r>
      <w:r>
        <w:rPr>
          <w:rFonts w:ascii="Arial" w:cs="Arial" w:eastAsia="Arial" w:hAnsi="Arial"/>
          <w:sz w:val="17"/>
          <w:szCs w:val="17"/>
          <w:color w:val="003551"/>
        </w:rPr>
        <w:t>”).</w:t>
      </w:r>
    </w:p>
    <w:p>
      <w:pPr>
        <w:spacing w:after="0" w:line="197"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Background</w:t>
      </w:r>
    </w:p>
    <w:p>
      <w:pPr>
        <w:spacing w:after="0" w:line="15" w:lineRule="exact"/>
        <w:rPr>
          <w:sz w:val="20"/>
          <w:szCs w:val="20"/>
          <w:color w:val="auto"/>
        </w:rPr>
      </w:pPr>
    </w:p>
    <w:p>
      <w:pPr>
        <w:ind w:left="940" w:right="760"/>
        <w:spacing w:after="0" w:line="252" w:lineRule="auto"/>
        <w:rPr>
          <w:sz w:val="20"/>
          <w:szCs w:val="20"/>
          <w:color w:val="auto"/>
        </w:rPr>
      </w:pPr>
      <w:r>
        <w:rPr>
          <w:rFonts w:ascii="Arial" w:cs="Arial" w:eastAsia="Arial" w:hAnsi="Arial"/>
          <w:sz w:val="17"/>
          <w:szCs w:val="17"/>
          <w:color w:val="003551"/>
        </w:rPr>
        <w:t>Currently, only the two members that are holders of the B Shares need to be present to hold a shareholder meeting. The purpose of this amendment is to have the quorum requirement for holding such meetings also meet the requirements of Nasdaq rules.</w:t>
      </w:r>
    </w:p>
    <w:p>
      <w:pPr>
        <w:spacing w:after="0" w:line="62" w:lineRule="exact"/>
        <w:rPr>
          <w:sz w:val="20"/>
          <w:szCs w:val="20"/>
          <w:color w:val="auto"/>
        </w:rPr>
      </w:pPr>
    </w:p>
    <w:p>
      <w:pPr>
        <w:ind w:left="940" w:right="740"/>
        <w:spacing w:after="0" w:line="255" w:lineRule="auto"/>
        <w:rPr>
          <w:sz w:val="20"/>
          <w:szCs w:val="20"/>
          <w:color w:val="auto"/>
        </w:rPr>
      </w:pPr>
      <w:r>
        <w:rPr>
          <w:rFonts w:ascii="Arial" w:cs="Arial" w:eastAsia="Arial" w:hAnsi="Arial"/>
          <w:sz w:val="17"/>
          <w:szCs w:val="17"/>
          <w:color w:val="003551"/>
        </w:rPr>
        <w:t>Pursuant to rule 9.3 of the Constitution, a quorum for shareholder meetings requires that two members are present (which must include each holder of a B Share, to the extent such holder is entitled to vote on one or more resolutions at the relevant meeting) and entitled to vote. Similarly, pursuant to rule 9.5 of the Constitution, a quorum for adjourned shareholder meetings requires that two members are present.</w:t>
      </w:r>
    </w:p>
    <w:p>
      <w:pPr>
        <w:spacing w:after="0" w:line="60" w:lineRule="exact"/>
        <w:rPr>
          <w:sz w:val="20"/>
          <w:szCs w:val="20"/>
          <w:color w:val="auto"/>
        </w:rPr>
      </w:pPr>
    </w:p>
    <w:p>
      <w:pPr>
        <w:ind w:left="940" w:right="800"/>
        <w:spacing w:after="0" w:line="244" w:lineRule="auto"/>
        <w:rPr>
          <w:sz w:val="20"/>
          <w:szCs w:val="20"/>
          <w:color w:val="auto"/>
        </w:rPr>
      </w:pPr>
      <w:r>
        <w:rPr>
          <w:rFonts w:ascii="Arial" w:cs="Arial" w:eastAsia="Arial" w:hAnsi="Arial"/>
          <w:sz w:val="17"/>
          <w:szCs w:val="17"/>
          <w:color w:val="003551"/>
        </w:rPr>
        <w:t>As a result of no longer being a “foreign private issuer” under Nasdaq rules, IREN became subject to Rule 5620(c)of the Nasdaq rules, which requires that shareholders holding not less than 33 1/3% of the voting power of the shares issued and outstanding and entitled to vote at a company’s annual meeting must be present in order for the meeting to proceed. Rule 1.8(d) of the Constitution already provides that the Constitution will be deemed to include any provision required by the listing rules of a stock exchange upon which IREN is listed, if not already explicitly provided for in the Constitution. In addition, rule 1.8(f) of the Constitution provides that if a provision of the Constitution is inconsistent with the listing rules of such an exchange, such as the current quorum requirement of having only two members, then the Constitution is deemed not to contain that provision to the extent of the inconsistency. However, to better align with the requirements of Rule 5620(c) of the Nasdaq rules, the Quorum Amendment would revise rules 9.3 and 9.5 of the Constitution to provide that a quorum for a shareholders meeting and for an adjourned shareholders meeting, in each case, would require shareholders holding not less than 33 1/3% of the votes entitled to be cast on one or more resolutions at the relevant meeting (which must include each holder of a B Class share from time to time, to the extent such holder is entitled to vote on one or more resolutions at the relevant meeting).</w:t>
      </w:r>
    </w:p>
    <w:p>
      <w:pPr>
        <w:spacing w:after="0" w:line="71" w:lineRule="exact"/>
        <w:rPr>
          <w:sz w:val="20"/>
          <w:szCs w:val="20"/>
          <w:color w:val="auto"/>
        </w:rPr>
      </w:pPr>
    </w:p>
    <w:p>
      <w:pPr>
        <w:ind w:left="940" w:right="820"/>
        <w:spacing w:after="0" w:line="262" w:lineRule="auto"/>
        <w:rPr>
          <w:sz w:val="20"/>
          <w:szCs w:val="20"/>
          <w:color w:val="auto"/>
        </w:rPr>
      </w:pPr>
      <w:r>
        <w:rPr>
          <w:rFonts w:ascii="Arial" w:cs="Arial" w:eastAsia="Arial" w:hAnsi="Arial"/>
          <w:sz w:val="17"/>
          <w:szCs w:val="17"/>
          <w:color w:val="003551"/>
        </w:rPr>
        <w:t>This description of the Quorum Amendment is a summary only and is qualified by the complete text of the Quorum Amendment set forth in the copy of our proposed Amended and Restated Constitution attached as Appendix B to this Proxy Statement.</w:t>
      </w:r>
    </w:p>
    <w:p>
      <w:pPr>
        <w:spacing w:after="0" w:line="201"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Proposed Amendment</w:t>
      </w:r>
    </w:p>
    <w:p>
      <w:pPr>
        <w:spacing w:after="0" w:line="15" w:lineRule="exact"/>
        <w:rPr>
          <w:sz w:val="20"/>
          <w:szCs w:val="20"/>
          <w:color w:val="auto"/>
        </w:rPr>
      </w:pPr>
    </w:p>
    <w:p>
      <w:pPr>
        <w:ind w:left="940" w:right="960"/>
        <w:spacing w:after="0" w:line="248" w:lineRule="auto"/>
        <w:rPr>
          <w:sz w:val="20"/>
          <w:szCs w:val="20"/>
          <w:color w:val="auto"/>
        </w:rPr>
      </w:pPr>
      <w:r>
        <w:rPr>
          <w:rFonts w:ascii="Arial" w:cs="Arial" w:eastAsia="Arial" w:hAnsi="Arial"/>
          <w:sz w:val="17"/>
          <w:szCs w:val="17"/>
          <w:color w:val="003551"/>
        </w:rPr>
        <w:t>The complete text of the Quorum Amendment is set forth in its entirety in rules 9.3 and 9.5 of our proposed Amended and Restated Constitution. A copy of our proposed Amended and Restated Constitution is attached as Appendix B to this Proxy Statement, which indicates proposed deletions with strikeouts and proposed additions with underlining.</w:t>
      </w:r>
    </w:p>
    <w:p>
      <w:pPr>
        <w:spacing w:after="0" w:line="67" w:lineRule="exact"/>
        <w:rPr>
          <w:sz w:val="20"/>
          <w:szCs w:val="20"/>
          <w:color w:val="auto"/>
        </w:rPr>
      </w:pPr>
    </w:p>
    <w:p>
      <w:pPr>
        <w:ind w:left="940" w:right="1100"/>
        <w:spacing w:after="0" w:line="283" w:lineRule="auto"/>
        <w:rPr>
          <w:sz w:val="20"/>
          <w:szCs w:val="20"/>
          <w:color w:val="auto"/>
        </w:rPr>
      </w:pPr>
      <w:r>
        <w:rPr>
          <w:rFonts w:ascii="Arial" w:cs="Arial" w:eastAsia="Arial" w:hAnsi="Arial"/>
          <w:sz w:val="17"/>
          <w:szCs w:val="17"/>
          <w:color w:val="003551"/>
        </w:rPr>
        <w:t>If the Quorum Amendment is approved and adopted, it will become effective immediately following the confirmation of shareholder approval.</w:t>
      </w:r>
    </w:p>
    <w:p>
      <w:pPr>
        <w:spacing w:after="0" w:line="37" w:lineRule="exact"/>
        <w:rPr>
          <w:sz w:val="20"/>
          <w:szCs w:val="20"/>
          <w:color w:val="auto"/>
        </w:rPr>
      </w:pPr>
    </w:p>
    <w:p>
      <w:pPr>
        <w:ind w:left="940" w:right="940"/>
        <w:spacing w:after="0" w:line="262" w:lineRule="auto"/>
        <w:rPr>
          <w:sz w:val="20"/>
          <w:szCs w:val="20"/>
          <w:color w:val="auto"/>
        </w:rPr>
      </w:pPr>
      <w:r>
        <w:rPr>
          <w:rFonts w:ascii="Arial" w:cs="Arial" w:eastAsia="Arial" w:hAnsi="Arial"/>
          <w:sz w:val="17"/>
          <w:szCs w:val="17"/>
          <w:color w:val="003551"/>
        </w:rPr>
        <w:t>Shareholders are also asked to consider Proposals 2, 3, 4 and 5, which relate to amendments to the Constitution to provide for the election of directors at each annual general meeting, a forum selection provision, updates to advance notice provisions for universal proxies, and other miscellaneous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111760</wp:posOffset>
            </wp:positionV>
            <wp:extent cx="540385" cy="6318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228600</wp:posOffset>
            </wp:positionV>
            <wp:extent cx="6786880" cy="165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6" w:right="12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40" w:right="920"/>
        <w:spacing w:after="0" w:line="248" w:lineRule="auto"/>
        <w:rPr>
          <w:sz w:val="20"/>
          <w:szCs w:val="20"/>
          <w:color w:val="auto"/>
        </w:rPr>
      </w:pPr>
      <w:r>
        <w:rPr>
          <w:rFonts w:ascii="Arial" w:cs="Arial" w:eastAsia="Arial" w:hAnsi="Arial"/>
          <w:sz w:val="17"/>
          <w:szCs w:val="17"/>
          <w:color w:val="003551"/>
        </w:rPr>
        <w:t>Each such proposal is independent of each other proposal. If all of Proposals 1 to 5 are approved by the shareholders, then the Amended and Restated Constitution that implements all of the amendments contemplated by such proposals and set forth in the copy of our proposed Amended and Restated Constitution attached as Appendix B to this Proxy Statement will become effective immediately following the confirmation of shareholder approval. If only certain of these proposals are approved by the shareholders, but one or more of such proposals are not approved by shareholders, then only the amendments to the Constitution that were approved by shareholders become effective.</w:t>
      </w:r>
    </w:p>
    <w:p>
      <w:pPr>
        <w:spacing w:after="0" w:line="200"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Resolution</w:t>
      </w:r>
    </w:p>
    <w:p>
      <w:pPr>
        <w:spacing w:after="0" w:line="45"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To consider and, if thought fit, to pass the following resolution as a special resolution:</w:t>
      </w:r>
    </w:p>
    <w:p>
      <w:pPr>
        <w:spacing w:after="0" w:line="98" w:lineRule="exact"/>
        <w:rPr>
          <w:sz w:val="20"/>
          <w:szCs w:val="20"/>
          <w:color w:val="auto"/>
        </w:rPr>
      </w:pPr>
    </w:p>
    <w:p>
      <w:pPr>
        <w:ind w:left="940" w:right="840"/>
        <w:spacing w:after="0" w:line="256" w:lineRule="auto"/>
        <w:rPr>
          <w:sz w:val="20"/>
          <w:szCs w:val="20"/>
          <w:color w:val="auto"/>
        </w:rPr>
      </w:pPr>
      <w:r>
        <w:rPr>
          <w:rFonts w:ascii="Arial" w:cs="Arial" w:eastAsia="Arial" w:hAnsi="Arial"/>
          <w:sz w:val="17"/>
          <w:szCs w:val="17"/>
          <w:b w:val="1"/>
          <w:bCs w:val="1"/>
          <w:color w:val="003551"/>
        </w:rPr>
        <w:t xml:space="preserve">RESOLVED, </w:t>
      </w:r>
      <w:r>
        <w:rPr>
          <w:rFonts w:ascii="Arial" w:cs="Arial" w:eastAsia="Arial" w:hAnsi="Arial"/>
          <w:sz w:val="17"/>
          <w:szCs w:val="17"/>
          <w:color w:val="003551"/>
        </w:rPr>
        <w:t>that for the purpose of section 136 of the Corporations Act and for all other purposes under</w:t>
      </w:r>
      <w:r>
        <w:rPr>
          <w:rFonts w:ascii="Arial" w:cs="Arial" w:eastAsia="Arial" w:hAnsi="Arial"/>
          <w:sz w:val="17"/>
          <w:szCs w:val="17"/>
          <w:b w:val="1"/>
          <w:bCs w:val="1"/>
          <w:color w:val="003551"/>
        </w:rPr>
        <w:t xml:space="preserve"> </w:t>
      </w:r>
      <w:r>
        <w:rPr>
          <w:rFonts w:ascii="Arial" w:cs="Arial" w:eastAsia="Arial" w:hAnsi="Arial"/>
          <w:sz w:val="17"/>
          <w:szCs w:val="17"/>
          <w:color w:val="003551"/>
        </w:rPr>
        <w:t>the Corporations Act, the Constitution is amended as per the Quorum Amendment as set forth in its entirety in rules 9.3 and 9.5 of the proposed Amended and Restated Constitution attached as Appendix B to this Proxy Statement.</w:t>
      </w:r>
    </w:p>
    <w:p>
      <w:pPr>
        <w:spacing w:after="0" w:line="206"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Vote Required</w:t>
      </w:r>
    </w:p>
    <w:p>
      <w:pPr>
        <w:spacing w:after="0" w:line="15" w:lineRule="exact"/>
        <w:rPr>
          <w:sz w:val="20"/>
          <w:szCs w:val="20"/>
          <w:color w:val="auto"/>
        </w:rPr>
      </w:pPr>
    </w:p>
    <w:p>
      <w:pPr>
        <w:ind w:left="940" w:right="820"/>
        <w:spacing w:after="0" w:line="263" w:lineRule="auto"/>
        <w:rPr>
          <w:sz w:val="20"/>
          <w:szCs w:val="20"/>
          <w:color w:val="auto"/>
        </w:rPr>
      </w:pPr>
      <w:r>
        <w:rPr>
          <w:rFonts w:ascii="Arial" w:cs="Arial" w:eastAsia="Arial" w:hAnsi="Arial"/>
          <w:sz w:val="17"/>
          <w:szCs w:val="17"/>
          <w:color w:val="003551"/>
        </w:rPr>
        <w:t>The affirmative vote of at least 75% of votes cast will be required by shareholders who are entitled to vote on the resolution to approve Proposal 1.</w:t>
      </w:r>
    </w:p>
    <w:p>
      <w:pPr>
        <w:spacing w:after="0" w:line="53" w:lineRule="exact"/>
        <w:rPr>
          <w:sz w:val="20"/>
          <w:szCs w:val="20"/>
          <w:color w:val="auto"/>
        </w:rPr>
      </w:pPr>
    </w:p>
    <w:p>
      <w:pPr>
        <w:ind w:left="940" w:right="800"/>
        <w:spacing w:after="0" w:line="249" w:lineRule="auto"/>
        <w:rPr>
          <w:sz w:val="20"/>
          <w:szCs w:val="20"/>
          <w:color w:val="auto"/>
        </w:rPr>
      </w:pPr>
      <w:r>
        <w:rPr>
          <w:rFonts w:ascii="Arial" w:cs="Arial" w:eastAsia="Arial" w:hAnsi="Arial"/>
          <w:sz w:val="17"/>
          <w:szCs w:val="17"/>
          <w:color w:val="003551"/>
        </w:rPr>
        <w:t>Proposal 1 is a “non-routine” matter on which a broker, bank or other nominee is not entitled to vote shares held on behalf of a beneficial owner without receiving voting instructions from the beneficial owner. Consequently, if you hold your shares in street name (such as through a brokerage account) and you do not instruct your broker, bank or other nominee on how to vote on this Proposal 1, a “broker non-vote” will occur with respect to Proposal 1. Abstentions, if any, and broker non-votes with respect to Proposal 1 are not treated as votes cast and will not be counted in determining the outcome of Proposal 1.</w:t>
      </w:r>
    </w:p>
    <w:p>
      <w:pPr>
        <w:spacing w:after="0" w:line="65" w:lineRule="exact"/>
        <w:rPr>
          <w:sz w:val="20"/>
          <w:szCs w:val="20"/>
          <w:color w:val="auto"/>
        </w:rPr>
      </w:pPr>
    </w:p>
    <w:p>
      <w:pPr>
        <w:ind w:left="940" w:right="940"/>
        <w:spacing w:after="0" w:line="295" w:lineRule="auto"/>
        <w:rPr>
          <w:sz w:val="20"/>
          <w:szCs w:val="20"/>
          <w:color w:val="auto"/>
        </w:rPr>
      </w:pPr>
      <w:r>
        <w:rPr>
          <w:rFonts w:ascii="Arial" w:cs="Arial" w:eastAsia="Arial" w:hAnsi="Arial"/>
          <w:sz w:val="17"/>
          <w:szCs w:val="17"/>
          <w:b w:val="1"/>
          <w:bCs w:val="1"/>
          <w:color w:val="003551"/>
        </w:rPr>
        <w:t>The Board unanimously recommends a vote FOR the approval of the Quorum Amendment to the Constitution described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89535</wp:posOffset>
            </wp:positionV>
            <wp:extent cx="540385" cy="63182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6" w:right="12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940" w:right="1440"/>
        <w:spacing w:after="0" w:line="299" w:lineRule="auto"/>
        <w:rPr>
          <w:sz w:val="20"/>
          <w:szCs w:val="20"/>
          <w:color w:val="auto"/>
        </w:rPr>
      </w:pPr>
      <w:r>
        <w:rPr>
          <w:rFonts w:ascii="Arial" w:cs="Arial" w:eastAsia="Arial" w:hAnsi="Arial"/>
          <w:sz w:val="27"/>
          <w:szCs w:val="27"/>
          <w:color w:val="003551"/>
        </w:rPr>
        <w:t>Proposal 2: Approve an amendment to IREN’s constitution to provide for director elections at each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-62865</wp:posOffset>
            </wp:positionV>
            <wp:extent cx="522351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223510" cy="8255"/>
                    </a:xfrm>
                    <a:prstGeom prst="rect">
                      <a:avLst/>
                    </a:prstGeom>
                    <a:noFill/>
                  </pic:spPr>
                </pic:pic>
              </a:graphicData>
            </a:graphic>
          </wp:anchor>
        </w:drawing>
      </w:r>
    </w:p>
    <w:p>
      <w:pPr>
        <w:spacing w:after="0" w:line="76"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Proposal</w:t>
      </w:r>
    </w:p>
    <w:p>
      <w:pPr>
        <w:spacing w:after="0" w:line="15" w:lineRule="exact"/>
        <w:rPr>
          <w:sz w:val="20"/>
          <w:szCs w:val="20"/>
          <w:color w:val="auto"/>
        </w:rPr>
      </w:pPr>
    </w:p>
    <w:p>
      <w:pPr>
        <w:ind w:left="940" w:right="820"/>
        <w:spacing w:after="0" w:line="245" w:lineRule="auto"/>
        <w:rPr>
          <w:sz w:val="20"/>
          <w:szCs w:val="20"/>
          <w:color w:val="auto"/>
        </w:rPr>
      </w:pPr>
      <w:r>
        <w:rPr>
          <w:rFonts w:ascii="Arial" w:cs="Arial" w:eastAsia="Arial" w:hAnsi="Arial"/>
          <w:sz w:val="17"/>
          <w:szCs w:val="17"/>
          <w:color w:val="003551"/>
        </w:rPr>
        <w:t>The Board has unanimously approved, adopted and declared advisable an amendment to rules 4.3 and 4.4 of the Constitution, and the addition of a new rule 4.5 to the Constitution, to provide for the election of directors other than the Founder Directors (as defined below) (“</w:t>
      </w:r>
      <w:r>
        <w:rPr>
          <w:rFonts w:ascii="Arial" w:cs="Arial" w:eastAsia="Arial" w:hAnsi="Arial"/>
          <w:sz w:val="17"/>
          <w:szCs w:val="17"/>
          <w:b w:val="1"/>
          <w:bCs w:val="1"/>
          <w:color w:val="003551"/>
        </w:rPr>
        <w:t>Non-Founder Directors</w:t>
      </w:r>
      <w:r>
        <w:rPr>
          <w:rFonts w:ascii="Arial" w:cs="Arial" w:eastAsia="Arial" w:hAnsi="Arial"/>
          <w:sz w:val="17"/>
          <w:szCs w:val="17"/>
          <w:color w:val="003551"/>
        </w:rPr>
        <w:t>”) to the Board at each annual general meeting (the “</w:t>
      </w:r>
      <w:r>
        <w:rPr>
          <w:rFonts w:ascii="Arial" w:cs="Arial" w:eastAsia="Arial" w:hAnsi="Arial"/>
          <w:sz w:val="17"/>
          <w:szCs w:val="17"/>
          <w:b w:val="1"/>
          <w:bCs w:val="1"/>
          <w:color w:val="003551"/>
        </w:rPr>
        <w:t>Director Election Amendment</w:t>
      </w:r>
      <w:r>
        <w:rPr>
          <w:rFonts w:ascii="Arial" w:cs="Arial" w:eastAsia="Arial" w:hAnsi="Arial"/>
          <w:sz w:val="17"/>
          <w:szCs w:val="17"/>
          <w:color w:val="003551"/>
        </w:rPr>
        <w:t>”). Non-Founder Directors would serve terms based on a classified board structure, with such classified board structure to sunset beginning with the 2030 annual general meeting.</w:t>
      </w:r>
    </w:p>
    <w:p>
      <w:pPr>
        <w:spacing w:after="0" w:line="231"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Background</w:t>
      </w:r>
    </w:p>
    <w:p>
      <w:pPr>
        <w:spacing w:after="0" w:line="15" w:lineRule="exact"/>
        <w:rPr>
          <w:sz w:val="20"/>
          <w:szCs w:val="20"/>
          <w:color w:val="auto"/>
        </w:rPr>
      </w:pPr>
    </w:p>
    <w:p>
      <w:pPr>
        <w:ind w:left="940" w:right="880"/>
        <w:spacing w:after="0" w:line="245" w:lineRule="auto"/>
        <w:rPr>
          <w:sz w:val="20"/>
          <w:szCs w:val="20"/>
          <w:color w:val="auto"/>
        </w:rPr>
      </w:pPr>
      <w:r>
        <w:rPr>
          <w:rFonts w:ascii="Arial" w:cs="Arial" w:eastAsia="Arial" w:hAnsi="Arial"/>
          <w:sz w:val="17"/>
          <w:szCs w:val="17"/>
          <w:color w:val="003551"/>
        </w:rPr>
        <w:t>Currently, there is no requirement that any directors are elected by shareholders at annual general meetings. The purpose of introducing the Director Election Amendment is to require that Non-Founder Directors must be elected by shareholders at annual general meetings upon the expiration of their terms. While the Constitution does not currently require that Non-Founder Directors be elected at any time by shareholders once they have been duly appointed or elected, the Board has determined that it is in the best interests of IREN and its shareholders to adopt the Director Election Amendment to provide shareholders with the right to elect Non-Founder Directors at future annual general meetings.</w:t>
      </w:r>
    </w:p>
    <w:p>
      <w:pPr>
        <w:spacing w:after="0" w:line="67" w:lineRule="exact"/>
        <w:rPr>
          <w:sz w:val="20"/>
          <w:szCs w:val="20"/>
          <w:color w:val="auto"/>
        </w:rPr>
      </w:pPr>
    </w:p>
    <w:p>
      <w:pPr>
        <w:ind w:left="940" w:right="940"/>
        <w:spacing w:after="0" w:line="262" w:lineRule="auto"/>
        <w:rPr>
          <w:sz w:val="20"/>
          <w:szCs w:val="20"/>
          <w:color w:val="auto"/>
        </w:rPr>
      </w:pPr>
      <w:r>
        <w:rPr>
          <w:rFonts w:ascii="Arial" w:cs="Arial" w:eastAsia="Arial" w:hAnsi="Arial"/>
          <w:sz w:val="17"/>
          <w:szCs w:val="17"/>
          <w:color w:val="003551"/>
        </w:rPr>
        <w:t>Pursuant to rules 4.3 and 4.4 of the Constitution as currently in effect, directors may currently be elected as follows, so long as the maximum number of directors set forth in the Constitution or by company resolution is not exceeded:</w:t>
      </w:r>
    </w:p>
    <w:p>
      <w:pPr>
        <w:spacing w:after="0" w:line="80" w:lineRule="exact"/>
        <w:rPr>
          <w:sz w:val="20"/>
          <w:szCs w:val="20"/>
          <w:color w:val="auto"/>
        </w:rPr>
      </w:pPr>
    </w:p>
    <w:p>
      <w:pPr>
        <w:ind w:left="1280" w:hanging="337"/>
        <w:spacing w:after="0"/>
        <w:tabs>
          <w:tab w:leader="none" w:pos="1280" w:val="left"/>
        </w:tabs>
        <w:numPr>
          <w:ilvl w:val="0"/>
          <w:numId w:val="54"/>
        </w:numPr>
        <w:rPr>
          <w:rFonts w:ascii="Arial" w:cs="Arial" w:eastAsia="Arial" w:hAnsi="Arial"/>
          <w:sz w:val="17"/>
          <w:szCs w:val="17"/>
          <w:color w:val="003551"/>
        </w:rPr>
      </w:pPr>
      <w:r>
        <w:rPr>
          <w:rFonts w:ascii="Arial" w:cs="Arial" w:eastAsia="Arial" w:hAnsi="Arial"/>
          <w:sz w:val="17"/>
          <w:szCs w:val="17"/>
          <w:color w:val="003551"/>
        </w:rPr>
        <w:t>the Board may at any time appoint a director; and</w:t>
      </w:r>
    </w:p>
    <w:p>
      <w:pPr>
        <w:spacing w:after="0" w:line="145" w:lineRule="exact"/>
        <w:rPr>
          <w:rFonts w:ascii="Arial" w:cs="Arial" w:eastAsia="Arial" w:hAnsi="Arial"/>
          <w:sz w:val="17"/>
          <w:szCs w:val="17"/>
          <w:color w:val="003551"/>
        </w:rPr>
      </w:pPr>
    </w:p>
    <w:p>
      <w:pPr>
        <w:ind w:left="1280" w:hanging="337"/>
        <w:spacing w:after="0"/>
        <w:tabs>
          <w:tab w:leader="none" w:pos="1280" w:val="left"/>
        </w:tabs>
        <w:numPr>
          <w:ilvl w:val="0"/>
          <w:numId w:val="54"/>
        </w:numPr>
        <w:rPr>
          <w:rFonts w:ascii="Arial" w:cs="Arial" w:eastAsia="Arial" w:hAnsi="Arial"/>
          <w:sz w:val="17"/>
          <w:szCs w:val="17"/>
          <w:color w:val="003551"/>
        </w:rPr>
      </w:pPr>
      <w:r>
        <w:rPr>
          <w:rFonts w:ascii="Arial" w:cs="Arial" w:eastAsia="Arial" w:hAnsi="Arial"/>
          <w:sz w:val="17"/>
          <w:szCs w:val="17"/>
          <w:color w:val="003551"/>
        </w:rPr>
        <w:t>IREN may by resolution at a general meeting of shareholders elect or re-elect a person as a director.</w:t>
      </w:r>
    </w:p>
    <w:p>
      <w:pPr>
        <w:spacing w:after="0" w:line="106" w:lineRule="exact"/>
        <w:rPr>
          <w:sz w:val="20"/>
          <w:szCs w:val="20"/>
          <w:color w:val="auto"/>
        </w:rPr>
      </w:pPr>
    </w:p>
    <w:p>
      <w:pPr>
        <w:ind w:left="940" w:right="840"/>
        <w:spacing w:after="0" w:line="248" w:lineRule="auto"/>
        <w:rPr>
          <w:sz w:val="20"/>
          <w:szCs w:val="20"/>
          <w:color w:val="auto"/>
        </w:rPr>
      </w:pPr>
      <w:r>
        <w:rPr>
          <w:rFonts w:ascii="Arial" w:cs="Arial" w:eastAsia="Arial" w:hAnsi="Arial"/>
          <w:sz w:val="17"/>
          <w:szCs w:val="17"/>
          <w:color w:val="003551"/>
        </w:rPr>
        <w:t>The Constitution currently does not require the election or re-election of any nominees by shareholders at each annual general meeting or at any other time. Under the Constitution, directors are only appointed by the Board. Once such directors are appointed, then rule 4.6 of the Constitution provides that directors will hold office until the director resigns, is removed, becomes disqualified under the Corporations Act, is not present or represented for three consecutive board meetings or a period of six consecutive months, is convicted of an offence and the directors resolve to remove them from office, dies, is or becomes of unsound mind, or is or becomes bankrupt or insolvent.</w:t>
      </w:r>
    </w:p>
    <w:p>
      <w:pPr>
        <w:spacing w:after="0" w:line="66" w:lineRule="exact"/>
        <w:rPr>
          <w:sz w:val="20"/>
          <w:szCs w:val="20"/>
          <w:color w:val="auto"/>
        </w:rPr>
      </w:pPr>
    </w:p>
    <w:p>
      <w:pPr>
        <w:jc w:val="both"/>
        <w:ind w:left="940" w:right="740"/>
        <w:spacing w:after="0" w:line="247" w:lineRule="auto"/>
        <w:rPr>
          <w:sz w:val="20"/>
          <w:szCs w:val="20"/>
          <w:color w:val="auto"/>
        </w:rPr>
      </w:pPr>
      <w:r>
        <w:rPr>
          <w:rFonts w:ascii="Arial" w:cs="Arial" w:eastAsia="Arial" w:hAnsi="Arial"/>
          <w:sz w:val="17"/>
          <w:szCs w:val="17"/>
          <w:color w:val="003551"/>
        </w:rPr>
        <w:t>The Director Election Amendment would provide for the election of Non-Founder Directors to the Board at each annual general meeting. Such Non-Founder Directors would serve terms based on a classified board structure, with such classified board structure to sunset beginning with the 2030 annual general meeting.</w:t>
      </w:r>
    </w:p>
    <w:p>
      <w:pPr>
        <w:spacing w:after="0" w:line="2" w:lineRule="exact"/>
        <w:rPr>
          <w:sz w:val="20"/>
          <w:szCs w:val="20"/>
          <w:color w:val="auto"/>
        </w:rPr>
      </w:pPr>
    </w:p>
    <w:p>
      <w:pPr>
        <w:ind w:left="940" w:right="800"/>
        <w:spacing w:after="0" w:line="246" w:lineRule="auto"/>
        <w:rPr>
          <w:sz w:val="20"/>
          <w:szCs w:val="20"/>
          <w:color w:val="auto"/>
        </w:rPr>
      </w:pPr>
      <w:r>
        <w:rPr>
          <w:rFonts w:ascii="Arial" w:cs="Arial" w:eastAsia="Arial" w:hAnsi="Arial"/>
          <w:sz w:val="17"/>
          <w:szCs w:val="17"/>
          <w:color w:val="003551"/>
        </w:rPr>
        <w:t>The Board believes the Director Election Amendment, including the proposed classified board structure is in the best interests of IREN and its shareholders. In particular, with respect to the classified board structure, the Board believes IREN and its shareholders would benefit from having continuity on the board of directors as IREN continues to grow and mature, given IREN is a fairly new public company, while the sunset provision recognizes and promotes good corporate governance.</w:t>
      </w:r>
    </w:p>
    <w:p>
      <w:pPr>
        <w:spacing w:after="0" w:line="69" w:lineRule="exact"/>
        <w:rPr>
          <w:sz w:val="20"/>
          <w:szCs w:val="20"/>
          <w:color w:val="auto"/>
        </w:rPr>
      </w:pPr>
    </w:p>
    <w:p>
      <w:pPr>
        <w:ind w:left="940" w:right="820"/>
        <w:spacing w:after="0" w:line="249" w:lineRule="auto"/>
        <w:rPr>
          <w:sz w:val="20"/>
          <w:szCs w:val="20"/>
          <w:color w:val="auto"/>
        </w:rPr>
      </w:pPr>
      <w:r>
        <w:rPr>
          <w:rFonts w:ascii="Arial" w:cs="Arial" w:eastAsia="Arial" w:hAnsi="Arial"/>
          <w:sz w:val="17"/>
          <w:szCs w:val="17"/>
          <w:color w:val="003551"/>
        </w:rPr>
        <w:t>The Director Election Amendment would amend rules 4.3 and 4.4 of the Constitution, and also add a new rule 4.5 to the Constitution, to provide for the election of Non-Founder Directors at each annual general meeting. The Director Election Amendment must first be approved by shareholders in order for Non-Founder Directors to be elected at annual general meetings. Assuming that the Director Election Amendment is approved, then the shareholders would have the ability to vote on the election of the Non-Founder Directors, under a classified board structure, commencing with our 2026 annual general meeting (“</w:t>
      </w:r>
      <w:r>
        <w:rPr>
          <w:rFonts w:ascii="Arial" w:cs="Arial" w:eastAsia="Arial" w:hAnsi="Arial"/>
          <w:sz w:val="17"/>
          <w:szCs w:val="17"/>
          <w:b w:val="1"/>
          <w:bCs w:val="1"/>
          <w:color w:val="003551"/>
        </w:rPr>
        <w:t>2026 AGM</w:t>
      </w:r>
      <w:r>
        <w:rPr>
          <w:rFonts w:ascii="Arial" w:cs="Arial" w:eastAsia="Arial" w:hAnsi="Arial"/>
          <w:sz w:val="17"/>
          <w:szCs w:val="17"/>
          <w:color w:val="00355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115570</wp:posOffset>
            </wp:positionV>
            <wp:extent cx="540385" cy="63182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228600</wp:posOffset>
            </wp:positionV>
            <wp:extent cx="6786880" cy="165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6" w:right="12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40" w:right="900"/>
        <w:spacing w:after="0" w:line="283" w:lineRule="auto"/>
        <w:rPr>
          <w:sz w:val="20"/>
          <w:szCs w:val="20"/>
          <w:color w:val="auto"/>
        </w:rPr>
      </w:pPr>
      <w:r>
        <w:rPr>
          <w:rFonts w:ascii="Arial" w:cs="Arial" w:eastAsia="Arial" w:hAnsi="Arial"/>
          <w:sz w:val="17"/>
          <w:szCs w:val="17"/>
          <w:color w:val="003551"/>
        </w:rPr>
        <w:t>Specifically, the Director Election Amendment would provide for the election of Non-Founder Directors at each annual general meeting as follows:</w:t>
      </w:r>
    </w:p>
    <w:p>
      <w:pPr>
        <w:spacing w:after="0" w:line="63" w:lineRule="exact"/>
        <w:rPr>
          <w:sz w:val="20"/>
          <w:szCs w:val="20"/>
          <w:color w:val="auto"/>
        </w:rPr>
      </w:pPr>
    </w:p>
    <w:p>
      <w:pPr>
        <w:ind w:left="1280" w:right="1240" w:hanging="337"/>
        <w:spacing w:after="0" w:line="262" w:lineRule="auto"/>
        <w:tabs>
          <w:tab w:leader="none" w:pos="1280" w:val="left"/>
        </w:tabs>
        <w:numPr>
          <w:ilvl w:val="0"/>
          <w:numId w:val="55"/>
        </w:numPr>
        <w:rPr>
          <w:rFonts w:ascii="Arial" w:cs="Arial" w:eastAsia="Arial" w:hAnsi="Arial"/>
          <w:sz w:val="17"/>
          <w:szCs w:val="17"/>
          <w:color w:val="003551"/>
        </w:rPr>
      </w:pPr>
      <w:r>
        <w:rPr>
          <w:rFonts w:ascii="Arial" w:cs="Arial" w:eastAsia="Arial" w:hAnsi="Arial"/>
          <w:sz w:val="17"/>
          <w:szCs w:val="17"/>
          <w:color w:val="003551"/>
        </w:rPr>
        <w:t>the Non-Founder Directors would be divided into three classes, designated Class I, Class II and Class III, each consisting (as nearly as practicable) of one-third of the total number of directors following the AGM:</w:t>
      </w:r>
    </w:p>
    <w:p>
      <w:pPr>
        <w:spacing w:after="0" w:line="54" w:lineRule="exact"/>
        <w:rPr>
          <w:rFonts w:ascii="Arial" w:cs="Arial" w:eastAsia="Arial" w:hAnsi="Arial"/>
          <w:sz w:val="17"/>
          <w:szCs w:val="17"/>
          <w:color w:val="003551"/>
        </w:rPr>
      </w:pPr>
    </w:p>
    <w:p>
      <w:pPr>
        <w:ind w:left="1640" w:right="740" w:hanging="348"/>
        <w:spacing w:after="0" w:line="234" w:lineRule="auto"/>
        <w:tabs>
          <w:tab w:leader="none" w:pos="1640" w:val="left"/>
        </w:tabs>
        <w:numPr>
          <w:ilvl w:val="1"/>
          <w:numId w:val="55"/>
        </w:numPr>
        <w:rPr>
          <w:rFonts w:ascii="Arial" w:cs="Arial" w:eastAsia="Arial" w:hAnsi="Arial"/>
          <w:sz w:val="21"/>
          <w:szCs w:val="21"/>
          <w:color w:val="003551"/>
          <w:vertAlign w:val="superscript"/>
        </w:rPr>
      </w:pPr>
      <w:r>
        <w:rPr>
          <w:rFonts w:ascii="Arial" w:cs="Arial" w:eastAsia="Arial" w:hAnsi="Arial"/>
          <w:sz w:val="17"/>
          <w:szCs w:val="17"/>
          <w:color w:val="003551"/>
        </w:rPr>
        <w:t>the Class I directors would initially consist of Christopher Guzowski, and would serve an initial term ending on the date of the 2026 annual general meeting;</w:t>
      </w:r>
    </w:p>
    <w:p>
      <w:pPr>
        <w:spacing w:after="0" w:line="71" w:lineRule="exact"/>
        <w:rPr>
          <w:rFonts w:ascii="Arial" w:cs="Arial" w:eastAsia="Arial" w:hAnsi="Arial"/>
          <w:sz w:val="21"/>
          <w:szCs w:val="21"/>
          <w:color w:val="003551"/>
          <w:vertAlign w:val="superscript"/>
        </w:rPr>
      </w:pPr>
    </w:p>
    <w:p>
      <w:pPr>
        <w:ind w:left="1640" w:right="740" w:hanging="348"/>
        <w:spacing w:after="0" w:line="234" w:lineRule="auto"/>
        <w:tabs>
          <w:tab w:leader="none" w:pos="1640" w:val="left"/>
        </w:tabs>
        <w:numPr>
          <w:ilvl w:val="1"/>
          <w:numId w:val="55"/>
        </w:numPr>
        <w:rPr>
          <w:rFonts w:ascii="Arial" w:cs="Arial" w:eastAsia="Arial" w:hAnsi="Arial"/>
          <w:sz w:val="21"/>
          <w:szCs w:val="21"/>
          <w:color w:val="003551"/>
          <w:vertAlign w:val="superscript"/>
        </w:rPr>
      </w:pPr>
      <w:r>
        <w:rPr>
          <w:rFonts w:ascii="Arial" w:cs="Arial" w:eastAsia="Arial" w:hAnsi="Arial"/>
          <w:sz w:val="17"/>
          <w:szCs w:val="17"/>
          <w:color w:val="003551"/>
        </w:rPr>
        <w:t>the Class II directors would initially consist of David Bartholomew, and would serve an initial term ending on the date of the 2027 annual general meeting; and</w:t>
      </w:r>
    </w:p>
    <w:p>
      <w:pPr>
        <w:spacing w:after="0" w:line="71" w:lineRule="exact"/>
        <w:rPr>
          <w:rFonts w:ascii="Arial" w:cs="Arial" w:eastAsia="Arial" w:hAnsi="Arial"/>
          <w:sz w:val="21"/>
          <w:szCs w:val="21"/>
          <w:color w:val="003551"/>
          <w:vertAlign w:val="superscript"/>
        </w:rPr>
      </w:pPr>
    </w:p>
    <w:p>
      <w:pPr>
        <w:ind w:left="1640" w:right="740" w:hanging="348"/>
        <w:spacing w:after="0" w:line="234" w:lineRule="auto"/>
        <w:tabs>
          <w:tab w:leader="none" w:pos="1640" w:val="left"/>
        </w:tabs>
        <w:numPr>
          <w:ilvl w:val="1"/>
          <w:numId w:val="55"/>
        </w:numPr>
        <w:rPr>
          <w:rFonts w:ascii="Arial" w:cs="Arial" w:eastAsia="Arial" w:hAnsi="Arial"/>
          <w:sz w:val="21"/>
          <w:szCs w:val="21"/>
          <w:color w:val="003551"/>
          <w:vertAlign w:val="superscript"/>
        </w:rPr>
      </w:pPr>
      <w:r>
        <w:rPr>
          <w:rFonts w:ascii="Arial" w:cs="Arial" w:eastAsia="Arial" w:hAnsi="Arial"/>
          <w:sz w:val="17"/>
          <w:szCs w:val="17"/>
          <w:color w:val="003551"/>
        </w:rPr>
        <w:t>the Class III directors would initially consist of Michael Alfred and Sunita Parasuraman, and would serve an initial term ending on the date of the 2028 annual general meeting;</w:t>
      </w:r>
    </w:p>
    <w:p>
      <w:pPr>
        <w:spacing w:after="0" w:line="111" w:lineRule="exact"/>
        <w:rPr>
          <w:rFonts w:ascii="Arial" w:cs="Arial" w:eastAsia="Arial" w:hAnsi="Arial"/>
          <w:sz w:val="21"/>
          <w:szCs w:val="21"/>
          <w:color w:val="003551"/>
          <w:vertAlign w:val="superscript"/>
        </w:rPr>
      </w:pPr>
    </w:p>
    <w:p>
      <w:pPr>
        <w:ind w:left="1280" w:right="800" w:hanging="337"/>
        <w:spacing w:after="0" w:line="262" w:lineRule="auto"/>
        <w:tabs>
          <w:tab w:leader="none" w:pos="1280" w:val="left"/>
        </w:tabs>
        <w:numPr>
          <w:ilvl w:val="0"/>
          <w:numId w:val="55"/>
        </w:numPr>
        <w:rPr>
          <w:rFonts w:ascii="Arial" w:cs="Arial" w:eastAsia="Arial" w:hAnsi="Arial"/>
          <w:sz w:val="17"/>
          <w:szCs w:val="17"/>
          <w:color w:val="003551"/>
        </w:rPr>
      </w:pPr>
      <w:r>
        <w:rPr>
          <w:rFonts w:ascii="Arial" w:cs="Arial" w:eastAsia="Arial" w:hAnsi="Arial"/>
          <w:sz w:val="17"/>
          <w:szCs w:val="17"/>
          <w:color w:val="003551"/>
        </w:rPr>
        <w:t>after the expiration of their initial terms as noted above, each such director would serve a term ending on the third annual general meeting next following the annual general meeting at which the director was elected;</w:t>
      </w:r>
    </w:p>
    <w:p>
      <w:pPr>
        <w:spacing w:after="0" w:line="93" w:lineRule="exact"/>
        <w:rPr>
          <w:rFonts w:ascii="Arial" w:cs="Arial" w:eastAsia="Arial" w:hAnsi="Arial"/>
          <w:sz w:val="17"/>
          <w:szCs w:val="17"/>
          <w:color w:val="003551"/>
        </w:rPr>
      </w:pPr>
    </w:p>
    <w:p>
      <w:pPr>
        <w:ind w:left="1280" w:right="820" w:hanging="337"/>
        <w:spacing w:after="0" w:line="255" w:lineRule="auto"/>
        <w:tabs>
          <w:tab w:leader="none" w:pos="1280" w:val="left"/>
        </w:tabs>
        <w:numPr>
          <w:ilvl w:val="0"/>
          <w:numId w:val="55"/>
        </w:numPr>
        <w:rPr>
          <w:rFonts w:ascii="Arial" w:cs="Arial" w:eastAsia="Arial" w:hAnsi="Arial"/>
          <w:sz w:val="17"/>
          <w:szCs w:val="17"/>
          <w:color w:val="003551"/>
        </w:rPr>
      </w:pPr>
      <w:r>
        <w:rPr>
          <w:rFonts w:ascii="Arial" w:cs="Arial" w:eastAsia="Arial" w:hAnsi="Arial"/>
          <w:sz w:val="17"/>
          <w:szCs w:val="17"/>
          <w:color w:val="003551"/>
        </w:rPr>
        <w:t>at each annual general meeting, the successors of the members of the class of directors whose term expires at that meeting would be elected to hold office for a term expiring at the third succeeding annual general meeting following the annual general meeting at which such director was elected until the 2032 annual general meeting;</w:t>
      </w:r>
    </w:p>
    <w:p>
      <w:pPr>
        <w:spacing w:after="0" w:line="86" w:lineRule="exact"/>
        <w:rPr>
          <w:rFonts w:ascii="Arial" w:cs="Arial" w:eastAsia="Arial" w:hAnsi="Arial"/>
          <w:sz w:val="17"/>
          <w:szCs w:val="17"/>
          <w:color w:val="003551"/>
        </w:rPr>
      </w:pPr>
    </w:p>
    <w:p>
      <w:pPr>
        <w:ind w:left="1280" w:right="820" w:hanging="337"/>
        <w:spacing w:after="0" w:line="262" w:lineRule="auto"/>
        <w:tabs>
          <w:tab w:leader="none" w:pos="1280" w:val="left"/>
        </w:tabs>
        <w:numPr>
          <w:ilvl w:val="0"/>
          <w:numId w:val="55"/>
        </w:numPr>
        <w:rPr>
          <w:rFonts w:ascii="Arial" w:cs="Arial" w:eastAsia="Arial" w:hAnsi="Arial"/>
          <w:sz w:val="17"/>
          <w:szCs w:val="17"/>
          <w:color w:val="003551"/>
        </w:rPr>
      </w:pPr>
      <w:r>
        <w:rPr>
          <w:rFonts w:ascii="Arial" w:cs="Arial" w:eastAsia="Arial" w:hAnsi="Arial"/>
          <w:sz w:val="17"/>
          <w:szCs w:val="17"/>
          <w:color w:val="003551"/>
        </w:rPr>
        <w:t>commencing with our 2030 annual general meeting, each director with his or her term expiring at that meeting would be elected annually, and the Board would no longer be classified into three classes effective at the conclusion of our 2032 annual general meeting; and</w:t>
      </w:r>
    </w:p>
    <w:p>
      <w:pPr>
        <w:spacing w:after="0" w:line="93" w:lineRule="exact"/>
        <w:rPr>
          <w:rFonts w:ascii="Arial" w:cs="Arial" w:eastAsia="Arial" w:hAnsi="Arial"/>
          <w:sz w:val="17"/>
          <w:szCs w:val="17"/>
          <w:color w:val="003551"/>
        </w:rPr>
      </w:pPr>
    </w:p>
    <w:p>
      <w:pPr>
        <w:ind w:left="1280" w:right="840" w:hanging="337"/>
        <w:spacing w:after="0" w:line="251" w:lineRule="auto"/>
        <w:tabs>
          <w:tab w:leader="none" w:pos="1280" w:val="left"/>
        </w:tabs>
        <w:numPr>
          <w:ilvl w:val="0"/>
          <w:numId w:val="55"/>
        </w:numPr>
        <w:rPr>
          <w:rFonts w:ascii="Arial" w:cs="Arial" w:eastAsia="Arial" w:hAnsi="Arial"/>
          <w:sz w:val="17"/>
          <w:szCs w:val="17"/>
          <w:color w:val="003551"/>
        </w:rPr>
      </w:pPr>
      <w:r>
        <w:rPr>
          <w:rFonts w:ascii="Arial" w:cs="Arial" w:eastAsia="Arial" w:hAnsi="Arial"/>
          <w:sz w:val="17"/>
          <w:szCs w:val="17"/>
          <w:color w:val="003551"/>
        </w:rPr>
        <w:t>the Board would have the right to appoint a director to fill vacancies resulting from a director ceasing to hold office and to fill newly created directorships resulting from any increase in the number of directors, so long as the total number of directors does not exceed the maximum number determined in accordance with the Constitution, and each director so appointed will hold office for a term that coincides with the term of the class to which such director is appointed.</w:t>
      </w:r>
    </w:p>
    <w:p>
      <w:pPr>
        <w:spacing w:after="0" w:line="65" w:lineRule="exact"/>
        <w:rPr>
          <w:sz w:val="20"/>
          <w:szCs w:val="20"/>
          <w:color w:val="auto"/>
        </w:rPr>
      </w:pPr>
    </w:p>
    <w:p>
      <w:pPr>
        <w:ind w:left="940" w:right="740"/>
        <w:spacing w:after="0" w:line="244" w:lineRule="auto"/>
        <w:rPr>
          <w:sz w:val="20"/>
          <w:szCs w:val="20"/>
          <w:color w:val="auto"/>
        </w:rPr>
      </w:pPr>
      <w:r>
        <w:rPr>
          <w:rFonts w:ascii="Arial" w:cs="Arial" w:eastAsia="Arial" w:hAnsi="Arial"/>
          <w:sz w:val="17"/>
          <w:szCs w:val="17"/>
          <w:color w:val="003551"/>
        </w:rPr>
        <w:t>For the Founder Directors, paragraph 9 of the terms applicable to the B Shares set forth in Schedule 1 to the Constitution provide that each of our two founder shareholders (or their respective affiliate) that holds a B Share is entitled to designate a nominee for election to the Board (such designees, the “</w:t>
      </w:r>
      <w:r>
        <w:rPr>
          <w:rFonts w:ascii="Arial" w:cs="Arial" w:eastAsia="Arial" w:hAnsi="Arial"/>
          <w:sz w:val="17"/>
          <w:szCs w:val="17"/>
          <w:b w:val="1"/>
          <w:bCs w:val="1"/>
          <w:color w:val="003551"/>
        </w:rPr>
        <w:t>Founder</w:t>
      </w:r>
      <w:r>
        <w:rPr>
          <w:rFonts w:ascii="Arial" w:cs="Arial" w:eastAsia="Arial" w:hAnsi="Arial"/>
          <w:sz w:val="17"/>
          <w:szCs w:val="17"/>
          <w:color w:val="003551"/>
        </w:rPr>
        <w:t xml:space="preserve"> </w:t>
      </w:r>
      <w:r>
        <w:rPr>
          <w:rFonts w:ascii="Arial" w:cs="Arial" w:eastAsia="Arial" w:hAnsi="Arial"/>
          <w:sz w:val="17"/>
          <w:szCs w:val="17"/>
          <w:b w:val="1"/>
          <w:bCs w:val="1"/>
          <w:color w:val="003551"/>
        </w:rPr>
        <w:t>Directors</w:t>
      </w:r>
      <w:r>
        <w:rPr>
          <w:rFonts w:ascii="Arial" w:cs="Arial" w:eastAsia="Arial" w:hAnsi="Arial"/>
          <w:sz w:val="17"/>
          <w:szCs w:val="17"/>
          <w:color w:val="003551"/>
        </w:rPr>
        <w:t>”). IREN is then required to nominate such Founder Directors at the applicable annual general</w:t>
      </w:r>
      <w:r>
        <w:rPr>
          <w:rFonts w:ascii="Arial" w:cs="Arial" w:eastAsia="Arial" w:hAnsi="Arial"/>
          <w:sz w:val="17"/>
          <w:szCs w:val="17"/>
          <w:b w:val="1"/>
          <w:bCs w:val="1"/>
          <w:color w:val="003551"/>
        </w:rPr>
        <w:t xml:space="preserve"> </w:t>
      </w:r>
      <w:r>
        <w:rPr>
          <w:rFonts w:ascii="Arial" w:cs="Arial" w:eastAsia="Arial" w:hAnsi="Arial"/>
          <w:sz w:val="17"/>
          <w:szCs w:val="17"/>
          <w:color w:val="003551"/>
        </w:rPr>
        <w:t>meeting. Our two Founder Directors were appointed on November 6, 2018 and currently serve on the Board. Both Founder Directors were designated by certain entities controlled by our founders, Daniel Roberts and William Roberts, pursuant to the terms of the B Shares issued to them prior to our initial public offering in November 2021 and in accordance with the terms of the Constitution and the Corporations Act as in effect at such time. The Director Election Amendment does not affect the terms of the Founder Directors, nor does it change in any way the rights of the holders of the B Shares to designate the Founder Directors or IREN’s obligations with respect thereto. However, if the Director Election Amendment is approved, then shareholders would have the ability to vote on the election of the Non-Founder Directors, who constitute four out of the six total directors currently on the Board, based on the classified board structure.</w:t>
      </w:r>
    </w:p>
    <w:p>
      <w:pPr>
        <w:spacing w:after="0" w:line="272" w:lineRule="exact"/>
        <w:rPr>
          <w:sz w:val="20"/>
          <w:szCs w:val="20"/>
          <w:color w:val="auto"/>
        </w:rPr>
      </w:pPr>
    </w:p>
    <w:p>
      <w:pPr>
        <w:ind w:left="940" w:right="740"/>
        <w:spacing w:after="0" w:line="246" w:lineRule="auto"/>
        <w:rPr>
          <w:sz w:val="20"/>
          <w:szCs w:val="20"/>
          <w:color w:val="auto"/>
        </w:rPr>
      </w:pPr>
      <w:r>
        <w:rPr>
          <w:rFonts w:ascii="Arial" w:cs="Arial" w:eastAsia="Arial" w:hAnsi="Arial"/>
          <w:sz w:val="17"/>
          <w:szCs w:val="17"/>
          <w:color w:val="003551"/>
        </w:rPr>
        <w:t>In reaching the conclusion that the Director Election Amendment is in the best interests of IREN and its shareholders, the Board also considered various risks and other potentially negative factors relating to that amendment. While the Director Election Amendment would give shareholders a right that they currently do not have, which is to vote for the election of the Non-Founder Directors, the classified board structure would have the effect of increasing the length of time necessary to change the composition of a majority of the Board. If the Director Election Amendment is implemented, in general, at least three annual general meetings of shareholders will be necessary for shareholders to effect a change in a majority of the members of the Board, which could have the effect of limiting the likelihood of an unsolicited take-over bid or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248920</wp:posOffset>
            </wp:positionV>
            <wp:extent cx="540385" cy="63182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228600</wp:posOffset>
            </wp:positionV>
            <wp:extent cx="6786880" cy="165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40" w:right="860"/>
        <w:spacing w:after="0" w:line="247" w:lineRule="auto"/>
        <w:rPr>
          <w:sz w:val="20"/>
          <w:szCs w:val="20"/>
          <w:color w:val="auto"/>
        </w:rPr>
      </w:pPr>
      <w:r>
        <w:rPr>
          <w:rFonts w:ascii="Arial" w:cs="Arial" w:eastAsia="Arial" w:hAnsi="Arial"/>
          <w:sz w:val="17"/>
          <w:szCs w:val="17"/>
          <w:color w:val="003551"/>
        </w:rPr>
        <w:t>proposal or a proxy contest to change the composition of the Board. As a result, the classified board structure under the Director Election Amendment may have the effect of depriving shareholders of an opportunity to sell their shares at a premium over prevailing market prices that other governance structures could afford them, and may make it more difficult for minority shareholders to replace IREN’s directors and management team. The Board is not aware of any offer or proposal by any person or group to acquire any significant amount of IREN’s ordinary shares, acquire control of IREN by means of a take-over bid, merger, solicitation in opposition to management or otherwise, or change the current Board or management team.</w:t>
      </w:r>
    </w:p>
    <w:p>
      <w:pPr>
        <w:spacing w:after="0" w:line="268" w:lineRule="exact"/>
        <w:rPr>
          <w:sz w:val="20"/>
          <w:szCs w:val="20"/>
          <w:color w:val="auto"/>
        </w:rPr>
      </w:pPr>
    </w:p>
    <w:p>
      <w:pPr>
        <w:ind w:left="940" w:right="980"/>
        <w:spacing w:after="0" w:line="262" w:lineRule="auto"/>
        <w:rPr>
          <w:sz w:val="20"/>
          <w:szCs w:val="20"/>
          <w:color w:val="auto"/>
        </w:rPr>
      </w:pPr>
      <w:r>
        <w:rPr>
          <w:rFonts w:ascii="Arial" w:cs="Arial" w:eastAsia="Arial" w:hAnsi="Arial"/>
          <w:sz w:val="17"/>
          <w:szCs w:val="17"/>
          <w:color w:val="003551"/>
        </w:rPr>
        <w:t>This description of the Director Election Amendment is a summary only and is qualified by the complete text of the Director Election Amendment set forth in the copy of our proposed Amended and Restated Constitution attached as Appendix B to this Proxy Statement.</w:t>
      </w:r>
    </w:p>
    <w:p>
      <w:pPr>
        <w:spacing w:after="0" w:line="18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Proposed Amendment</w:t>
      </w:r>
    </w:p>
    <w:p>
      <w:pPr>
        <w:spacing w:after="0" w:line="15" w:lineRule="exact"/>
        <w:rPr>
          <w:sz w:val="20"/>
          <w:szCs w:val="20"/>
          <w:color w:val="auto"/>
        </w:rPr>
      </w:pPr>
    </w:p>
    <w:p>
      <w:pPr>
        <w:ind w:left="940" w:right="820"/>
        <w:spacing w:after="0" w:line="246" w:lineRule="auto"/>
        <w:rPr>
          <w:sz w:val="20"/>
          <w:szCs w:val="20"/>
          <w:color w:val="auto"/>
        </w:rPr>
      </w:pPr>
      <w:r>
        <w:rPr>
          <w:rFonts w:ascii="Arial" w:cs="Arial" w:eastAsia="Arial" w:hAnsi="Arial"/>
          <w:sz w:val="17"/>
          <w:szCs w:val="17"/>
          <w:color w:val="003551"/>
        </w:rPr>
        <w:t>The complete text of the Director Election Amendment is set forth in its entirety in rules 4.3, 4.4 and 4.5 of our proposed Amended and Restated Constitution, and includes the renumbering of rules 4.6, 4.7 and 4.8 and cross-references therein as a consequence of the addition of rule 4.5. A copy of our proposed Amended and Restated Constitution attached as Appendix B to this Proxy Statement, which indicates proposed deletions with strikeouts and proposed additions with underlining.</w:t>
      </w:r>
    </w:p>
    <w:p>
      <w:pPr>
        <w:spacing w:after="0" w:line="69" w:lineRule="exact"/>
        <w:rPr>
          <w:sz w:val="20"/>
          <w:szCs w:val="20"/>
          <w:color w:val="auto"/>
        </w:rPr>
      </w:pPr>
    </w:p>
    <w:p>
      <w:pPr>
        <w:ind w:left="940" w:right="740"/>
        <w:spacing w:after="0" w:line="283" w:lineRule="auto"/>
        <w:rPr>
          <w:sz w:val="20"/>
          <w:szCs w:val="20"/>
          <w:color w:val="auto"/>
        </w:rPr>
      </w:pPr>
      <w:r>
        <w:rPr>
          <w:rFonts w:ascii="Arial" w:cs="Arial" w:eastAsia="Arial" w:hAnsi="Arial"/>
          <w:sz w:val="17"/>
          <w:szCs w:val="17"/>
          <w:color w:val="003551"/>
        </w:rPr>
        <w:t>If the Director Election Amendment is approved and adopted, it will become effective immediately following the confirmation of shareholder approval.</w:t>
      </w:r>
    </w:p>
    <w:p>
      <w:pPr>
        <w:spacing w:after="0" w:line="37" w:lineRule="exact"/>
        <w:rPr>
          <w:sz w:val="20"/>
          <w:szCs w:val="20"/>
          <w:color w:val="auto"/>
        </w:rPr>
      </w:pPr>
    </w:p>
    <w:p>
      <w:pPr>
        <w:ind w:left="940" w:right="860"/>
        <w:spacing w:after="0" w:line="245" w:lineRule="auto"/>
        <w:rPr>
          <w:sz w:val="20"/>
          <w:szCs w:val="20"/>
          <w:color w:val="auto"/>
        </w:rPr>
      </w:pPr>
      <w:r>
        <w:rPr>
          <w:rFonts w:ascii="Arial" w:cs="Arial" w:eastAsia="Arial" w:hAnsi="Arial"/>
          <w:sz w:val="17"/>
          <w:szCs w:val="17"/>
          <w:color w:val="003551"/>
        </w:rPr>
        <w:t>Shareholders are also asked to consider Proposals 1, 3, 4 and 5, which relate to amendments to the Constitution to provide for alignment of the quorum requirement for shareholder meetings with Nasdaq rules, a forum selection provision, updates to advance notice provisions for universal proxies, and other miscellaneous changes. Each such proposal is independent of each other proposal. If all of Proposals 1, 3, 4 and 5 and this Proposal 2 are approved by the shareholders, then the Amended and Restated Constitution that implements all of the amendments contemplated by such proposals and set forth in the copy of our proposed Amended and Restated Constitution attached as Appendix B to this Proxy Statement will become effective immediately following the confirmation of shareholder approval. If only certain of these proposals are approved by the shareholders, but one or more of such proposals are not approved by shareholders, then the amendments to the Constitution that were approved by shareholders become effective.</w:t>
      </w:r>
    </w:p>
    <w:p>
      <w:pPr>
        <w:spacing w:after="0" w:line="21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Resolution</w:t>
      </w:r>
    </w:p>
    <w:p>
      <w:pPr>
        <w:spacing w:after="0" w:line="45"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To consider and, if thought fit, to pass the following resolution as a special resolution:</w:t>
      </w:r>
    </w:p>
    <w:p>
      <w:pPr>
        <w:spacing w:after="0" w:line="98" w:lineRule="exact"/>
        <w:rPr>
          <w:sz w:val="20"/>
          <w:szCs w:val="20"/>
          <w:color w:val="auto"/>
        </w:rPr>
      </w:pPr>
    </w:p>
    <w:p>
      <w:pPr>
        <w:ind w:left="940" w:right="860"/>
        <w:spacing w:after="0" w:line="256" w:lineRule="auto"/>
        <w:rPr>
          <w:sz w:val="20"/>
          <w:szCs w:val="20"/>
          <w:color w:val="auto"/>
        </w:rPr>
      </w:pPr>
      <w:r>
        <w:rPr>
          <w:rFonts w:ascii="Arial" w:cs="Arial" w:eastAsia="Arial" w:hAnsi="Arial"/>
          <w:sz w:val="17"/>
          <w:szCs w:val="17"/>
          <w:b w:val="1"/>
          <w:bCs w:val="1"/>
          <w:color w:val="003551"/>
        </w:rPr>
        <w:t xml:space="preserve">RESOLVED, </w:t>
      </w:r>
      <w:r>
        <w:rPr>
          <w:rFonts w:ascii="Arial" w:cs="Arial" w:eastAsia="Arial" w:hAnsi="Arial"/>
          <w:sz w:val="17"/>
          <w:szCs w:val="17"/>
          <w:color w:val="003551"/>
        </w:rPr>
        <w:t>that for the purpose of section 136 of the Corporations Act and for all other purposes under</w:t>
      </w:r>
      <w:r>
        <w:rPr>
          <w:rFonts w:ascii="Arial" w:cs="Arial" w:eastAsia="Arial" w:hAnsi="Arial"/>
          <w:sz w:val="17"/>
          <w:szCs w:val="17"/>
          <w:b w:val="1"/>
          <w:bCs w:val="1"/>
          <w:color w:val="003551"/>
        </w:rPr>
        <w:t xml:space="preserve"> </w:t>
      </w:r>
      <w:r>
        <w:rPr>
          <w:rFonts w:ascii="Arial" w:cs="Arial" w:eastAsia="Arial" w:hAnsi="Arial"/>
          <w:sz w:val="17"/>
          <w:szCs w:val="17"/>
          <w:color w:val="003551"/>
        </w:rPr>
        <w:t>the Corporations Act, the Constitution is amended as per the Director Election Amendment as set forth in its entirety in rules 4.3, 4.4, 4.5, 4.6, 4.7 and 4.8 of the proposed Amended and Restated Constitution attached as Appendix B to this Proxy Statement.</w:t>
      </w:r>
    </w:p>
    <w:p>
      <w:pPr>
        <w:spacing w:after="0" w:line="193"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Vote Required</w:t>
      </w:r>
    </w:p>
    <w:p>
      <w:pPr>
        <w:spacing w:after="0" w:line="15" w:lineRule="exact"/>
        <w:rPr>
          <w:sz w:val="20"/>
          <w:szCs w:val="20"/>
          <w:color w:val="auto"/>
        </w:rPr>
      </w:pPr>
    </w:p>
    <w:p>
      <w:pPr>
        <w:ind w:left="940" w:right="1520"/>
        <w:spacing w:after="0" w:line="263" w:lineRule="auto"/>
        <w:rPr>
          <w:sz w:val="20"/>
          <w:szCs w:val="20"/>
          <w:color w:val="auto"/>
        </w:rPr>
      </w:pPr>
      <w:r>
        <w:rPr>
          <w:rFonts w:ascii="Arial" w:cs="Arial" w:eastAsia="Arial" w:hAnsi="Arial"/>
          <w:sz w:val="17"/>
          <w:szCs w:val="17"/>
          <w:color w:val="003551"/>
        </w:rPr>
        <w:t>The affirmative vote of at least 75% of votes cast by shareholders who are entitled to vote on the resolution will be required to approve Proposal 2.</w:t>
      </w:r>
    </w:p>
    <w:p>
      <w:pPr>
        <w:spacing w:after="0" w:line="53" w:lineRule="exact"/>
        <w:rPr>
          <w:sz w:val="20"/>
          <w:szCs w:val="20"/>
          <w:color w:val="auto"/>
        </w:rPr>
      </w:pPr>
    </w:p>
    <w:p>
      <w:pPr>
        <w:ind w:left="940" w:right="800"/>
        <w:spacing w:after="0" w:line="249" w:lineRule="auto"/>
        <w:rPr>
          <w:sz w:val="20"/>
          <w:szCs w:val="20"/>
          <w:color w:val="auto"/>
        </w:rPr>
      </w:pPr>
      <w:r>
        <w:rPr>
          <w:rFonts w:ascii="Arial" w:cs="Arial" w:eastAsia="Arial" w:hAnsi="Arial"/>
          <w:sz w:val="17"/>
          <w:szCs w:val="17"/>
          <w:color w:val="003551"/>
        </w:rPr>
        <w:t>Proposal 2 is a “non-routine” matter on which a broker, bank or other nominee is not entitled to vote shares held on behalf of a beneficial owner without receiving voting instructions from the beneficial owner. Consequently, if you hold your shares in street name (such as through a brokerage account) and you do not instruct your broker, bank or other nominee on how to vote on this Proposal 2, a “broker non-vote” will occur with respect to Proposal 2. Abstentions, if any, and broker non-votes with respect to Proposal 2 are not treated as votes cast and will not be counted in determining the outcome of Proposal 2.</w:t>
      </w:r>
    </w:p>
    <w:p>
      <w:pPr>
        <w:spacing w:after="0" w:line="65" w:lineRule="exact"/>
        <w:rPr>
          <w:sz w:val="20"/>
          <w:szCs w:val="20"/>
          <w:color w:val="auto"/>
        </w:rPr>
      </w:pPr>
    </w:p>
    <w:p>
      <w:pPr>
        <w:ind w:left="940" w:right="760"/>
        <w:spacing w:after="0" w:line="295" w:lineRule="auto"/>
        <w:rPr>
          <w:sz w:val="20"/>
          <w:szCs w:val="20"/>
          <w:color w:val="auto"/>
        </w:rPr>
      </w:pPr>
      <w:r>
        <w:rPr>
          <w:rFonts w:ascii="Arial" w:cs="Arial" w:eastAsia="Arial" w:hAnsi="Arial"/>
          <w:sz w:val="17"/>
          <w:szCs w:val="17"/>
          <w:b w:val="1"/>
          <w:bCs w:val="1"/>
          <w:color w:val="003551"/>
        </w:rPr>
        <w:t>The Board unanimously recommends a vote FOR the approval of the Director Election Amendment to the Constitution described in this Proxy Statement</w:t>
      </w:r>
      <w:r>
        <w:rPr>
          <w:rFonts w:ascii="Arial" w:cs="Arial" w:eastAsia="Arial" w:hAnsi="Arial"/>
          <w:sz w:val="17"/>
          <w:szCs w:val="17"/>
          <w:color w:val="00355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89535</wp:posOffset>
            </wp:positionV>
            <wp:extent cx="540385" cy="63182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6" w:right="12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940" w:right="880"/>
        <w:spacing w:after="0" w:line="280" w:lineRule="auto"/>
        <w:rPr>
          <w:sz w:val="20"/>
          <w:szCs w:val="20"/>
          <w:color w:val="auto"/>
        </w:rPr>
      </w:pPr>
      <w:r>
        <w:rPr>
          <w:rFonts w:ascii="Arial" w:cs="Arial" w:eastAsia="Arial" w:hAnsi="Arial"/>
          <w:sz w:val="28"/>
          <w:szCs w:val="28"/>
          <w:color w:val="003551"/>
        </w:rPr>
        <w:t>Proposal 3: Approve an amendment to IREN’s constitution to add a forum selection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522351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223510" cy="8255"/>
                    </a:xfrm>
                    <a:prstGeom prst="rect">
                      <a:avLst/>
                    </a:prstGeom>
                    <a:noFill/>
                  </pic:spPr>
                </pic:pic>
              </a:graphicData>
            </a:graphic>
          </wp:anchor>
        </w:drawing>
      </w:r>
    </w:p>
    <w:p>
      <w:pPr>
        <w:spacing w:after="0" w:line="9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Proposal</w:t>
      </w:r>
    </w:p>
    <w:p>
      <w:pPr>
        <w:spacing w:after="0" w:line="15" w:lineRule="exact"/>
        <w:rPr>
          <w:sz w:val="20"/>
          <w:szCs w:val="20"/>
          <w:color w:val="auto"/>
        </w:rPr>
      </w:pPr>
    </w:p>
    <w:p>
      <w:pPr>
        <w:ind w:left="940" w:right="760"/>
        <w:spacing w:after="0" w:line="257" w:lineRule="auto"/>
        <w:rPr>
          <w:sz w:val="20"/>
          <w:szCs w:val="20"/>
          <w:color w:val="auto"/>
        </w:rPr>
      </w:pPr>
      <w:r>
        <w:rPr>
          <w:rFonts w:ascii="Arial" w:cs="Arial" w:eastAsia="Arial" w:hAnsi="Arial"/>
          <w:sz w:val="17"/>
          <w:szCs w:val="17"/>
          <w:color w:val="003551"/>
        </w:rPr>
        <w:t>The Board has unanimously approved, adopted and declared advisable an amendment to the Constitution to add an exclusive forum selection clause as a new rule 1.11, and to remove the existing non-exclusive forum selection clause in rule 1.10 (the “</w:t>
      </w:r>
      <w:r>
        <w:rPr>
          <w:rFonts w:ascii="Arial" w:cs="Arial" w:eastAsia="Arial" w:hAnsi="Arial"/>
          <w:sz w:val="17"/>
          <w:szCs w:val="17"/>
          <w:b w:val="1"/>
          <w:bCs w:val="1"/>
          <w:color w:val="003551"/>
        </w:rPr>
        <w:t>Forum Selection Amendment</w:t>
      </w:r>
      <w:r>
        <w:rPr>
          <w:rFonts w:ascii="Arial" w:cs="Arial" w:eastAsia="Arial" w:hAnsi="Arial"/>
          <w:sz w:val="17"/>
          <w:szCs w:val="17"/>
          <w:color w:val="003551"/>
        </w:rPr>
        <w:t>”).</w:t>
      </w:r>
    </w:p>
    <w:p>
      <w:pPr>
        <w:spacing w:after="0" w:line="197"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Background</w:t>
      </w:r>
    </w:p>
    <w:p>
      <w:pPr>
        <w:spacing w:after="0" w:line="15" w:lineRule="exact"/>
        <w:rPr>
          <w:sz w:val="20"/>
          <w:szCs w:val="20"/>
          <w:color w:val="auto"/>
        </w:rPr>
      </w:pPr>
    </w:p>
    <w:p>
      <w:pPr>
        <w:ind w:left="940" w:right="840"/>
        <w:spacing w:after="0" w:line="241" w:lineRule="auto"/>
        <w:rPr>
          <w:sz w:val="20"/>
          <w:szCs w:val="20"/>
          <w:color w:val="auto"/>
        </w:rPr>
      </w:pPr>
      <w:r>
        <w:rPr>
          <w:rFonts w:ascii="Arial" w:cs="Arial" w:eastAsia="Arial" w:hAnsi="Arial"/>
          <w:sz w:val="17"/>
          <w:szCs w:val="17"/>
          <w:color w:val="003551"/>
        </w:rPr>
        <w:t>IREN is incorporated as a public company under Australian law. IREN’s corporate affairs are governed by the Constitution and the Australian Corporations Act. Under the Constitution as currently in effect, rule</w:t>
      </w:r>
    </w:p>
    <w:p>
      <w:pPr>
        <w:ind w:left="940" w:right="840"/>
        <w:spacing w:after="0" w:line="248" w:lineRule="auto"/>
        <w:rPr>
          <w:sz w:val="20"/>
          <w:szCs w:val="20"/>
          <w:color w:val="auto"/>
        </w:rPr>
      </w:pPr>
      <w:r>
        <w:rPr>
          <w:rFonts w:ascii="Arial" w:cs="Arial" w:eastAsia="Arial" w:hAnsi="Arial"/>
          <w:sz w:val="17"/>
          <w:szCs w:val="17"/>
          <w:color w:val="003551"/>
        </w:rPr>
        <w:t>1.10 provides that shareholders submit to the non-exclusive jurisdiction of the courts having jurisdiction in state of New South Wales, Australia. However, the Constitution does not currently specify any particular forum as the exclusive forum for any derivative actions or other proceedings relating to IREN, its officers, directors and other employees, its business or U.S. federal securities laws.</w:t>
      </w:r>
    </w:p>
    <w:p>
      <w:pPr>
        <w:spacing w:after="0" w:line="67" w:lineRule="exact"/>
        <w:rPr>
          <w:sz w:val="20"/>
          <w:szCs w:val="20"/>
          <w:color w:val="auto"/>
        </w:rPr>
      </w:pPr>
    </w:p>
    <w:p>
      <w:pPr>
        <w:ind w:left="940" w:right="780"/>
        <w:spacing w:after="0" w:line="249" w:lineRule="auto"/>
        <w:rPr>
          <w:sz w:val="20"/>
          <w:szCs w:val="20"/>
          <w:color w:val="auto"/>
        </w:rPr>
      </w:pPr>
      <w:r>
        <w:rPr>
          <w:rFonts w:ascii="Arial" w:cs="Arial" w:eastAsia="Arial" w:hAnsi="Arial"/>
          <w:sz w:val="17"/>
          <w:szCs w:val="17"/>
          <w:color w:val="003551"/>
        </w:rPr>
        <w:t>The Board believes the Forum Selection Amendment is in the best interests of IREN and its shareholders. In particular, the Board believes IREN and its shareholders would benefit from having claims arising relating to its corporate affairs resolved exclusively in the courts of the state of New South Wales, Australia, and claims arising under the Securities Act resolved exclusively in the federal district courts of the United States. In addition, the Board believes that the Forum Selection Amendment would promote efficiencies in IREN’s management of such litigation by:</w:t>
      </w:r>
    </w:p>
    <w:p>
      <w:pPr>
        <w:spacing w:after="0" w:line="106" w:lineRule="exact"/>
        <w:rPr>
          <w:sz w:val="20"/>
          <w:szCs w:val="20"/>
          <w:color w:val="auto"/>
        </w:rPr>
      </w:pPr>
    </w:p>
    <w:p>
      <w:pPr>
        <w:ind w:left="1280" w:hanging="337"/>
        <w:spacing w:after="0"/>
        <w:tabs>
          <w:tab w:leader="none" w:pos="1280" w:val="left"/>
        </w:tabs>
        <w:numPr>
          <w:ilvl w:val="0"/>
          <w:numId w:val="56"/>
        </w:numPr>
        <w:rPr>
          <w:rFonts w:ascii="Arial" w:cs="Arial" w:eastAsia="Arial" w:hAnsi="Arial"/>
          <w:sz w:val="17"/>
          <w:szCs w:val="17"/>
          <w:color w:val="003551"/>
        </w:rPr>
      </w:pPr>
      <w:r>
        <w:rPr>
          <w:rFonts w:ascii="Arial" w:cs="Arial" w:eastAsia="Arial" w:hAnsi="Arial"/>
          <w:sz w:val="17"/>
          <w:szCs w:val="17"/>
          <w:color w:val="003551"/>
        </w:rPr>
        <w:t>limiting forum-shopping by plaintiffs;</w:t>
      </w:r>
    </w:p>
    <w:p>
      <w:pPr>
        <w:spacing w:after="0" w:line="131" w:lineRule="exact"/>
        <w:rPr>
          <w:rFonts w:ascii="Arial" w:cs="Arial" w:eastAsia="Arial" w:hAnsi="Arial"/>
          <w:sz w:val="17"/>
          <w:szCs w:val="17"/>
          <w:color w:val="003551"/>
        </w:rPr>
      </w:pPr>
    </w:p>
    <w:p>
      <w:pPr>
        <w:ind w:left="1280" w:right="900" w:hanging="337"/>
        <w:spacing w:after="0" w:line="255" w:lineRule="auto"/>
        <w:tabs>
          <w:tab w:leader="none" w:pos="1280" w:val="left"/>
        </w:tabs>
        <w:numPr>
          <w:ilvl w:val="0"/>
          <w:numId w:val="56"/>
        </w:numPr>
        <w:rPr>
          <w:rFonts w:ascii="Arial" w:cs="Arial" w:eastAsia="Arial" w:hAnsi="Arial"/>
          <w:sz w:val="17"/>
          <w:szCs w:val="17"/>
          <w:color w:val="003551"/>
        </w:rPr>
      </w:pPr>
      <w:r>
        <w:rPr>
          <w:rFonts w:ascii="Arial" w:cs="Arial" w:eastAsia="Arial" w:hAnsi="Arial"/>
          <w:sz w:val="17"/>
          <w:szCs w:val="17"/>
          <w:color w:val="003551"/>
        </w:rPr>
        <w:t>enabling IREN to avoid litigating actions involving the same matter in different courts (for example, litigating claims arising under the Securities Act in both state and federal courts in the U.S.), with the associated duplication of litigation expenses and the possibility of inconsistent outcomes, and to obtain consolidation of multi-jurisdictional litigation;</w:t>
      </w:r>
    </w:p>
    <w:p>
      <w:pPr>
        <w:spacing w:after="0" w:line="99" w:lineRule="exact"/>
        <w:rPr>
          <w:rFonts w:ascii="Arial" w:cs="Arial" w:eastAsia="Arial" w:hAnsi="Arial"/>
          <w:sz w:val="17"/>
          <w:szCs w:val="17"/>
          <w:color w:val="003551"/>
        </w:rPr>
      </w:pPr>
    </w:p>
    <w:p>
      <w:pPr>
        <w:ind w:left="1280" w:right="960" w:hanging="337"/>
        <w:spacing w:after="0" w:line="262" w:lineRule="auto"/>
        <w:tabs>
          <w:tab w:leader="none" w:pos="1280" w:val="left"/>
        </w:tabs>
        <w:numPr>
          <w:ilvl w:val="0"/>
          <w:numId w:val="56"/>
        </w:numPr>
        <w:rPr>
          <w:rFonts w:ascii="Arial" w:cs="Arial" w:eastAsia="Arial" w:hAnsi="Arial"/>
          <w:sz w:val="17"/>
          <w:szCs w:val="17"/>
          <w:color w:val="003551"/>
        </w:rPr>
      </w:pPr>
      <w:r>
        <w:rPr>
          <w:rFonts w:ascii="Arial" w:cs="Arial" w:eastAsia="Arial" w:hAnsi="Arial"/>
          <w:sz w:val="17"/>
          <w:szCs w:val="17"/>
          <w:color w:val="003551"/>
        </w:rPr>
        <w:t>facilitating submission of claims relating to our corporate affairs to courts of the state of New South Wales, Australia, and Securities Act claims for resolution by U.S. federal courts, which in each case have experience and expertise in adjudicating such claims; and</w:t>
      </w:r>
    </w:p>
    <w:p>
      <w:pPr>
        <w:spacing w:after="0" w:line="93" w:lineRule="exact"/>
        <w:rPr>
          <w:rFonts w:ascii="Arial" w:cs="Arial" w:eastAsia="Arial" w:hAnsi="Arial"/>
          <w:sz w:val="17"/>
          <w:szCs w:val="17"/>
          <w:color w:val="003551"/>
        </w:rPr>
      </w:pPr>
    </w:p>
    <w:p>
      <w:pPr>
        <w:ind w:left="1280" w:right="1320" w:hanging="337"/>
        <w:spacing w:after="0" w:line="283" w:lineRule="auto"/>
        <w:tabs>
          <w:tab w:leader="none" w:pos="1280" w:val="left"/>
        </w:tabs>
        <w:numPr>
          <w:ilvl w:val="0"/>
          <w:numId w:val="56"/>
        </w:numPr>
        <w:rPr>
          <w:rFonts w:ascii="Arial" w:cs="Arial" w:eastAsia="Arial" w:hAnsi="Arial"/>
          <w:sz w:val="17"/>
          <w:szCs w:val="17"/>
          <w:color w:val="003551"/>
        </w:rPr>
      </w:pPr>
      <w:r>
        <w:rPr>
          <w:rFonts w:ascii="Arial" w:cs="Arial" w:eastAsia="Arial" w:hAnsi="Arial"/>
          <w:sz w:val="17"/>
          <w:szCs w:val="17"/>
          <w:color w:val="003551"/>
        </w:rPr>
        <w:t>maximizing efficiencies with respect to managing procedural aspects of litigation relating to our corporate affairs and securities litigation.</w:t>
      </w:r>
    </w:p>
    <w:p>
      <w:pPr>
        <w:spacing w:after="0" w:line="37" w:lineRule="exact"/>
        <w:rPr>
          <w:sz w:val="20"/>
          <w:szCs w:val="20"/>
          <w:color w:val="auto"/>
        </w:rPr>
      </w:pPr>
    </w:p>
    <w:p>
      <w:pPr>
        <w:ind w:left="940" w:right="740"/>
        <w:spacing w:after="0" w:line="262" w:lineRule="auto"/>
        <w:rPr>
          <w:sz w:val="20"/>
          <w:szCs w:val="20"/>
          <w:color w:val="auto"/>
        </w:rPr>
      </w:pPr>
      <w:r>
        <w:rPr>
          <w:rFonts w:ascii="Arial" w:cs="Arial" w:eastAsia="Arial" w:hAnsi="Arial"/>
          <w:sz w:val="17"/>
          <w:szCs w:val="17"/>
          <w:color w:val="003551"/>
        </w:rPr>
        <w:t>The Forum Selection Amendment would amend the Constitution to include a forum selection provision as a new rule 1.11, and to remove the non-exclusive jurisdiction of the courts having jurisdiction in the state of New South Wales from rule 1.10. Pursuant to the new rule 1.11:</w:t>
      </w:r>
    </w:p>
    <w:p>
      <w:pPr>
        <w:spacing w:after="0" w:line="80" w:lineRule="exact"/>
        <w:rPr>
          <w:sz w:val="20"/>
          <w:szCs w:val="20"/>
          <w:color w:val="auto"/>
        </w:rPr>
      </w:pPr>
    </w:p>
    <w:p>
      <w:pPr>
        <w:ind w:left="1280" w:right="760" w:hanging="337"/>
        <w:spacing w:after="0" w:line="247" w:lineRule="auto"/>
        <w:tabs>
          <w:tab w:leader="none" w:pos="1280" w:val="left"/>
        </w:tabs>
        <w:numPr>
          <w:ilvl w:val="0"/>
          <w:numId w:val="57"/>
        </w:numPr>
        <w:rPr>
          <w:rFonts w:ascii="Arial" w:cs="Arial" w:eastAsia="Arial" w:hAnsi="Arial"/>
          <w:sz w:val="17"/>
          <w:szCs w:val="17"/>
          <w:color w:val="003551"/>
        </w:rPr>
      </w:pPr>
      <w:r>
        <w:rPr>
          <w:rFonts w:ascii="Arial" w:cs="Arial" w:eastAsia="Arial" w:hAnsi="Arial"/>
          <w:sz w:val="17"/>
          <w:szCs w:val="17"/>
          <w:color w:val="003551"/>
        </w:rPr>
        <w:t>the courts having jurisdiction in the state of New South Wales, Australia, and appellate courts therefrom would be the sole and exclusive forum for (i) any derivative action or proceeding brought on behalf of IREN, (ii) any action or proceeding asserting a claim of breach of a fiduciary duty owed by any director, officer, or other employee to IREN, (iii) any action or proceeding asserting a claim arising pursuant to any provision of the Corporations Act, or (iv) any action or proceeding asserting a claim or otherwise related to the relationships among IREN, its affiliates and their respective shareholders, directors and/or officers, but this clause (iv) does not include claims related to the business carried on by IREN or such affiliates; and</w:t>
      </w:r>
    </w:p>
    <w:p>
      <w:pPr>
        <w:spacing w:after="0" w:line="106" w:lineRule="exact"/>
        <w:rPr>
          <w:rFonts w:ascii="Arial" w:cs="Arial" w:eastAsia="Arial" w:hAnsi="Arial"/>
          <w:sz w:val="17"/>
          <w:szCs w:val="17"/>
          <w:color w:val="003551"/>
        </w:rPr>
      </w:pPr>
    </w:p>
    <w:p>
      <w:pPr>
        <w:ind w:left="1280" w:right="1400" w:hanging="337"/>
        <w:spacing w:after="0" w:line="283" w:lineRule="auto"/>
        <w:tabs>
          <w:tab w:leader="none" w:pos="1280" w:val="left"/>
        </w:tabs>
        <w:numPr>
          <w:ilvl w:val="0"/>
          <w:numId w:val="57"/>
        </w:numPr>
        <w:rPr>
          <w:rFonts w:ascii="Arial" w:cs="Arial" w:eastAsia="Arial" w:hAnsi="Arial"/>
          <w:sz w:val="17"/>
          <w:szCs w:val="17"/>
          <w:color w:val="003551"/>
        </w:rPr>
      </w:pPr>
      <w:r>
        <w:rPr>
          <w:rFonts w:ascii="Arial" w:cs="Arial" w:eastAsia="Arial" w:hAnsi="Arial"/>
          <w:sz w:val="17"/>
          <w:szCs w:val="17"/>
          <w:color w:val="003551"/>
        </w:rPr>
        <w:t>the federal district courts of the United States of America would be the exclusive forum for the resolution of any complaint asserting a cause of action arising under the Securities Act.</w:t>
      </w:r>
    </w:p>
    <w:p>
      <w:pPr>
        <w:spacing w:after="0" w:line="37" w:lineRule="exact"/>
        <w:rPr>
          <w:sz w:val="20"/>
          <w:szCs w:val="20"/>
          <w:color w:val="auto"/>
        </w:rPr>
      </w:pPr>
    </w:p>
    <w:p>
      <w:pPr>
        <w:jc w:val="both"/>
        <w:ind w:left="940" w:right="1040"/>
        <w:spacing w:after="0" w:line="262" w:lineRule="auto"/>
        <w:rPr>
          <w:sz w:val="20"/>
          <w:szCs w:val="20"/>
          <w:color w:val="auto"/>
        </w:rPr>
      </w:pPr>
      <w:r>
        <w:rPr>
          <w:rFonts w:ascii="Arial" w:cs="Arial" w:eastAsia="Arial" w:hAnsi="Arial"/>
          <w:sz w:val="17"/>
          <w:szCs w:val="17"/>
          <w:color w:val="003551"/>
        </w:rPr>
        <w:t>The Forum Selection Amendment would regulate only the forum in which our shareholders may assert relevant claims; it would not impair the ability of our shareholders to bring such claims, and it would not affect the remedies available if such claims were ultimately successful. Moreover, the Forum Selection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111760</wp:posOffset>
            </wp:positionV>
            <wp:extent cx="540385" cy="63182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228600</wp:posOffset>
            </wp:positionV>
            <wp:extent cx="6786880" cy="165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6" w:right="12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940" w:right="840"/>
        <w:spacing w:after="0" w:line="255" w:lineRule="auto"/>
        <w:rPr>
          <w:sz w:val="20"/>
          <w:szCs w:val="20"/>
          <w:color w:val="auto"/>
        </w:rPr>
      </w:pPr>
      <w:r>
        <w:rPr>
          <w:rFonts w:ascii="Arial" w:cs="Arial" w:eastAsia="Arial" w:hAnsi="Arial"/>
          <w:sz w:val="17"/>
          <w:szCs w:val="17"/>
          <w:color w:val="003551"/>
        </w:rPr>
        <w:t>Amendment, as it applies to claims of action under the Securities Act, would not require that such claims be brought in any particular federal district court. The Forum Selection Amendment is not being proposed in response to, or anticipation of, any specific litigation confronting IREN; rather, it is being proposed on a prospective basis to help mitigate potential future harm to IREN and its shareholders.</w:t>
      </w:r>
    </w:p>
    <w:p>
      <w:pPr>
        <w:spacing w:after="0" w:line="60" w:lineRule="exact"/>
        <w:rPr>
          <w:sz w:val="20"/>
          <w:szCs w:val="20"/>
          <w:color w:val="auto"/>
        </w:rPr>
      </w:pPr>
    </w:p>
    <w:p>
      <w:pPr>
        <w:ind w:left="940" w:right="1000"/>
        <w:spacing w:after="0" w:line="262" w:lineRule="auto"/>
        <w:rPr>
          <w:sz w:val="20"/>
          <w:szCs w:val="20"/>
          <w:color w:val="auto"/>
        </w:rPr>
      </w:pPr>
      <w:r>
        <w:rPr>
          <w:rFonts w:ascii="Arial" w:cs="Arial" w:eastAsia="Arial" w:hAnsi="Arial"/>
          <w:sz w:val="17"/>
          <w:szCs w:val="17"/>
          <w:color w:val="003551"/>
        </w:rPr>
        <w:t>This description of the Forum Selection Amendment is a summary only and is qualified by the complete text of the Forum Selection Amendment set forth in the copy of our proposed Amended and Restated Constitution attached as Appendix B to this Proxy Statement.</w:t>
      </w:r>
    </w:p>
    <w:p>
      <w:pPr>
        <w:spacing w:after="0" w:line="18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Proposed Amendment</w:t>
      </w:r>
    </w:p>
    <w:p>
      <w:pPr>
        <w:spacing w:after="0" w:line="15" w:lineRule="exact"/>
        <w:rPr>
          <w:sz w:val="20"/>
          <w:szCs w:val="20"/>
          <w:color w:val="auto"/>
        </w:rPr>
      </w:pPr>
    </w:p>
    <w:p>
      <w:pPr>
        <w:ind w:left="940" w:right="960"/>
        <w:spacing w:after="0" w:line="248" w:lineRule="auto"/>
        <w:rPr>
          <w:sz w:val="20"/>
          <w:szCs w:val="20"/>
          <w:color w:val="auto"/>
        </w:rPr>
      </w:pPr>
      <w:r>
        <w:rPr>
          <w:rFonts w:ascii="Arial" w:cs="Arial" w:eastAsia="Arial" w:hAnsi="Arial"/>
          <w:sz w:val="17"/>
          <w:szCs w:val="17"/>
          <w:color w:val="003551"/>
        </w:rPr>
        <w:t>The complete text of the Forum Selection Amendment is set forth in its entirety in rules 1.10 and 1.11 of our proposed Amended and Restated Constitution. A copy of our proposed Amended and Restated Constitution is attached as Appendix B to this Proxy Statement, which indicates proposed deletions with strikeouts and proposed additions with underlining.</w:t>
      </w:r>
    </w:p>
    <w:p>
      <w:pPr>
        <w:spacing w:after="0" w:line="67" w:lineRule="exact"/>
        <w:rPr>
          <w:sz w:val="20"/>
          <w:szCs w:val="20"/>
          <w:color w:val="auto"/>
        </w:rPr>
      </w:pPr>
    </w:p>
    <w:p>
      <w:pPr>
        <w:ind w:left="940" w:right="1620"/>
        <w:spacing w:after="0" w:line="283" w:lineRule="auto"/>
        <w:rPr>
          <w:sz w:val="20"/>
          <w:szCs w:val="20"/>
          <w:color w:val="auto"/>
        </w:rPr>
      </w:pPr>
      <w:r>
        <w:rPr>
          <w:rFonts w:ascii="Arial" w:cs="Arial" w:eastAsia="Arial" w:hAnsi="Arial"/>
          <w:sz w:val="17"/>
          <w:szCs w:val="17"/>
          <w:color w:val="003551"/>
        </w:rPr>
        <w:t>If the Forum Selection Amendment is approved and adopted, we expect it will become effective immediately following the confirmation of shareholder approval.</w:t>
      </w:r>
    </w:p>
    <w:p>
      <w:pPr>
        <w:spacing w:after="0" w:line="37" w:lineRule="exact"/>
        <w:rPr>
          <w:sz w:val="20"/>
          <w:szCs w:val="20"/>
          <w:color w:val="auto"/>
        </w:rPr>
      </w:pPr>
    </w:p>
    <w:p>
      <w:pPr>
        <w:ind w:left="940" w:right="880"/>
        <w:spacing w:after="0" w:line="245" w:lineRule="auto"/>
        <w:rPr>
          <w:sz w:val="20"/>
          <w:szCs w:val="20"/>
          <w:color w:val="auto"/>
        </w:rPr>
      </w:pPr>
      <w:r>
        <w:rPr>
          <w:rFonts w:ascii="Arial" w:cs="Arial" w:eastAsia="Arial" w:hAnsi="Arial"/>
          <w:sz w:val="17"/>
          <w:szCs w:val="17"/>
          <w:color w:val="003551"/>
        </w:rPr>
        <w:t>Shareholders are also asked to consider Proposals 1, 2, 4 and 5, which relate to amendments to the Constitution to provide for alignment of the quorum requirement for shareholder meetings with Nasdaq rules, the election of directors at each annual general meeting, updates to advance notice provisions for universal proxies, and other miscellaneous changes. Each such proposal is independent of each other proposal. If all of Proposals 1, 2, 4 and 5 and this Proposal 3 are approved by the shareholders, then the Amended and Restated Constitution that implements all of the amendments contemplated by such proposals and set forth in the copy of our proposed Amended and Restated Constitution attached as Appendix B to this Proxy Statement will become effective immediately following the confirmation of shareholder approval. If only certain of these proposals are approved by the shareholders, but one or more of such proposals are not approved by shareholders, then only the amendments to the Constitution that were approved by shareholders become effective.</w:t>
      </w:r>
    </w:p>
    <w:p>
      <w:pPr>
        <w:spacing w:after="0" w:line="21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Resolution</w:t>
      </w:r>
    </w:p>
    <w:p>
      <w:pPr>
        <w:spacing w:after="0" w:line="45"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To consider and, if thought fit, to pass the following resolution as a special resolution:</w:t>
      </w:r>
    </w:p>
    <w:p>
      <w:pPr>
        <w:spacing w:after="0" w:line="98" w:lineRule="exact"/>
        <w:rPr>
          <w:sz w:val="20"/>
          <w:szCs w:val="20"/>
          <w:color w:val="auto"/>
        </w:rPr>
      </w:pPr>
    </w:p>
    <w:p>
      <w:pPr>
        <w:ind w:left="940" w:right="880"/>
        <w:spacing w:after="0" w:line="256" w:lineRule="auto"/>
        <w:rPr>
          <w:sz w:val="20"/>
          <w:szCs w:val="20"/>
          <w:color w:val="auto"/>
        </w:rPr>
      </w:pPr>
      <w:r>
        <w:rPr>
          <w:rFonts w:ascii="Arial" w:cs="Arial" w:eastAsia="Arial" w:hAnsi="Arial"/>
          <w:sz w:val="17"/>
          <w:szCs w:val="17"/>
          <w:b w:val="1"/>
          <w:bCs w:val="1"/>
          <w:color w:val="003551"/>
        </w:rPr>
        <w:t xml:space="preserve">RESOLVED, </w:t>
      </w:r>
      <w:r>
        <w:rPr>
          <w:rFonts w:ascii="Arial" w:cs="Arial" w:eastAsia="Arial" w:hAnsi="Arial"/>
          <w:sz w:val="17"/>
          <w:szCs w:val="17"/>
          <w:color w:val="003551"/>
        </w:rPr>
        <w:t>that for the purpose of section 136 of the Corporations Act and for all other purposes under</w:t>
      </w:r>
      <w:r>
        <w:rPr>
          <w:rFonts w:ascii="Arial" w:cs="Arial" w:eastAsia="Arial" w:hAnsi="Arial"/>
          <w:sz w:val="17"/>
          <w:szCs w:val="17"/>
          <w:b w:val="1"/>
          <w:bCs w:val="1"/>
          <w:color w:val="003551"/>
        </w:rPr>
        <w:t xml:space="preserve"> </w:t>
      </w:r>
      <w:r>
        <w:rPr>
          <w:rFonts w:ascii="Arial" w:cs="Arial" w:eastAsia="Arial" w:hAnsi="Arial"/>
          <w:sz w:val="17"/>
          <w:szCs w:val="17"/>
          <w:color w:val="003551"/>
        </w:rPr>
        <w:t>the Corporations Act, the Constitution is amended as per the Forum Selection Amendment as set forth in its entirety in rules 1.10 and 1.11 of the proposed Amended and Restated Constitution attached as Appendix B to this Proxy Statement</w:t>
      </w:r>
    </w:p>
    <w:p>
      <w:pPr>
        <w:spacing w:after="0" w:line="193"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Vote Required</w:t>
      </w:r>
    </w:p>
    <w:p>
      <w:pPr>
        <w:spacing w:after="0" w:line="15" w:lineRule="exact"/>
        <w:rPr>
          <w:sz w:val="20"/>
          <w:szCs w:val="20"/>
          <w:color w:val="auto"/>
        </w:rPr>
      </w:pPr>
    </w:p>
    <w:p>
      <w:pPr>
        <w:ind w:left="940" w:right="820"/>
        <w:spacing w:after="0" w:line="263" w:lineRule="auto"/>
        <w:rPr>
          <w:sz w:val="20"/>
          <w:szCs w:val="20"/>
          <w:color w:val="auto"/>
        </w:rPr>
      </w:pPr>
      <w:r>
        <w:rPr>
          <w:rFonts w:ascii="Arial" w:cs="Arial" w:eastAsia="Arial" w:hAnsi="Arial"/>
          <w:sz w:val="17"/>
          <w:szCs w:val="17"/>
          <w:color w:val="003551"/>
        </w:rPr>
        <w:t>The affirmative vote of at least 75% of votes cast will be required by shareholders who are entitled to vote on the resolution to approve Proposal 3.</w:t>
      </w:r>
    </w:p>
    <w:p>
      <w:pPr>
        <w:spacing w:after="0" w:line="53" w:lineRule="exact"/>
        <w:rPr>
          <w:sz w:val="20"/>
          <w:szCs w:val="20"/>
          <w:color w:val="auto"/>
        </w:rPr>
      </w:pPr>
    </w:p>
    <w:p>
      <w:pPr>
        <w:ind w:left="940" w:right="800"/>
        <w:spacing w:after="0" w:line="249" w:lineRule="auto"/>
        <w:rPr>
          <w:sz w:val="20"/>
          <w:szCs w:val="20"/>
          <w:color w:val="auto"/>
        </w:rPr>
      </w:pPr>
      <w:r>
        <w:rPr>
          <w:rFonts w:ascii="Arial" w:cs="Arial" w:eastAsia="Arial" w:hAnsi="Arial"/>
          <w:sz w:val="17"/>
          <w:szCs w:val="17"/>
          <w:color w:val="003551"/>
        </w:rPr>
        <w:t>Proposal 3 is a “non-routine” matter on which a broker, bank or other nominee is not entitled to vote shares held on behalf of a beneficial owner without receiving voting instructions from the beneficial owner. Consequently, if you hold your shares in street name (such as through a brokerage account) and you do not instruct your broker, bank or other nominee on how to vote on this Proposal 3, a “broker non-vote” will occur with respect to Proposal 3. Abstentions, if any, and broker non-votes with respect to Proposal 3 are not treated as votes cast and will not be counted in determining the outcome of Proposal 3.</w:t>
      </w:r>
    </w:p>
    <w:p>
      <w:pPr>
        <w:spacing w:after="0" w:line="65" w:lineRule="exact"/>
        <w:rPr>
          <w:sz w:val="20"/>
          <w:szCs w:val="20"/>
          <w:color w:val="auto"/>
        </w:rPr>
      </w:pPr>
    </w:p>
    <w:p>
      <w:pPr>
        <w:ind w:left="940" w:right="780"/>
        <w:spacing w:after="0" w:line="295" w:lineRule="auto"/>
        <w:rPr>
          <w:sz w:val="20"/>
          <w:szCs w:val="20"/>
          <w:color w:val="auto"/>
        </w:rPr>
      </w:pPr>
      <w:r>
        <w:rPr>
          <w:rFonts w:ascii="Arial" w:cs="Arial" w:eastAsia="Arial" w:hAnsi="Arial"/>
          <w:sz w:val="17"/>
          <w:szCs w:val="17"/>
          <w:b w:val="1"/>
          <w:bCs w:val="1"/>
          <w:color w:val="003551"/>
        </w:rPr>
        <w:t>The Board unanimously recommends a vote FOR the approval of the Forum Selection Amendment to the Constitution described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89535</wp:posOffset>
            </wp:positionV>
            <wp:extent cx="540385" cy="63182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940" w:right="1440"/>
        <w:spacing w:after="0" w:line="280" w:lineRule="auto"/>
        <w:rPr>
          <w:sz w:val="20"/>
          <w:szCs w:val="20"/>
          <w:color w:val="auto"/>
        </w:rPr>
      </w:pPr>
      <w:r>
        <w:rPr>
          <w:rFonts w:ascii="Arial" w:cs="Arial" w:eastAsia="Arial" w:hAnsi="Arial"/>
          <w:sz w:val="28"/>
          <w:szCs w:val="28"/>
          <w:color w:val="003551"/>
        </w:rPr>
        <w:t>Proposal 4: Approve an amendment to IREN’s constitution to update the advance notice provisions for universal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522351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223510" cy="8255"/>
                    </a:xfrm>
                    <a:prstGeom prst="rect">
                      <a:avLst/>
                    </a:prstGeom>
                    <a:noFill/>
                  </pic:spPr>
                </pic:pic>
              </a:graphicData>
            </a:graphic>
          </wp:anchor>
        </w:drawing>
      </w:r>
    </w:p>
    <w:p>
      <w:pPr>
        <w:spacing w:after="0" w:line="9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Proposal</w:t>
      </w:r>
    </w:p>
    <w:p>
      <w:pPr>
        <w:spacing w:after="0" w:line="15" w:lineRule="exact"/>
        <w:rPr>
          <w:sz w:val="20"/>
          <w:szCs w:val="20"/>
          <w:color w:val="auto"/>
        </w:rPr>
      </w:pPr>
    </w:p>
    <w:p>
      <w:pPr>
        <w:ind w:left="940" w:right="740"/>
        <w:spacing w:after="0" w:line="257" w:lineRule="auto"/>
        <w:rPr>
          <w:sz w:val="20"/>
          <w:szCs w:val="20"/>
          <w:color w:val="auto"/>
        </w:rPr>
      </w:pPr>
      <w:r>
        <w:rPr>
          <w:rFonts w:ascii="Arial" w:cs="Arial" w:eastAsia="Arial" w:hAnsi="Arial"/>
          <w:sz w:val="17"/>
          <w:szCs w:val="17"/>
          <w:color w:val="003551"/>
        </w:rPr>
        <w:t>The Board has unanimously approved, adopted and declared advisable an amendment to rule 9.9(f) of the Constitution and the addition of a new rule 9.10 to the Constitution to update the advance notice provisions (the “</w:t>
      </w:r>
      <w:r>
        <w:rPr>
          <w:rFonts w:ascii="Arial" w:cs="Arial" w:eastAsia="Arial" w:hAnsi="Arial"/>
          <w:sz w:val="17"/>
          <w:szCs w:val="17"/>
          <w:b w:val="1"/>
          <w:bCs w:val="1"/>
          <w:color w:val="003551"/>
        </w:rPr>
        <w:t>Advance Notice Amendment</w:t>
      </w:r>
      <w:r>
        <w:rPr>
          <w:rFonts w:ascii="Arial" w:cs="Arial" w:eastAsia="Arial" w:hAnsi="Arial"/>
          <w:sz w:val="17"/>
          <w:szCs w:val="17"/>
          <w:color w:val="003551"/>
        </w:rPr>
        <w:t>”).</w:t>
      </w:r>
    </w:p>
    <w:p>
      <w:pPr>
        <w:spacing w:after="0" w:line="211"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Background</w:t>
      </w:r>
    </w:p>
    <w:p>
      <w:pPr>
        <w:spacing w:after="0" w:line="15" w:lineRule="exact"/>
        <w:rPr>
          <w:sz w:val="20"/>
          <w:szCs w:val="20"/>
          <w:color w:val="auto"/>
        </w:rPr>
      </w:pPr>
    </w:p>
    <w:p>
      <w:pPr>
        <w:ind w:left="940" w:right="840"/>
        <w:spacing w:after="0" w:line="243" w:lineRule="auto"/>
        <w:rPr>
          <w:sz w:val="20"/>
          <w:szCs w:val="20"/>
          <w:color w:val="auto"/>
        </w:rPr>
      </w:pPr>
      <w:r>
        <w:rPr>
          <w:rFonts w:ascii="Arial" w:cs="Arial" w:eastAsia="Arial" w:hAnsi="Arial"/>
          <w:sz w:val="17"/>
          <w:szCs w:val="17"/>
          <w:color w:val="003551"/>
        </w:rPr>
        <w:t>As a result of losing the benefit of certain flexibility afforded to “foreign private issuers” under U.S. securities laws, IREN is now subject to the SEC rules relating to the solicitation of proxies, including the “universal proxy” rules pursuant to Rule 14a-19 of the Exchange Act. The Advance Notice Amendment would amend the Constitution to align deadlines for purposes of Rule 14a-19 with the existing deadline under the Constitution and the Corporations Act for shareholders to provide notice of nominations. In addition, the amendment would provide that IREN would be permitted to disregard nominations made by shareholders who fail to comply with SEC rules. The Board believes it is in the best interests of IREN and shareholders to facilitate shareholder nominations of directors in accordance with the existing procedures under the Constitution, and permit only those shareholders who abide by the law to benefit from such an important shareholder right.</w:t>
      </w:r>
    </w:p>
    <w:p>
      <w:pPr>
        <w:spacing w:after="0" w:line="74" w:lineRule="exact"/>
        <w:rPr>
          <w:sz w:val="20"/>
          <w:szCs w:val="20"/>
          <w:color w:val="auto"/>
        </w:rPr>
      </w:pPr>
    </w:p>
    <w:p>
      <w:pPr>
        <w:ind w:left="940" w:right="940"/>
        <w:spacing w:after="0" w:line="283" w:lineRule="auto"/>
        <w:rPr>
          <w:sz w:val="20"/>
          <w:szCs w:val="20"/>
          <w:color w:val="auto"/>
        </w:rPr>
      </w:pPr>
      <w:r>
        <w:rPr>
          <w:rFonts w:ascii="Arial" w:cs="Arial" w:eastAsia="Arial" w:hAnsi="Arial"/>
          <w:sz w:val="17"/>
          <w:szCs w:val="17"/>
          <w:color w:val="003551"/>
        </w:rPr>
        <w:t>The Advance Notice Amendment would amend rule 9.9(f) of the Constitution and add a new rule 9.10 to the Constitution. Pursuant to those provisions:</w:t>
      </w:r>
    </w:p>
    <w:p>
      <w:pPr>
        <w:spacing w:after="0" w:line="63" w:lineRule="exact"/>
        <w:rPr>
          <w:sz w:val="20"/>
          <w:szCs w:val="20"/>
          <w:color w:val="auto"/>
        </w:rPr>
      </w:pPr>
    </w:p>
    <w:p>
      <w:pPr>
        <w:ind w:left="1280" w:hanging="337"/>
        <w:spacing w:after="0"/>
        <w:tabs>
          <w:tab w:leader="none" w:pos="1280" w:val="left"/>
        </w:tabs>
        <w:numPr>
          <w:ilvl w:val="0"/>
          <w:numId w:val="58"/>
        </w:numPr>
        <w:rPr>
          <w:rFonts w:ascii="Arial" w:cs="Arial" w:eastAsia="Arial" w:hAnsi="Arial"/>
          <w:sz w:val="17"/>
          <w:szCs w:val="17"/>
          <w:color w:val="003551"/>
        </w:rPr>
      </w:pPr>
      <w:r>
        <w:rPr>
          <w:rFonts w:ascii="Arial" w:cs="Arial" w:eastAsia="Arial" w:hAnsi="Arial"/>
          <w:sz w:val="17"/>
          <w:szCs w:val="17"/>
          <w:color w:val="003551"/>
        </w:rPr>
        <w:t>in the case of any solicitation of proxies related to shareholder nominations that is subject to</w:t>
      </w:r>
    </w:p>
    <w:p>
      <w:pPr>
        <w:spacing w:after="0" w:line="17" w:lineRule="exact"/>
        <w:rPr>
          <w:rFonts w:ascii="Arial" w:cs="Arial" w:eastAsia="Arial" w:hAnsi="Arial"/>
          <w:sz w:val="17"/>
          <w:szCs w:val="17"/>
          <w:color w:val="003551"/>
        </w:rPr>
      </w:pPr>
    </w:p>
    <w:p>
      <w:pPr>
        <w:ind w:left="1280" w:right="800"/>
        <w:spacing w:after="0" w:line="246" w:lineRule="auto"/>
        <w:rPr>
          <w:rFonts w:ascii="Arial" w:cs="Arial" w:eastAsia="Arial" w:hAnsi="Arial"/>
          <w:sz w:val="17"/>
          <w:szCs w:val="17"/>
          <w:color w:val="003551"/>
        </w:rPr>
      </w:pPr>
      <w:r>
        <w:rPr>
          <w:rFonts w:ascii="Arial" w:cs="Arial" w:eastAsia="Arial" w:hAnsi="Arial"/>
          <w:sz w:val="17"/>
          <w:szCs w:val="17"/>
          <w:color w:val="003551"/>
        </w:rPr>
        <w:t>Rule 14a-19 of the Exchange Act, the notice to IREN pursuant to Rule 14a-19(b) under the Exchange Act would be required to be delivered to IREN no later than the deadline that applies under section 249O of the Corporations Act (i.e., a date that is at least 2 months prior to the next general meeting) rather than the deadline that would otherwise apply pursuant to Rule 14a-19 (i.e., 60 calendar days prior to the anniversary of the previous year’s annual general meeting date); and</w:t>
      </w:r>
    </w:p>
    <w:p>
      <w:pPr>
        <w:spacing w:after="0" w:line="108" w:lineRule="exact"/>
        <w:rPr>
          <w:rFonts w:ascii="Arial" w:cs="Arial" w:eastAsia="Arial" w:hAnsi="Arial"/>
          <w:sz w:val="17"/>
          <w:szCs w:val="17"/>
          <w:color w:val="003551"/>
        </w:rPr>
      </w:pPr>
    </w:p>
    <w:p>
      <w:pPr>
        <w:ind w:left="1280" w:right="780" w:hanging="337"/>
        <w:spacing w:after="0" w:line="251" w:lineRule="auto"/>
        <w:tabs>
          <w:tab w:leader="none" w:pos="1280" w:val="left"/>
        </w:tabs>
        <w:numPr>
          <w:ilvl w:val="0"/>
          <w:numId w:val="58"/>
        </w:numPr>
        <w:rPr>
          <w:rFonts w:ascii="Arial" w:cs="Arial" w:eastAsia="Arial" w:hAnsi="Arial"/>
          <w:sz w:val="17"/>
          <w:szCs w:val="17"/>
          <w:color w:val="003551"/>
        </w:rPr>
      </w:pPr>
      <w:r>
        <w:rPr>
          <w:rFonts w:ascii="Arial" w:cs="Arial" w:eastAsia="Arial" w:hAnsi="Arial"/>
          <w:sz w:val="17"/>
          <w:szCs w:val="17"/>
          <w:color w:val="003551"/>
        </w:rPr>
        <w:t>if any shareholder provides notice pursuant to Rule 14a-19(b) under the Exchange Act with respect to any proposed nominee for election as a director and fails to comply with the requirements of</w:t>
      </w:r>
    </w:p>
    <w:p>
      <w:pPr>
        <w:ind w:left="1280" w:right="980"/>
        <w:spacing w:after="0" w:line="252" w:lineRule="auto"/>
        <w:rPr>
          <w:rFonts w:ascii="Arial" w:cs="Arial" w:eastAsia="Arial" w:hAnsi="Arial"/>
          <w:sz w:val="17"/>
          <w:szCs w:val="17"/>
          <w:color w:val="003551"/>
        </w:rPr>
      </w:pPr>
      <w:r>
        <w:rPr>
          <w:rFonts w:ascii="Arial" w:cs="Arial" w:eastAsia="Arial" w:hAnsi="Arial"/>
          <w:sz w:val="17"/>
          <w:szCs w:val="17"/>
          <w:color w:val="003551"/>
        </w:rPr>
        <w:t>Rule 14a-19(a)(2) with respect to the filing or proxy statements or Rule 14a-19(a)(3) with respect to the requirement to solicit a requisite number of shareholders, then IREN would be permitted to disregard the shareholder nominations.</w:t>
      </w:r>
    </w:p>
    <w:p>
      <w:pPr>
        <w:spacing w:after="0" w:line="62" w:lineRule="exact"/>
        <w:rPr>
          <w:sz w:val="20"/>
          <w:szCs w:val="20"/>
          <w:color w:val="auto"/>
        </w:rPr>
      </w:pPr>
    </w:p>
    <w:p>
      <w:pPr>
        <w:ind w:left="940" w:right="860"/>
        <w:spacing w:after="0" w:line="262" w:lineRule="auto"/>
        <w:rPr>
          <w:sz w:val="20"/>
          <w:szCs w:val="20"/>
          <w:color w:val="auto"/>
        </w:rPr>
      </w:pPr>
      <w:r>
        <w:rPr>
          <w:rFonts w:ascii="Arial" w:cs="Arial" w:eastAsia="Arial" w:hAnsi="Arial"/>
          <w:sz w:val="17"/>
          <w:szCs w:val="17"/>
          <w:color w:val="003551"/>
        </w:rPr>
        <w:t>The Advance Notice Amendment is reflected in rule 9.9(f) of the Constitution and the new rule 9.10 in the Constitution is set forth in its entirety in the copy of our proposed Amended and Restated Constitution attached as Appendix B to this Proxy Statement.</w:t>
      </w:r>
    </w:p>
    <w:p>
      <w:pPr>
        <w:spacing w:after="0" w:line="54" w:lineRule="exact"/>
        <w:rPr>
          <w:sz w:val="20"/>
          <w:szCs w:val="20"/>
          <w:color w:val="auto"/>
        </w:rPr>
      </w:pPr>
    </w:p>
    <w:p>
      <w:pPr>
        <w:ind w:left="940" w:right="1040"/>
        <w:spacing w:after="0" w:line="262" w:lineRule="auto"/>
        <w:rPr>
          <w:sz w:val="20"/>
          <w:szCs w:val="20"/>
          <w:color w:val="auto"/>
        </w:rPr>
      </w:pPr>
      <w:r>
        <w:rPr>
          <w:rFonts w:ascii="Arial" w:cs="Arial" w:eastAsia="Arial" w:hAnsi="Arial"/>
          <w:sz w:val="17"/>
          <w:szCs w:val="17"/>
          <w:color w:val="003551"/>
        </w:rPr>
        <w:t>This description of the Advance Notice Amendment is a summary only and is qualified by the complete text of the Advance Notice Amendment set forth in the copy of our proposed Amended and Restated Constitution attached as Appendix B to this Proxy Statement.</w:t>
      </w:r>
    </w:p>
    <w:p>
      <w:pPr>
        <w:spacing w:after="0" w:line="201"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Proposed Amendment</w:t>
      </w:r>
    </w:p>
    <w:p>
      <w:pPr>
        <w:spacing w:after="0" w:line="15" w:lineRule="exact"/>
        <w:rPr>
          <w:sz w:val="20"/>
          <w:szCs w:val="20"/>
          <w:color w:val="auto"/>
        </w:rPr>
      </w:pPr>
    </w:p>
    <w:p>
      <w:pPr>
        <w:ind w:left="940" w:right="760"/>
        <w:spacing w:after="0" w:line="246" w:lineRule="auto"/>
        <w:rPr>
          <w:sz w:val="20"/>
          <w:szCs w:val="20"/>
          <w:color w:val="auto"/>
        </w:rPr>
      </w:pPr>
      <w:r>
        <w:rPr>
          <w:rFonts w:ascii="Arial" w:cs="Arial" w:eastAsia="Arial" w:hAnsi="Arial"/>
          <w:sz w:val="17"/>
          <w:szCs w:val="17"/>
          <w:color w:val="003551"/>
        </w:rPr>
        <w:t>The complete text of the Advance Notice Amendment is set forth in its entirety in rules 9.9(f) and 9.10 of our proposed Amended and Restated Constitution, and includes the renumbering of rules 9.11, 9.12, 9.13, 9.14, 9.15 and 9.16 as a consequence of the addition of the new rule 9.10. A copy of our proposed Amended and Restated Constitution attached as Appendix B to this Proxy Statement, which indicates proposed deletions with strikeouts and proposed additions with underlining.</w:t>
      </w:r>
    </w:p>
    <w:p>
      <w:pPr>
        <w:spacing w:after="0" w:line="69" w:lineRule="exact"/>
        <w:rPr>
          <w:sz w:val="20"/>
          <w:szCs w:val="20"/>
          <w:color w:val="auto"/>
        </w:rPr>
      </w:pPr>
    </w:p>
    <w:p>
      <w:pPr>
        <w:ind w:left="940" w:right="840"/>
        <w:spacing w:after="0" w:line="283" w:lineRule="auto"/>
        <w:rPr>
          <w:sz w:val="20"/>
          <w:szCs w:val="20"/>
          <w:color w:val="auto"/>
        </w:rPr>
      </w:pPr>
      <w:r>
        <w:rPr>
          <w:rFonts w:ascii="Arial" w:cs="Arial" w:eastAsia="Arial" w:hAnsi="Arial"/>
          <w:sz w:val="17"/>
          <w:szCs w:val="17"/>
          <w:color w:val="003551"/>
        </w:rPr>
        <w:t>If the Advance Notice Amendment is approved and adopted it will become effective immediately following the confirmation of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100330</wp:posOffset>
            </wp:positionV>
            <wp:extent cx="540385" cy="63182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6" w:right="12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40" w:right="920"/>
        <w:spacing w:after="0" w:line="245" w:lineRule="auto"/>
        <w:rPr>
          <w:sz w:val="20"/>
          <w:szCs w:val="20"/>
          <w:color w:val="auto"/>
        </w:rPr>
      </w:pPr>
      <w:r>
        <w:rPr>
          <w:rFonts w:ascii="Arial" w:cs="Arial" w:eastAsia="Arial" w:hAnsi="Arial"/>
          <w:sz w:val="17"/>
          <w:szCs w:val="17"/>
          <w:color w:val="003551"/>
        </w:rPr>
        <w:t>Shareholders are also asked to consider Proposals 1, 2, 3 and 5, which relate to amendments to the Constitution to provide for alignment of the quorum requirement for shareholder meetings with Nasdaq rules, the election of directors at each annual general meeting, a forum selection provision, and other miscellaneous changes. Each such proposal is independent of each other proposal. If all of Proposals 1, 2, 3 and 5 and this Proposal 4 are approved by the shareholders, then the Amended and Restated Constitution that implements all of the amendments contemplated by such proposals and set forth in the copy of our proposed Amended and Restated Constitution attached as Appendix B to this Proxy Statement will become effective immediately following the confirmation of shareholder approval. If only certain of these proposals are approved by the shareholders, but one or more of such proposals are not approved by shareholders, then only the amendments to the Constitution that were approved by shareholders become effective.</w:t>
      </w:r>
    </w:p>
    <w:p>
      <w:pPr>
        <w:spacing w:after="0" w:line="205"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Resolution</w:t>
      </w:r>
    </w:p>
    <w:p>
      <w:pPr>
        <w:spacing w:after="0" w:line="45"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To consider and, if thought fit, to pass the following resolution as a special resolution:</w:t>
      </w:r>
    </w:p>
    <w:p>
      <w:pPr>
        <w:spacing w:after="0" w:line="98" w:lineRule="exact"/>
        <w:rPr>
          <w:sz w:val="20"/>
          <w:szCs w:val="20"/>
          <w:color w:val="auto"/>
        </w:rPr>
      </w:pPr>
    </w:p>
    <w:p>
      <w:pPr>
        <w:ind w:left="940" w:right="900"/>
        <w:spacing w:after="0" w:line="256" w:lineRule="auto"/>
        <w:rPr>
          <w:sz w:val="20"/>
          <w:szCs w:val="20"/>
          <w:color w:val="auto"/>
        </w:rPr>
      </w:pPr>
      <w:r>
        <w:rPr>
          <w:rFonts w:ascii="Arial" w:cs="Arial" w:eastAsia="Arial" w:hAnsi="Arial"/>
          <w:sz w:val="17"/>
          <w:szCs w:val="17"/>
          <w:b w:val="1"/>
          <w:bCs w:val="1"/>
          <w:color w:val="003551"/>
        </w:rPr>
        <w:t xml:space="preserve">RESOLVED, </w:t>
      </w:r>
      <w:r>
        <w:rPr>
          <w:rFonts w:ascii="Arial" w:cs="Arial" w:eastAsia="Arial" w:hAnsi="Arial"/>
          <w:sz w:val="17"/>
          <w:szCs w:val="17"/>
          <w:color w:val="003551"/>
        </w:rPr>
        <w:t>that for the purpose of section 136 of the Corporations Act and for all other purposes under</w:t>
      </w:r>
      <w:r>
        <w:rPr>
          <w:rFonts w:ascii="Arial" w:cs="Arial" w:eastAsia="Arial" w:hAnsi="Arial"/>
          <w:sz w:val="17"/>
          <w:szCs w:val="17"/>
          <w:b w:val="1"/>
          <w:bCs w:val="1"/>
          <w:color w:val="003551"/>
        </w:rPr>
        <w:t xml:space="preserve"> </w:t>
      </w:r>
      <w:r>
        <w:rPr>
          <w:rFonts w:ascii="Arial" w:cs="Arial" w:eastAsia="Arial" w:hAnsi="Arial"/>
          <w:sz w:val="17"/>
          <w:szCs w:val="17"/>
          <w:color w:val="003551"/>
        </w:rPr>
        <w:t>the Corporations Act, the Constitution is amended as per the Advance Notice Amendment as set forth in its entirety in rules 9.9(f), 9.10, 9.11, 9.12, 9.13, 9.14, 9.15 and 9.16 of the proposed Amended and Restated Constitution attached as Appendix B to this Proxy Statement.</w:t>
      </w:r>
    </w:p>
    <w:p>
      <w:pPr>
        <w:spacing w:after="0" w:line="206"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Vote Required</w:t>
      </w:r>
    </w:p>
    <w:p>
      <w:pPr>
        <w:spacing w:after="0" w:line="15" w:lineRule="exact"/>
        <w:rPr>
          <w:sz w:val="20"/>
          <w:szCs w:val="20"/>
          <w:color w:val="auto"/>
        </w:rPr>
      </w:pPr>
    </w:p>
    <w:p>
      <w:pPr>
        <w:ind w:left="940" w:right="820"/>
        <w:spacing w:after="0" w:line="263" w:lineRule="auto"/>
        <w:rPr>
          <w:sz w:val="20"/>
          <w:szCs w:val="20"/>
          <w:color w:val="auto"/>
        </w:rPr>
      </w:pPr>
      <w:r>
        <w:rPr>
          <w:rFonts w:ascii="Arial" w:cs="Arial" w:eastAsia="Arial" w:hAnsi="Arial"/>
          <w:sz w:val="17"/>
          <w:szCs w:val="17"/>
          <w:color w:val="003551"/>
        </w:rPr>
        <w:t>The affirmative vote of at least 75% of votes cast will be required by shareholders who are entitled to vote on the resolution to approve Proposal 4.</w:t>
      </w:r>
    </w:p>
    <w:p>
      <w:pPr>
        <w:spacing w:after="0" w:line="53" w:lineRule="exact"/>
        <w:rPr>
          <w:sz w:val="20"/>
          <w:szCs w:val="20"/>
          <w:color w:val="auto"/>
        </w:rPr>
      </w:pPr>
    </w:p>
    <w:p>
      <w:pPr>
        <w:ind w:left="940" w:right="800"/>
        <w:spacing w:after="0" w:line="249" w:lineRule="auto"/>
        <w:rPr>
          <w:sz w:val="20"/>
          <w:szCs w:val="20"/>
          <w:color w:val="auto"/>
        </w:rPr>
      </w:pPr>
      <w:r>
        <w:rPr>
          <w:rFonts w:ascii="Arial" w:cs="Arial" w:eastAsia="Arial" w:hAnsi="Arial"/>
          <w:sz w:val="17"/>
          <w:szCs w:val="17"/>
          <w:color w:val="003551"/>
        </w:rPr>
        <w:t>Proposal 4 is a “non-routine” matter on which a broker, bank or other nominee is not entitled to vote shares held on behalf of a beneficial owner without receiving voting instructions from the beneficial owner. Consequently, if you hold your shares in street name (such as through a brokerage account) and you do not instruct your broker, bank or other nominee on how to vote on this Proposal 4, a “broker non-vote” will occur with respect to Proposal 4. Abstentions, if any, and broker non-votes with respect to Proposal 4 are not treated as votes cast and will not be counted in determining the outcome of Proposal 4.</w:t>
      </w:r>
    </w:p>
    <w:p>
      <w:pPr>
        <w:spacing w:after="0" w:line="65" w:lineRule="exact"/>
        <w:rPr>
          <w:sz w:val="20"/>
          <w:szCs w:val="20"/>
          <w:color w:val="auto"/>
        </w:rPr>
      </w:pPr>
    </w:p>
    <w:p>
      <w:pPr>
        <w:ind w:left="940" w:right="840"/>
        <w:spacing w:after="0" w:line="295" w:lineRule="auto"/>
        <w:rPr>
          <w:sz w:val="20"/>
          <w:szCs w:val="20"/>
          <w:color w:val="auto"/>
        </w:rPr>
      </w:pPr>
      <w:r>
        <w:rPr>
          <w:rFonts w:ascii="Arial" w:cs="Arial" w:eastAsia="Arial" w:hAnsi="Arial"/>
          <w:sz w:val="17"/>
          <w:szCs w:val="17"/>
          <w:b w:val="1"/>
          <w:bCs w:val="1"/>
          <w:color w:val="003551"/>
        </w:rPr>
        <w:t>The Board unanimously recommends a vote FOR the approval of the Advance Notice Amendment to the Constitution described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89535</wp:posOffset>
            </wp:positionV>
            <wp:extent cx="540385" cy="63182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6" w:right="12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940" w:right="1680"/>
        <w:spacing w:after="0" w:line="280" w:lineRule="auto"/>
        <w:rPr>
          <w:sz w:val="20"/>
          <w:szCs w:val="20"/>
          <w:color w:val="auto"/>
        </w:rPr>
      </w:pPr>
      <w:r>
        <w:rPr>
          <w:rFonts w:ascii="Arial" w:cs="Arial" w:eastAsia="Arial" w:hAnsi="Arial"/>
          <w:sz w:val="28"/>
          <w:szCs w:val="28"/>
          <w:color w:val="003551"/>
        </w:rPr>
        <w:t>Proposal 5: Approve amendments to IREN’s constitution to implement miscellaneous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522351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223510" cy="8255"/>
                    </a:xfrm>
                    <a:prstGeom prst="rect">
                      <a:avLst/>
                    </a:prstGeom>
                    <a:noFill/>
                  </pic:spPr>
                </pic:pic>
              </a:graphicData>
            </a:graphic>
          </wp:anchor>
        </w:drawing>
      </w:r>
    </w:p>
    <w:p>
      <w:pPr>
        <w:spacing w:after="0" w:line="9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Proposal</w:t>
      </w:r>
    </w:p>
    <w:p>
      <w:pPr>
        <w:spacing w:after="0" w:line="15" w:lineRule="exact"/>
        <w:rPr>
          <w:sz w:val="20"/>
          <w:szCs w:val="20"/>
          <w:color w:val="auto"/>
        </w:rPr>
      </w:pPr>
    </w:p>
    <w:p>
      <w:pPr>
        <w:ind w:left="940" w:right="920"/>
        <w:spacing w:after="0" w:line="257" w:lineRule="auto"/>
        <w:rPr>
          <w:sz w:val="20"/>
          <w:szCs w:val="20"/>
          <w:color w:val="auto"/>
        </w:rPr>
      </w:pPr>
      <w:r>
        <w:rPr>
          <w:rFonts w:ascii="Arial" w:cs="Arial" w:eastAsia="Arial" w:hAnsi="Arial"/>
          <w:sz w:val="17"/>
          <w:szCs w:val="17"/>
          <w:color w:val="003551"/>
        </w:rPr>
        <w:t>The Board has unanimously approved, adopted and declared advisable amendments to our Restated Certificate of Incorporation to provide for the updates described below to implement other miscellaneous changes (the “</w:t>
      </w:r>
      <w:r>
        <w:rPr>
          <w:rFonts w:ascii="Arial" w:cs="Arial" w:eastAsia="Arial" w:hAnsi="Arial"/>
          <w:sz w:val="17"/>
          <w:szCs w:val="17"/>
          <w:b w:val="1"/>
          <w:bCs w:val="1"/>
          <w:color w:val="003551"/>
        </w:rPr>
        <w:t>Miscellaneous Amendments</w:t>
      </w:r>
      <w:r>
        <w:rPr>
          <w:rFonts w:ascii="Arial" w:cs="Arial" w:eastAsia="Arial" w:hAnsi="Arial"/>
          <w:sz w:val="17"/>
          <w:szCs w:val="17"/>
          <w:color w:val="003551"/>
        </w:rPr>
        <w:t>”).</w:t>
      </w:r>
    </w:p>
    <w:p>
      <w:pPr>
        <w:spacing w:after="0" w:line="211"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Background</w:t>
      </w:r>
    </w:p>
    <w:p>
      <w:pPr>
        <w:spacing w:after="0" w:line="15" w:lineRule="exact"/>
        <w:rPr>
          <w:sz w:val="20"/>
          <w:szCs w:val="20"/>
          <w:color w:val="auto"/>
        </w:rPr>
      </w:pPr>
    </w:p>
    <w:p>
      <w:pPr>
        <w:ind w:left="940" w:right="1120"/>
        <w:spacing w:after="0" w:line="263" w:lineRule="auto"/>
        <w:rPr>
          <w:sz w:val="20"/>
          <w:szCs w:val="20"/>
          <w:color w:val="auto"/>
        </w:rPr>
      </w:pPr>
      <w:r>
        <w:rPr>
          <w:rFonts w:ascii="Arial" w:cs="Arial" w:eastAsia="Arial" w:hAnsi="Arial"/>
          <w:sz w:val="17"/>
          <w:szCs w:val="17"/>
          <w:color w:val="003551"/>
        </w:rPr>
        <w:t>The Miscellaneous Amendments consist of the following (with rule references being to the rules in the proposed Amended and Restated Constitution attached as Appendix B to this Proxy Statement):</w:t>
      </w:r>
    </w:p>
    <w:p>
      <w:pPr>
        <w:spacing w:after="0" w:line="78" w:lineRule="exact"/>
        <w:rPr>
          <w:sz w:val="20"/>
          <w:szCs w:val="20"/>
          <w:color w:val="auto"/>
        </w:rPr>
      </w:pPr>
    </w:p>
    <w:p>
      <w:pPr>
        <w:jc w:val="both"/>
        <w:ind w:left="1280" w:right="780" w:hanging="337"/>
        <w:spacing w:after="0" w:line="248" w:lineRule="auto"/>
        <w:tabs>
          <w:tab w:leader="none" w:pos="1280" w:val="left"/>
        </w:tabs>
        <w:numPr>
          <w:ilvl w:val="0"/>
          <w:numId w:val="59"/>
        </w:numPr>
        <w:rPr>
          <w:rFonts w:ascii="Arial" w:cs="Arial" w:eastAsia="Arial" w:hAnsi="Arial"/>
          <w:sz w:val="17"/>
          <w:szCs w:val="17"/>
          <w:color w:val="003551"/>
        </w:rPr>
      </w:pPr>
      <w:r>
        <w:rPr>
          <w:rFonts w:ascii="Arial" w:cs="Arial" w:eastAsia="Arial" w:hAnsi="Arial"/>
          <w:sz w:val="17"/>
          <w:szCs w:val="17"/>
          <w:b w:val="1"/>
          <w:bCs w:val="1"/>
          <w:color w:val="003551"/>
        </w:rPr>
        <w:t xml:space="preserve">References to U.S. Securities Laws: </w:t>
      </w:r>
      <w:r>
        <w:rPr>
          <w:rFonts w:ascii="Arial" w:cs="Arial" w:eastAsia="Arial" w:hAnsi="Arial"/>
          <w:sz w:val="17"/>
          <w:szCs w:val="17"/>
          <w:color w:val="003551"/>
        </w:rPr>
        <w:t>Amend rule 1.1 to include a definition of “Securities Laws” that</w:t>
      </w:r>
      <w:r>
        <w:rPr>
          <w:rFonts w:ascii="Arial" w:cs="Arial" w:eastAsia="Arial" w:hAnsi="Arial"/>
          <w:sz w:val="17"/>
          <w:szCs w:val="17"/>
          <w:b w:val="1"/>
          <w:bCs w:val="1"/>
          <w:color w:val="003551"/>
        </w:rPr>
        <w:t xml:space="preserve"> </w:t>
      </w:r>
      <w:r>
        <w:rPr>
          <w:rFonts w:ascii="Arial" w:cs="Arial" w:eastAsia="Arial" w:hAnsi="Arial"/>
          <w:sz w:val="17"/>
          <w:szCs w:val="17"/>
          <w:color w:val="003551"/>
        </w:rPr>
        <w:t>captures the Securities Act, the Exchange Act and rules and regulations promulgated thereunder, and amend the definition of “Record Time” in rule 1.1, as well as rules 1.3, 1.4(f), 1.9, 2.1, 5.5, 5.6, 5.7,</w:t>
      </w:r>
    </w:p>
    <w:p>
      <w:pPr>
        <w:spacing w:after="0" w:line="1" w:lineRule="exact"/>
        <w:rPr>
          <w:rFonts w:ascii="Arial" w:cs="Arial" w:eastAsia="Arial" w:hAnsi="Arial"/>
          <w:sz w:val="17"/>
          <w:szCs w:val="17"/>
          <w:color w:val="003551"/>
        </w:rPr>
      </w:pPr>
    </w:p>
    <w:p>
      <w:pPr>
        <w:ind w:left="1280" w:right="860"/>
        <w:spacing w:after="0" w:line="245" w:lineRule="auto"/>
        <w:rPr>
          <w:rFonts w:ascii="Arial" w:cs="Arial" w:eastAsia="Arial" w:hAnsi="Arial"/>
          <w:sz w:val="17"/>
          <w:szCs w:val="17"/>
          <w:color w:val="003551"/>
        </w:rPr>
      </w:pPr>
      <w:r>
        <w:rPr>
          <w:rFonts w:ascii="Arial" w:cs="Arial" w:eastAsia="Arial" w:hAnsi="Arial"/>
          <w:sz w:val="17"/>
          <w:szCs w:val="17"/>
          <w:color w:val="003551"/>
        </w:rPr>
        <w:t>8.2, 8.3, 8.7, 9.15, 10.13(b), 11.1, 11.3, 11.4, 11.6, 11.10, 11.12, 12.12, 13.1, 13.2, 13.3, 13.5, 13.6, 13.7, 15.6, 15.7 and 16.3, paragraph 7(e) of Schedule 2, paragraphs 2 and 4 of Schedule 3, and paragraphs 1(c), 5 and 11(b) of Schedule 5, in each case to include a reference to “Securities Laws.” The Board believes it is appropriate to include references to U.S. securities laws in each of these provisions as a result of IREN losing the benefit of certain flexibility afforded to “foreign private issuers” under SEC rules and Nasdaq rules.</w:t>
      </w:r>
    </w:p>
    <w:p>
      <w:pPr>
        <w:spacing w:after="0" w:line="107" w:lineRule="exact"/>
        <w:rPr>
          <w:rFonts w:ascii="Arial" w:cs="Arial" w:eastAsia="Arial" w:hAnsi="Arial"/>
          <w:sz w:val="17"/>
          <w:szCs w:val="17"/>
          <w:color w:val="003551"/>
        </w:rPr>
      </w:pPr>
    </w:p>
    <w:p>
      <w:pPr>
        <w:ind w:left="1280" w:right="800" w:hanging="337"/>
        <w:spacing w:after="0" w:line="263" w:lineRule="auto"/>
        <w:tabs>
          <w:tab w:leader="none" w:pos="1280" w:val="left"/>
        </w:tabs>
        <w:numPr>
          <w:ilvl w:val="0"/>
          <w:numId w:val="59"/>
        </w:numPr>
        <w:rPr>
          <w:rFonts w:ascii="Arial" w:cs="Arial" w:eastAsia="Arial" w:hAnsi="Arial"/>
          <w:sz w:val="17"/>
          <w:szCs w:val="17"/>
          <w:color w:val="003551"/>
        </w:rPr>
      </w:pPr>
      <w:r>
        <w:rPr>
          <w:rFonts w:ascii="Arial" w:cs="Arial" w:eastAsia="Arial" w:hAnsi="Arial"/>
          <w:sz w:val="17"/>
          <w:szCs w:val="17"/>
          <w:b w:val="1"/>
          <w:bCs w:val="1"/>
          <w:color w:val="003551"/>
        </w:rPr>
        <w:t xml:space="preserve">Business at General Meetings: </w:t>
      </w:r>
      <w:r>
        <w:rPr>
          <w:rFonts w:ascii="Arial" w:cs="Arial" w:eastAsia="Arial" w:hAnsi="Arial"/>
          <w:sz w:val="17"/>
          <w:szCs w:val="17"/>
          <w:color w:val="003551"/>
        </w:rPr>
        <w:t>Amend rule 8.9 to clarify that business at general meetings includes</w:t>
      </w:r>
      <w:r>
        <w:rPr>
          <w:rFonts w:ascii="Arial" w:cs="Arial" w:eastAsia="Arial" w:hAnsi="Arial"/>
          <w:sz w:val="17"/>
          <w:szCs w:val="17"/>
          <w:b w:val="1"/>
          <w:bCs w:val="1"/>
          <w:color w:val="003551"/>
        </w:rPr>
        <w:t xml:space="preserve"> </w:t>
      </w:r>
      <w:r>
        <w:rPr>
          <w:rFonts w:ascii="Arial" w:cs="Arial" w:eastAsia="Arial" w:hAnsi="Arial"/>
          <w:sz w:val="17"/>
          <w:szCs w:val="17"/>
          <w:color w:val="003551"/>
        </w:rPr>
        <w:t>the election of directors (in addition to any other business the general nature of which is specified in the original notice calling the meeting).</w:t>
      </w:r>
    </w:p>
    <w:p>
      <w:pPr>
        <w:spacing w:after="0" w:line="90" w:lineRule="exact"/>
        <w:rPr>
          <w:rFonts w:ascii="Arial" w:cs="Arial" w:eastAsia="Arial" w:hAnsi="Arial"/>
          <w:sz w:val="17"/>
          <w:szCs w:val="17"/>
          <w:color w:val="003551"/>
        </w:rPr>
      </w:pPr>
    </w:p>
    <w:p>
      <w:pPr>
        <w:ind w:left="1280" w:right="740" w:hanging="337"/>
        <w:spacing w:after="0" w:line="263" w:lineRule="auto"/>
        <w:tabs>
          <w:tab w:leader="none" w:pos="1280" w:val="left"/>
        </w:tabs>
        <w:numPr>
          <w:ilvl w:val="0"/>
          <w:numId w:val="59"/>
        </w:numPr>
        <w:rPr>
          <w:rFonts w:ascii="Arial" w:cs="Arial" w:eastAsia="Arial" w:hAnsi="Arial"/>
          <w:sz w:val="17"/>
          <w:szCs w:val="17"/>
          <w:color w:val="003551"/>
        </w:rPr>
      </w:pPr>
      <w:r>
        <w:rPr>
          <w:rFonts w:ascii="Arial" w:cs="Arial" w:eastAsia="Arial" w:hAnsi="Arial"/>
          <w:sz w:val="17"/>
          <w:szCs w:val="17"/>
          <w:b w:val="1"/>
          <w:bCs w:val="1"/>
          <w:color w:val="003551"/>
        </w:rPr>
        <w:t xml:space="preserve">Additional Definitions: </w:t>
      </w:r>
      <w:r>
        <w:rPr>
          <w:rFonts w:ascii="Arial" w:cs="Arial" w:eastAsia="Arial" w:hAnsi="Arial"/>
          <w:sz w:val="17"/>
          <w:szCs w:val="17"/>
          <w:color w:val="003551"/>
        </w:rPr>
        <w:t>Amend rule 1.1 of the Constitution to add definitions of “Derivative</w:t>
      </w:r>
      <w:r>
        <w:rPr>
          <w:rFonts w:ascii="Arial" w:cs="Arial" w:eastAsia="Arial" w:hAnsi="Arial"/>
          <w:sz w:val="17"/>
          <w:szCs w:val="17"/>
          <w:b w:val="1"/>
          <w:bCs w:val="1"/>
          <w:color w:val="003551"/>
        </w:rPr>
        <w:t xml:space="preserve"> </w:t>
      </w:r>
      <w:r>
        <w:rPr>
          <w:rFonts w:ascii="Arial" w:cs="Arial" w:eastAsia="Arial" w:hAnsi="Arial"/>
          <w:sz w:val="17"/>
          <w:szCs w:val="17"/>
          <w:color w:val="003551"/>
        </w:rPr>
        <w:t>Instrument,” “Exchange Act” and “Founder Director” and “Securities Act” that are used in certain of the proposed amendments to the Constitution.</w:t>
      </w:r>
    </w:p>
    <w:p>
      <w:pPr>
        <w:spacing w:after="0" w:line="77" w:lineRule="exact"/>
        <w:rPr>
          <w:rFonts w:ascii="Arial" w:cs="Arial" w:eastAsia="Arial" w:hAnsi="Arial"/>
          <w:sz w:val="17"/>
          <w:szCs w:val="17"/>
          <w:color w:val="003551"/>
        </w:rPr>
      </w:pPr>
    </w:p>
    <w:p>
      <w:pPr>
        <w:ind w:left="1280" w:right="920" w:hanging="337"/>
        <w:spacing w:after="0" w:line="286" w:lineRule="auto"/>
        <w:tabs>
          <w:tab w:leader="none" w:pos="1280" w:val="left"/>
        </w:tabs>
        <w:numPr>
          <w:ilvl w:val="0"/>
          <w:numId w:val="59"/>
        </w:numPr>
        <w:rPr>
          <w:rFonts w:ascii="Arial" w:cs="Arial" w:eastAsia="Arial" w:hAnsi="Arial"/>
          <w:sz w:val="17"/>
          <w:szCs w:val="17"/>
          <w:color w:val="003551"/>
        </w:rPr>
      </w:pPr>
      <w:r>
        <w:rPr>
          <w:rFonts w:ascii="Arial" w:cs="Arial" w:eastAsia="Arial" w:hAnsi="Arial"/>
          <w:sz w:val="17"/>
          <w:szCs w:val="17"/>
          <w:b w:val="1"/>
          <w:bCs w:val="1"/>
          <w:color w:val="003551"/>
        </w:rPr>
        <w:t xml:space="preserve">Shareholders Agreement: </w:t>
      </w:r>
      <w:r>
        <w:rPr>
          <w:rFonts w:ascii="Arial" w:cs="Arial" w:eastAsia="Arial" w:hAnsi="Arial"/>
          <w:sz w:val="17"/>
          <w:szCs w:val="17"/>
          <w:color w:val="003551"/>
        </w:rPr>
        <w:t>Delete the definition of “Shareholders Agreement” in rule 1.1 and delete</w:t>
      </w:r>
      <w:r>
        <w:rPr>
          <w:rFonts w:ascii="Arial" w:cs="Arial" w:eastAsia="Arial" w:hAnsi="Arial"/>
          <w:sz w:val="17"/>
          <w:szCs w:val="17"/>
          <w:b w:val="1"/>
          <w:bCs w:val="1"/>
          <w:color w:val="003551"/>
        </w:rPr>
        <w:t xml:space="preserve"> </w:t>
      </w:r>
      <w:r>
        <w:rPr>
          <w:rFonts w:ascii="Arial" w:cs="Arial" w:eastAsia="Arial" w:hAnsi="Arial"/>
          <w:sz w:val="17"/>
          <w:szCs w:val="17"/>
          <w:color w:val="003551"/>
        </w:rPr>
        <w:t>rule 1.8 relating to the Shareholders Agreement, which is no longer operative.</w:t>
      </w:r>
    </w:p>
    <w:p>
      <w:pPr>
        <w:spacing w:after="0" w:line="71" w:lineRule="exact"/>
        <w:rPr>
          <w:rFonts w:ascii="Arial" w:cs="Arial" w:eastAsia="Arial" w:hAnsi="Arial"/>
          <w:sz w:val="17"/>
          <w:szCs w:val="17"/>
          <w:color w:val="003551"/>
        </w:rPr>
      </w:pPr>
    </w:p>
    <w:p>
      <w:pPr>
        <w:ind w:left="1280" w:right="740" w:hanging="337"/>
        <w:spacing w:after="0" w:line="256" w:lineRule="auto"/>
        <w:tabs>
          <w:tab w:leader="none" w:pos="1280" w:val="left"/>
        </w:tabs>
        <w:numPr>
          <w:ilvl w:val="0"/>
          <w:numId w:val="59"/>
        </w:numPr>
        <w:rPr>
          <w:rFonts w:ascii="Arial" w:cs="Arial" w:eastAsia="Arial" w:hAnsi="Arial"/>
          <w:sz w:val="17"/>
          <w:szCs w:val="17"/>
          <w:color w:val="003551"/>
        </w:rPr>
      </w:pPr>
      <w:r>
        <w:rPr>
          <w:rFonts w:ascii="Arial" w:cs="Arial" w:eastAsia="Arial" w:hAnsi="Arial"/>
          <w:sz w:val="17"/>
          <w:szCs w:val="17"/>
          <w:b w:val="1"/>
          <w:bCs w:val="1"/>
          <w:color w:val="003551"/>
        </w:rPr>
        <w:t xml:space="preserve">Section Numbering: </w:t>
      </w:r>
      <w:r>
        <w:rPr>
          <w:rFonts w:ascii="Arial" w:cs="Arial" w:eastAsia="Arial" w:hAnsi="Arial"/>
          <w:sz w:val="17"/>
          <w:szCs w:val="17"/>
          <w:color w:val="003551"/>
        </w:rPr>
        <w:t>Revise section number where applicable to reflect the amendments provided for</w:t>
      </w:r>
      <w:r>
        <w:rPr>
          <w:rFonts w:ascii="Arial" w:cs="Arial" w:eastAsia="Arial" w:hAnsi="Arial"/>
          <w:sz w:val="17"/>
          <w:szCs w:val="17"/>
          <w:b w:val="1"/>
          <w:bCs w:val="1"/>
          <w:color w:val="003551"/>
        </w:rPr>
        <w:t xml:space="preserve"> </w:t>
      </w:r>
      <w:r>
        <w:rPr>
          <w:rFonts w:ascii="Arial" w:cs="Arial" w:eastAsia="Arial" w:hAnsi="Arial"/>
          <w:sz w:val="17"/>
          <w:szCs w:val="17"/>
          <w:color w:val="003551"/>
        </w:rPr>
        <w:t>pursuant to Proposals 1 through 4 (inclusive), to the extent such proposals are approved, including related renumbering in each of the relevant proposals above since proposals are not contingent on each other.</w:t>
      </w:r>
    </w:p>
    <w:p>
      <w:pPr>
        <w:spacing w:after="0" w:line="59" w:lineRule="exact"/>
        <w:rPr>
          <w:sz w:val="20"/>
          <w:szCs w:val="20"/>
          <w:color w:val="auto"/>
        </w:rPr>
      </w:pPr>
    </w:p>
    <w:p>
      <w:pPr>
        <w:ind w:left="940" w:right="820"/>
        <w:spacing w:after="0" w:line="257" w:lineRule="auto"/>
        <w:rPr>
          <w:sz w:val="20"/>
          <w:szCs w:val="20"/>
          <w:color w:val="auto"/>
        </w:rPr>
      </w:pPr>
      <w:r>
        <w:rPr>
          <w:rFonts w:ascii="Arial" w:cs="Arial" w:eastAsia="Arial" w:hAnsi="Arial"/>
          <w:sz w:val="17"/>
          <w:szCs w:val="17"/>
          <w:color w:val="003551"/>
        </w:rPr>
        <w:t>The Board believes it is appropriate to make the Miscellaneous Amendments to make certain miscellaneous changes, including in particular updates that the Board believes are appropriate as a result of IREN losing the benefit of certain flexibility afforded to “foreign private issuers” under SEC rules and Nasdaq rules.</w:t>
      </w:r>
    </w:p>
    <w:p>
      <w:pPr>
        <w:spacing w:after="0" w:line="263" w:lineRule="exact"/>
        <w:rPr>
          <w:sz w:val="20"/>
          <w:szCs w:val="20"/>
          <w:color w:val="auto"/>
        </w:rPr>
      </w:pPr>
    </w:p>
    <w:p>
      <w:pPr>
        <w:ind w:left="940" w:right="740"/>
        <w:spacing w:after="0" w:line="262" w:lineRule="auto"/>
        <w:rPr>
          <w:sz w:val="20"/>
          <w:szCs w:val="20"/>
          <w:color w:val="auto"/>
        </w:rPr>
      </w:pPr>
      <w:r>
        <w:rPr>
          <w:rFonts w:ascii="Arial" w:cs="Arial" w:eastAsia="Arial" w:hAnsi="Arial"/>
          <w:sz w:val="17"/>
          <w:szCs w:val="17"/>
          <w:color w:val="003551"/>
        </w:rPr>
        <w:t>This description of the Miscellaneous Amendments is a summary only and is qualified by the complete text of the Miscellaneous Amendments set forth in the copy of our proposed Amended and Restated Constitution attached as Appendix B to this Proxy Statement.</w:t>
      </w:r>
    </w:p>
    <w:p>
      <w:pPr>
        <w:spacing w:after="0" w:line="201"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Proposed Amendment</w:t>
      </w:r>
    </w:p>
    <w:p>
      <w:pPr>
        <w:spacing w:after="0" w:line="15" w:lineRule="exact"/>
        <w:rPr>
          <w:sz w:val="20"/>
          <w:szCs w:val="20"/>
          <w:color w:val="auto"/>
        </w:rPr>
      </w:pPr>
    </w:p>
    <w:p>
      <w:pPr>
        <w:ind w:left="940" w:right="920"/>
        <w:spacing w:after="0" w:line="246" w:lineRule="auto"/>
        <w:rPr>
          <w:sz w:val="20"/>
          <w:szCs w:val="20"/>
          <w:color w:val="auto"/>
        </w:rPr>
      </w:pPr>
      <w:r>
        <w:rPr>
          <w:rFonts w:ascii="Arial" w:cs="Arial" w:eastAsia="Arial" w:hAnsi="Arial"/>
          <w:sz w:val="17"/>
          <w:szCs w:val="17"/>
          <w:color w:val="003551"/>
        </w:rPr>
        <w:t>The complete text of the Miscellaneous Amendments is set forth in its entirety in our proposed Amended and Restated Constitution, and consist of all changes reflected in our proposed Amended and Restated Constitution other than those specifically proposed pursuant to Proposals 1 through 4 (inclusive). A copy of our proposed Amended and Restated Constitution attached as Appendix B to this Proxy Statement, which indicates proposed deletions with strikeouts and proposed additions with underlining.</w:t>
      </w:r>
    </w:p>
    <w:p>
      <w:pPr>
        <w:spacing w:after="0" w:line="69" w:lineRule="exact"/>
        <w:rPr>
          <w:sz w:val="20"/>
          <w:szCs w:val="20"/>
          <w:color w:val="auto"/>
        </w:rPr>
      </w:pPr>
    </w:p>
    <w:p>
      <w:pPr>
        <w:ind w:left="940" w:right="1220"/>
        <w:spacing w:after="0" w:line="283" w:lineRule="auto"/>
        <w:rPr>
          <w:sz w:val="20"/>
          <w:szCs w:val="20"/>
          <w:color w:val="auto"/>
        </w:rPr>
      </w:pPr>
      <w:r>
        <w:rPr>
          <w:rFonts w:ascii="Arial" w:cs="Arial" w:eastAsia="Arial" w:hAnsi="Arial"/>
          <w:sz w:val="17"/>
          <w:szCs w:val="17"/>
          <w:color w:val="003551"/>
        </w:rPr>
        <w:t>If the Miscellaneous Amendments are approved and adopted they will become effective immediately following the confirmation of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100330</wp:posOffset>
            </wp:positionV>
            <wp:extent cx="540385" cy="63182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6" w:right="12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40" w:right="780"/>
        <w:spacing w:after="0" w:line="249" w:lineRule="auto"/>
        <w:rPr>
          <w:sz w:val="20"/>
          <w:szCs w:val="20"/>
          <w:color w:val="auto"/>
        </w:rPr>
      </w:pPr>
      <w:r>
        <w:rPr>
          <w:rFonts w:ascii="Arial" w:cs="Arial" w:eastAsia="Arial" w:hAnsi="Arial"/>
          <w:sz w:val="17"/>
          <w:szCs w:val="17"/>
          <w:color w:val="003551"/>
        </w:rPr>
        <w:t>The Miscellaneous Amendments described in this Proposal 5 are interdependent such that shareholders will be approving all or none of the Miscellaneous Amendments. The description of the Miscellaneous Amendments is a summary and is qualified by the complete text of the Miscellaneous Amendments set forth in the copy of our proposed Amended and Restated Constitution attached as Appendix B to this Proxy Statement. If the Miscellaneous Amendments are approved and adopted, they will become effective immediately following the confirmation of shareholder approval.</w:t>
      </w:r>
    </w:p>
    <w:p>
      <w:pPr>
        <w:spacing w:after="0" w:line="67" w:lineRule="exact"/>
        <w:rPr>
          <w:sz w:val="20"/>
          <w:szCs w:val="20"/>
          <w:color w:val="auto"/>
        </w:rPr>
      </w:pPr>
    </w:p>
    <w:p>
      <w:pPr>
        <w:ind w:left="940" w:right="760"/>
        <w:spacing w:after="0" w:line="245" w:lineRule="auto"/>
        <w:rPr>
          <w:sz w:val="20"/>
          <w:szCs w:val="20"/>
          <w:color w:val="auto"/>
        </w:rPr>
      </w:pPr>
      <w:r>
        <w:rPr>
          <w:rFonts w:ascii="Arial" w:cs="Arial" w:eastAsia="Arial" w:hAnsi="Arial"/>
          <w:sz w:val="17"/>
          <w:szCs w:val="17"/>
          <w:color w:val="003551"/>
        </w:rPr>
        <w:t>Shareholders are also asked to consider Proposals 1, 2, 3 and 4, which relate to amendments to the Constitution to provide for alignment of the quorum requirement for shareholder meetings with Nasdaq rules, the election of directors at each annual general meeting, a forum selection provision, and updates to advance notice provisions for universal proxies. Each such proposal is independent of each other proposal. If all of Proposals 1, 2, 3 and 4 and this Proposal 5 are approved by the shareholders, then the Amended and Restated Constitution that implements all of the amendments contemplated by such proposals and set forth in the copy of our proposed Amended and Restated Constitution attached as Appendix B to this Proxy Statement will become effective immediately following the confirmation of shareholder approval. If only certain of these proposals are approved by the shareholders, but one or more of such proposals are not approved by shareholders, then only the amendments to the Constitution that were approved by shareholders become effective.</w:t>
      </w:r>
    </w:p>
    <w:p>
      <w:pPr>
        <w:spacing w:after="0" w:line="205"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Resolution</w:t>
      </w:r>
    </w:p>
    <w:p>
      <w:pPr>
        <w:spacing w:after="0" w:line="45"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To consider and, if thought fit, to pass the following resolution as a special resolution:</w:t>
      </w:r>
    </w:p>
    <w:p>
      <w:pPr>
        <w:spacing w:after="0" w:line="98" w:lineRule="exact"/>
        <w:rPr>
          <w:sz w:val="20"/>
          <w:szCs w:val="20"/>
          <w:color w:val="auto"/>
        </w:rPr>
      </w:pPr>
    </w:p>
    <w:p>
      <w:pPr>
        <w:ind w:left="940" w:right="760"/>
        <w:spacing w:after="0" w:line="252" w:lineRule="auto"/>
        <w:rPr>
          <w:sz w:val="20"/>
          <w:szCs w:val="20"/>
          <w:color w:val="auto"/>
        </w:rPr>
      </w:pPr>
      <w:r>
        <w:rPr>
          <w:rFonts w:ascii="Arial" w:cs="Arial" w:eastAsia="Arial" w:hAnsi="Arial"/>
          <w:sz w:val="17"/>
          <w:szCs w:val="17"/>
          <w:b w:val="1"/>
          <w:bCs w:val="1"/>
          <w:color w:val="003551"/>
        </w:rPr>
        <w:t xml:space="preserve">RESOLVED, </w:t>
      </w:r>
      <w:r>
        <w:rPr>
          <w:rFonts w:ascii="Arial" w:cs="Arial" w:eastAsia="Arial" w:hAnsi="Arial"/>
          <w:sz w:val="17"/>
          <w:szCs w:val="17"/>
          <w:color w:val="003551"/>
        </w:rPr>
        <w:t>that for the purpose of section 136 of the Corporations Act and for all other purposes under</w:t>
      </w:r>
      <w:r>
        <w:rPr>
          <w:rFonts w:ascii="Arial" w:cs="Arial" w:eastAsia="Arial" w:hAnsi="Arial"/>
          <w:sz w:val="17"/>
          <w:szCs w:val="17"/>
          <w:b w:val="1"/>
          <w:bCs w:val="1"/>
          <w:color w:val="003551"/>
        </w:rPr>
        <w:t xml:space="preserve"> </w:t>
      </w:r>
      <w:r>
        <w:rPr>
          <w:rFonts w:ascii="Arial" w:cs="Arial" w:eastAsia="Arial" w:hAnsi="Arial"/>
          <w:sz w:val="17"/>
          <w:szCs w:val="17"/>
          <w:color w:val="003551"/>
        </w:rPr>
        <w:t>the Corporations Act, the Constitution is amended as per the Miscellaneous Amendments as set forth in its entirety in the proposed Amended and Restated Constitution, and consist of all changes reflected in the proposed Amended and Restated Constitution other than those specifically proposed pursuant to Proposals 1 through 4 (inclusive) as attached as Appendix B to this Proxy Statement.</w:t>
      </w:r>
    </w:p>
    <w:p>
      <w:pPr>
        <w:spacing w:after="0" w:line="210"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Vote Required</w:t>
      </w:r>
    </w:p>
    <w:p>
      <w:pPr>
        <w:spacing w:after="0" w:line="15" w:lineRule="exact"/>
        <w:rPr>
          <w:sz w:val="20"/>
          <w:szCs w:val="20"/>
          <w:color w:val="auto"/>
        </w:rPr>
      </w:pPr>
    </w:p>
    <w:p>
      <w:pPr>
        <w:ind w:left="940" w:right="820"/>
        <w:spacing w:after="0" w:line="263" w:lineRule="auto"/>
        <w:rPr>
          <w:sz w:val="20"/>
          <w:szCs w:val="20"/>
          <w:color w:val="auto"/>
        </w:rPr>
      </w:pPr>
      <w:r>
        <w:rPr>
          <w:rFonts w:ascii="Arial" w:cs="Arial" w:eastAsia="Arial" w:hAnsi="Arial"/>
          <w:sz w:val="17"/>
          <w:szCs w:val="17"/>
          <w:color w:val="003551"/>
        </w:rPr>
        <w:t>The affirmative vote of at least 75% of votes cast will be required by shareholders who are entitled to vote on the resolution to approve Proposal 5.</w:t>
      </w:r>
    </w:p>
    <w:p>
      <w:pPr>
        <w:spacing w:after="0" w:line="53" w:lineRule="exact"/>
        <w:rPr>
          <w:sz w:val="20"/>
          <w:szCs w:val="20"/>
          <w:color w:val="auto"/>
        </w:rPr>
      </w:pPr>
    </w:p>
    <w:p>
      <w:pPr>
        <w:ind w:left="940" w:right="800"/>
        <w:spacing w:after="0" w:line="249" w:lineRule="auto"/>
        <w:rPr>
          <w:sz w:val="20"/>
          <w:szCs w:val="20"/>
          <w:color w:val="auto"/>
        </w:rPr>
      </w:pPr>
      <w:r>
        <w:rPr>
          <w:rFonts w:ascii="Arial" w:cs="Arial" w:eastAsia="Arial" w:hAnsi="Arial"/>
          <w:sz w:val="17"/>
          <w:szCs w:val="17"/>
          <w:color w:val="003551"/>
        </w:rPr>
        <w:t>Proposal 5 is a “non-routine” matter on which a broker, bank or other nominee is not entitled to vote shares held on behalf of a beneficial owner without receiving voting instructions from the beneficial owner. Consequently, if you hold your shares in street name (such as through a brokerage account) and you do not instruct your broker, bank or other nominee on how to vote on this Proposal 5, a “broker non-vote” will occur with respect to Proposal 5. Abstentions, if any, and broker non-votes with respect to Proposal 5 are not treated as votes cast and will not be counted in determining the outcome of Proposal 5.</w:t>
      </w:r>
    </w:p>
    <w:p>
      <w:pPr>
        <w:spacing w:after="0" w:line="65" w:lineRule="exact"/>
        <w:rPr>
          <w:sz w:val="20"/>
          <w:szCs w:val="20"/>
          <w:color w:val="auto"/>
        </w:rPr>
      </w:pPr>
    </w:p>
    <w:p>
      <w:pPr>
        <w:ind w:left="940" w:right="860"/>
        <w:spacing w:after="0" w:line="295" w:lineRule="auto"/>
        <w:rPr>
          <w:sz w:val="20"/>
          <w:szCs w:val="20"/>
          <w:color w:val="auto"/>
        </w:rPr>
      </w:pPr>
      <w:r>
        <w:rPr>
          <w:rFonts w:ascii="Arial" w:cs="Arial" w:eastAsia="Arial" w:hAnsi="Arial"/>
          <w:sz w:val="17"/>
          <w:szCs w:val="17"/>
          <w:b w:val="1"/>
          <w:bCs w:val="1"/>
          <w:color w:val="003551"/>
        </w:rPr>
        <w:t>The Board unanimously recommends a vote FOR the approval of the Miscellaneous Amendments to the Constitution described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89535</wp:posOffset>
            </wp:positionV>
            <wp:extent cx="540385" cy="63182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940"/>
        <w:spacing w:after="0"/>
        <w:rPr>
          <w:sz w:val="20"/>
          <w:szCs w:val="20"/>
          <w:color w:val="auto"/>
        </w:rPr>
      </w:pPr>
      <w:r>
        <w:rPr>
          <w:rFonts w:ascii="Arial" w:cs="Arial" w:eastAsia="Arial" w:hAnsi="Arial"/>
          <w:sz w:val="28"/>
          <w:szCs w:val="28"/>
          <w:color w:val="003551"/>
        </w:rPr>
        <w:t>Proposal 6: Approve IREN’s 2025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15240</wp:posOffset>
            </wp:positionV>
            <wp:extent cx="522351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223510" cy="8255"/>
                    </a:xfrm>
                    <a:prstGeom prst="rect">
                      <a:avLst/>
                    </a:prstGeom>
                    <a:noFill/>
                  </pic:spPr>
                </pic:pic>
              </a:graphicData>
            </a:graphic>
          </wp:anchor>
        </w:drawing>
      </w:r>
    </w:p>
    <w:p>
      <w:pPr>
        <w:spacing w:after="0" w:line="200"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Proposal</w:t>
      </w:r>
    </w:p>
    <w:p>
      <w:pPr>
        <w:spacing w:after="0" w:line="15"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We are asking our shareholders to approve the IREN Limited 2025 Omnibus Incentive Plan (the</w:t>
      </w:r>
    </w:p>
    <w:p>
      <w:pPr>
        <w:spacing w:after="0" w:line="1" w:lineRule="exact"/>
        <w:rPr>
          <w:sz w:val="20"/>
          <w:szCs w:val="20"/>
          <w:color w:val="auto"/>
        </w:rPr>
      </w:pPr>
    </w:p>
    <w:p>
      <w:pPr>
        <w:ind w:left="940" w:right="1140"/>
        <w:spacing w:after="0" w:line="257" w:lineRule="auto"/>
        <w:rPr>
          <w:sz w:val="20"/>
          <w:szCs w:val="20"/>
          <w:color w:val="auto"/>
        </w:rPr>
      </w:pPr>
      <w:r>
        <w:rPr>
          <w:rFonts w:ascii="Arial" w:cs="Arial" w:eastAsia="Arial" w:hAnsi="Arial"/>
          <w:sz w:val="17"/>
          <w:szCs w:val="17"/>
          <w:color w:val="003551"/>
        </w:rPr>
        <w:t>“</w:t>
      </w:r>
      <w:r>
        <w:rPr>
          <w:rFonts w:ascii="Arial" w:cs="Arial" w:eastAsia="Arial" w:hAnsi="Arial"/>
          <w:sz w:val="17"/>
          <w:szCs w:val="17"/>
          <w:b w:val="1"/>
          <w:bCs w:val="1"/>
          <w:color w:val="003551"/>
        </w:rPr>
        <w:t>Omnibus Incentive Plan</w:t>
      </w:r>
      <w:r>
        <w:rPr>
          <w:rFonts w:ascii="Arial" w:cs="Arial" w:eastAsia="Arial" w:hAnsi="Arial"/>
          <w:sz w:val="17"/>
          <w:szCs w:val="17"/>
          <w:color w:val="003551"/>
        </w:rPr>
        <w:t>”), which was approved by the Board on September 21, 2025, subject to its approval by our shareholders. The Omnibus Incentive Plan has been established to replace, on a prospective basis, the 2023 Long-Term Incentive Plan (the “</w:t>
      </w:r>
      <w:r>
        <w:rPr>
          <w:rFonts w:ascii="Arial" w:cs="Arial" w:eastAsia="Arial" w:hAnsi="Arial"/>
          <w:sz w:val="17"/>
          <w:szCs w:val="17"/>
          <w:b w:val="1"/>
          <w:bCs w:val="1"/>
          <w:color w:val="003551"/>
        </w:rPr>
        <w:t>2023 LTIP</w:t>
      </w:r>
      <w:r>
        <w:rPr>
          <w:rFonts w:ascii="Arial" w:cs="Arial" w:eastAsia="Arial" w:hAnsi="Arial"/>
          <w:sz w:val="17"/>
          <w:szCs w:val="17"/>
          <w:color w:val="003551"/>
        </w:rPr>
        <w:t>”).</w:t>
      </w:r>
    </w:p>
    <w:p>
      <w:pPr>
        <w:spacing w:after="0" w:line="211"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Background</w:t>
      </w:r>
    </w:p>
    <w:p>
      <w:pPr>
        <w:spacing w:after="0" w:line="15" w:lineRule="exact"/>
        <w:rPr>
          <w:sz w:val="20"/>
          <w:szCs w:val="20"/>
          <w:color w:val="auto"/>
        </w:rPr>
      </w:pPr>
    </w:p>
    <w:p>
      <w:pPr>
        <w:ind w:left="940" w:right="760"/>
        <w:spacing w:after="0" w:line="246" w:lineRule="auto"/>
        <w:rPr>
          <w:sz w:val="20"/>
          <w:szCs w:val="20"/>
          <w:color w:val="auto"/>
        </w:rPr>
      </w:pPr>
      <w:r>
        <w:rPr>
          <w:rFonts w:ascii="Arial" w:cs="Arial" w:eastAsia="Arial" w:hAnsi="Arial"/>
          <w:sz w:val="17"/>
          <w:szCs w:val="17"/>
          <w:color w:val="003551"/>
        </w:rPr>
        <w:t>The Omnibus Incentive Plan authorizes the issuance of equity and cash-based incentive awards to motivate and reward the performance of employees, directors and consultants for generating shareholder value over the long term, to encourage participation by employees, directors and consultants in the growth and success of IREN and to retain key talent. The Board believes that the adoption of the Omnibus Incentive Plan will enable us to attract and retain the best available talent to grow our business.</w:t>
      </w:r>
    </w:p>
    <w:p>
      <w:pPr>
        <w:spacing w:after="0" w:line="69" w:lineRule="exact"/>
        <w:rPr>
          <w:sz w:val="20"/>
          <w:szCs w:val="20"/>
          <w:color w:val="auto"/>
        </w:rPr>
      </w:pPr>
    </w:p>
    <w:p>
      <w:pPr>
        <w:ind w:left="940" w:right="840"/>
        <w:spacing w:after="0" w:line="247" w:lineRule="auto"/>
        <w:rPr>
          <w:sz w:val="20"/>
          <w:szCs w:val="20"/>
          <w:color w:val="auto"/>
        </w:rPr>
      </w:pPr>
      <w:r>
        <w:rPr>
          <w:rFonts w:ascii="Arial" w:cs="Arial" w:eastAsia="Arial" w:hAnsi="Arial"/>
          <w:sz w:val="17"/>
          <w:szCs w:val="17"/>
          <w:color w:val="003551"/>
        </w:rPr>
        <w:t>If approved by our shareholders, the Omnibus Incentive Plan will become effective as of the date of such shareholder approval and will replace the 2023 LTIP for any new grants made after the date of such shareholder approval. Accordingly, upon approval of the Omnibus Incentive Plan by our shareholders, (i) no further awards will be granted under the 2023 LTIP and (ii) any awards granted under the 2023 LTIP prior to the date the Omnibus Incentive Plan is approved by our shareholders will remain outstanding under the 2023 LTIP and will continue to vest and/or become exercisable in accordance with their original terms and conditions. Awards under the 2023 LTIP that are forfeited or cancelled will not be recycled or otherwise again become available for issuance under the Omnibus Incentive Plan or the 2023 LTIP.</w:t>
      </w:r>
    </w:p>
    <w:p>
      <w:pPr>
        <w:spacing w:after="0" w:line="214"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Share Usage</w:t>
      </w:r>
    </w:p>
    <w:p>
      <w:pPr>
        <w:spacing w:after="0" w:line="15" w:lineRule="exact"/>
        <w:rPr>
          <w:sz w:val="20"/>
          <w:szCs w:val="20"/>
          <w:color w:val="auto"/>
        </w:rPr>
      </w:pPr>
    </w:p>
    <w:p>
      <w:pPr>
        <w:ind w:left="940" w:right="760"/>
        <w:spacing w:after="0" w:line="244" w:lineRule="auto"/>
        <w:rPr>
          <w:sz w:val="20"/>
          <w:szCs w:val="20"/>
          <w:color w:val="auto"/>
        </w:rPr>
      </w:pPr>
      <w:r>
        <w:rPr>
          <w:rFonts w:ascii="Arial" w:cs="Arial" w:eastAsia="Arial" w:hAnsi="Arial"/>
          <w:sz w:val="17"/>
          <w:szCs w:val="17"/>
          <w:color w:val="003551"/>
        </w:rPr>
        <w:t>The Board believes that the 2023 LTIP has contributed significantly to our success by enabling us to attract and retain the services of top-level talent. In connection with the design and adoption of the Omnibus Incentive Plan, the Board and the Compensation Committee carefully considered our anticipated future equity needs, our historical equity compensation practices and the advice of the Compensation Committee’s independent compensation consultant. The Compensation Committee also took into consideration the increasingly competitive labor market in which we compete for talent. The Board believes that the proposed share pool request represents a reasonable amount of potential equity dilution to accommodate our long-term strategic and growth priorities.</w:t>
      </w:r>
    </w:p>
    <w:p>
      <w:pPr>
        <w:spacing w:after="0" w:line="71" w:lineRule="exact"/>
        <w:rPr>
          <w:sz w:val="20"/>
          <w:szCs w:val="20"/>
          <w:color w:val="auto"/>
        </w:rPr>
      </w:pPr>
    </w:p>
    <w:p>
      <w:pPr>
        <w:ind w:left="940" w:right="1080"/>
        <w:spacing w:after="0" w:line="262" w:lineRule="auto"/>
        <w:rPr>
          <w:sz w:val="20"/>
          <w:szCs w:val="20"/>
          <w:color w:val="auto"/>
        </w:rPr>
      </w:pPr>
      <w:r>
        <w:rPr>
          <w:rFonts w:ascii="Arial" w:cs="Arial" w:eastAsia="Arial" w:hAnsi="Arial"/>
          <w:sz w:val="17"/>
          <w:szCs w:val="17"/>
          <w:color w:val="003551"/>
        </w:rPr>
        <w:t>The Board recognizes the impact of dilution on our shareholders and has evaluated this share request carefully in the context of the need to motivate, retain and ensure that our leadership team and key employees are focused on our strategic priorities.</w:t>
      </w:r>
    </w:p>
    <w:p>
      <w:pPr>
        <w:spacing w:after="0" w:line="201"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Summary of the Omnibus Incentive Plan</w:t>
      </w:r>
    </w:p>
    <w:p>
      <w:pPr>
        <w:spacing w:after="0" w:line="15" w:lineRule="exact"/>
        <w:rPr>
          <w:sz w:val="20"/>
          <w:szCs w:val="20"/>
          <w:color w:val="auto"/>
        </w:rPr>
      </w:pPr>
    </w:p>
    <w:p>
      <w:pPr>
        <w:ind w:left="940" w:right="840"/>
        <w:spacing w:after="0" w:line="252" w:lineRule="auto"/>
        <w:rPr>
          <w:sz w:val="20"/>
          <w:szCs w:val="20"/>
          <w:color w:val="auto"/>
        </w:rPr>
      </w:pPr>
      <w:r>
        <w:rPr>
          <w:rFonts w:ascii="Arial" w:cs="Arial" w:eastAsia="Arial" w:hAnsi="Arial"/>
          <w:sz w:val="17"/>
          <w:szCs w:val="17"/>
          <w:color w:val="003551"/>
        </w:rPr>
        <w:t>The following is a summary of the principal features of the Omnibus Incentive Plan. This summary does not purport to be complete and is subject to, and qualified in its entirety by, the Omnibus Incentive Plan, a copy of which is attached as Appendix C to this Proxy Statement.</w:t>
      </w:r>
    </w:p>
    <w:p>
      <w:pPr>
        <w:spacing w:after="0" w:line="20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Types of Awards</w:t>
      </w:r>
    </w:p>
    <w:p>
      <w:pPr>
        <w:spacing w:after="0" w:line="41" w:lineRule="exact"/>
        <w:rPr>
          <w:sz w:val="20"/>
          <w:szCs w:val="20"/>
          <w:color w:val="auto"/>
        </w:rPr>
      </w:pPr>
    </w:p>
    <w:p>
      <w:pPr>
        <w:ind w:left="940" w:right="760"/>
        <w:spacing w:after="0" w:line="249" w:lineRule="auto"/>
        <w:rPr>
          <w:sz w:val="20"/>
          <w:szCs w:val="20"/>
          <w:color w:val="auto"/>
        </w:rPr>
      </w:pPr>
      <w:r>
        <w:rPr>
          <w:rFonts w:ascii="Arial" w:cs="Arial" w:eastAsia="Arial" w:hAnsi="Arial"/>
          <w:sz w:val="17"/>
          <w:szCs w:val="17"/>
          <w:color w:val="003551"/>
        </w:rPr>
        <w:t>Awards under the Omnibus Incentive Plan include stock options (including options intended to qualify as incentive stock options under Section 422 of the Code (“</w:t>
      </w:r>
      <w:r>
        <w:rPr>
          <w:rFonts w:ascii="Arial" w:cs="Arial" w:eastAsia="Arial" w:hAnsi="Arial"/>
          <w:sz w:val="17"/>
          <w:szCs w:val="17"/>
          <w:b w:val="1"/>
          <w:bCs w:val="1"/>
          <w:color w:val="003551"/>
        </w:rPr>
        <w:t>ISOs</w:t>
      </w:r>
      <w:r>
        <w:rPr>
          <w:rFonts w:ascii="Arial" w:cs="Arial" w:eastAsia="Arial" w:hAnsi="Arial"/>
          <w:sz w:val="17"/>
          <w:szCs w:val="17"/>
          <w:color w:val="003551"/>
        </w:rPr>
        <w:t>”) and non-qualified share options (“</w:t>
      </w:r>
      <w:r>
        <w:rPr>
          <w:rFonts w:ascii="Arial" w:cs="Arial" w:eastAsia="Arial" w:hAnsi="Arial"/>
          <w:sz w:val="17"/>
          <w:szCs w:val="17"/>
          <w:b w:val="1"/>
          <w:bCs w:val="1"/>
          <w:color w:val="003551"/>
        </w:rPr>
        <w:t>NSOs</w:t>
      </w:r>
      <w:r>
        <w:rPr>
          <w:rFonts w:ascii="Arial" w:cs="Arial" w:eastAsia="Arial" w:hAnsi="Arial"/>
          <w:sz w:val="17"/>
          <w:szCs w:val="17"/>
          <w:color w:val="003551"/>
        </w:rPr>
        <w:t>”)), share appreciation rights (“</w:t>
      </w:r>
      <w:r>
        <w:rPr>
          <w:rFonts w:ascii="Arial" w:cs="Arial" w:eastAsia="Arial" w:hAnsi="Arial"/>
          <w:sz w:val="17"/>
          <w:szCs w:val="17"/>
          <w:b w:val="1"/>
          <w:bCs w:val="1"/>
          <w:color w:val="003551"/>
        </w:rPr>
        <w:t>SARs</w:t>
      </w:r>
      <w:r>
        <w:rPr>
          <w:rFonts w:ascii="Arial" w:cs="Arial" w:eastAsia="Arial" w:hAnsi="Arial"/>
          <w:sz w:val="17"/>
          <w:szCs w:val="17"/>
          <w:color w:val="003551"/>
        </w:rPr>
        <w:t>”), restricted stock, restricted stock units (including TRSUs and PRSUs) (“</w:t>
      </w:r>
      <w:r>
        <w:rPr>
          <w:rFonts w:ascii="Arial" w:cs="Arial" w:eastAsia="Arial" w:hAnsi="Arial"/>
          <w:sz w:val="17"/>
          <w:szCs w:val="17"/>
          <w:b w:val="1"/>
          <w:bCs w:val="1"/>
          <w:color w:val="003551"/>
        </w:rPr>
        <w:t>RSUs</w:t>
      </w:r>
      <w:r>
        <w:rPr>
          <w:rFonts w:ascii="Arial" w:cs="Arial" w:eastAsia="Arial" w:hAnsi="Arial"/>
          <w:sz w:val="17"/>
          <w:szCs w:val="17"/>
          <w:color w:val="003551"/>
        </w:rPr>
        <w:t>”), performance awards, other cash-based awards and other share-based awards (together, the “</w:t>
      </w:r>
      <w:r>
        <w:rPr>
          <w:rFonts w:ascii="Arial" w:cs="Arial" w:eastAsia="Arial" w:hAnsi="Arial"/>
          <w:sz w:val="17"/>
          <w:szCs w:val="17"/>
          <w:b w:val="1"/>
          <w:bCs w:val="1"/>
          <w:color w:val="003551"/>
        </w:rPr>
        <w:t>Awards</w:t>
      </w:r>
      <w:r>
        <w:rPr>
          <w:rFonts w:ascii="Arial" w:cs="Arial" w:eastAsia="Arial" w:hAnsi="Arial"/>
          <w:sz w:val="17"/>
          <w:szCs w:val="17"/>
          <w:color w:val="00355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113665</wp:posOffset>
            </wp:positionV>
            <wp:extent cx="540385" cy="63182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6" w:right="12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Plan Administration</w:t>
      </w:r>
    </w:p>
    <w:p>
      <w:pPr>
        <w:spacing w:after="0" w:line="41" w:lineRule="exact"/>
        <w:rPr>
          <w:sz w:val="20"/>
          <w:szCs w:val="20"/>
          <w:color w:val="auto"/>
        </w:rPr>
      </w:pPr>
    </w:p>
    <w:p>
      <w:pPr>
        <w:ind w:left="940" w:right="860"/>
        <w:spacing w:after="0" w:line="246" w:lineRule="auto"/>
        <w:rPr>
          <w:sz w:val="20"/>
          <w:szCs w:val="20"/>
          <w:color w:val="auto"/>
        </w:rPr>
      </w:pPr>
      <w:r>
        <w:rPr>
          <w:rFonts w:ascii="Arial" w:cs="Arial" w:eastAsia="Arial" w:hAnsi="Arial"/>
          <w:sz w:val="17"/>
          <w:szCs w:val="17"/>
          <w:color w:val="003551"/>
        </w:rPr>
        <w:t>The Omnibus Incentive Plan will be administered by the Board. To the extent permitted by applicable law, the Board may delegate some or all of its authority under the Omnibus Incentive Plan, including the authority to grant Awards (other than to participants covered by Section 16 of the Exchange Act), to a committee or subcommittee of the Board or to any other persons or groups of persons as it deems necessary, appropriate or advisable.</w:t>
      </w:r>
    </w:p>
    <w:p>
      <w:pPr>
        <w:spacing w:after="0" w:line="19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Eligibility</w:t>
      </w:r>
    </w:p>
    <w:p>
      <w:pPr>
        <w:spacing w:after="0" w:line="41" w:lineRule="exact"/>
        <w:rPr>
          <w:sz w:val="20"/>
          <w:szCs w:val="20"/>
          <w:color w:val="auto"/>
        </w:rPr>
      </w:pPr>
    </w:p>
    <w:p>
      <w:pPr>
        <w:ind w:left="940" w:right="820"/>
        <w:spacing w:after="0" w:line="246" w:lineRule="auto"/>
        <w:rPr>
          <w:sz w:val="20"/>
          <w:szCs w:val="20"/>
          <w:color w:val="auto"/>
        </w:rPr>
      </w:pPr>
      <w:r>
        <w:rPr>
          <w:rFonts w:ascii="Arial" w:cs="Arial" w:eastAsia="Arial" w:hAnsi="Arial"/>
          <w:sz w:val="17"/>
          <w:szCs w:val="17"/>
          <w:color w:val="003551"/>
        </w:rPr>
        <w:t>Employees, non-employee directors, consultants of IREN or any of its subsidiaries and any trust or estate planning or similar entity or vehicle controlled by an employee, non-employee director or consultant of IREN or any of its subsidiaries are eligible to be selected to participate in the Omnibus Incentive Plan. As of August 31, 2025, approximately 144 employees and four non-employee directors would be eligible to receive Awards under the Omnibus Incentive Plan.</w:t>
      </w:r>
    </w:p>
    <w:p>
      <w:pPr>
        <w:spacing w:after="0" w:line="69" w:lineRule="exact"/>
        <w:rPr>
          <w:sz w:val="20"/>
          <w:szCs w:val="20"/>
          <w:color w:val="auto"/>
        </w:rPr>
      </w:pPr>
    </w:p>
    <w:p>
      <w:pPr>
        <w:ind w:left="940" w:right="780"/>
        <w:spacing w:after="0" w:line="251" w:lineRule="auto"/>
        <w:rPr>
          <w:sz w:val="20"/>
          <w:szCs w:val="20"/>
          <w:color w:val="auto"/>
        </w:rPr>
      </w:pPr>
      <w:r>
        <w:rPr>
          <w:rFonts w:ascii="Arial" w:cs="Arial" w:eastAsia="Arial" w:hAnsi="Arial"/>
          <w:sz w:val="17"/>
          <w:szCs w:val="17"/>
          <w:color w:val="003551"/>
        </w:rPr>
        <w:t>The basis for participation in the Omnibus Incentive Plan is the Board’s decision, in its sole discretion, that an Award to an eligible person will further the purposes of the Omnibus Incentive Plan, including to attract and retain personnel, to provide additional incentive to employees, directors and consultants, and to promote the success of our business. In exercising its discretion, the Board will consider the recommendations of management and the purposes of the Omnibus Incentive Plan.</w:t>
      </w:r>
    </w:p>
    <w:p>
      <w:pPr>
        <w:spacing w:after="0" w:line="20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Authorized Shares</w:t>
      </w:r>
    </w:p>
    <w:p>
      <w:pPr>
        <w:spacing w:after="0" w:line="41" w:lineRule="exact"/>
        <w:rPr>
          <w:sz w:val="20"/>
          <w:szCs w:val="20"/>
          <w:color w:val="auto"/>
        </w:rPr>
      </w:pPr>
    </w:p>
    <w:p>
      <w:pPr>
        <w:ind w:left="940" w:right="740"/>
        <w:spacing w:after="0" w:line="243" w:lineRule="auto"/>
        <w:rPr>
          <w:sz w:val="20"/>
          <w:szCs w:val="20"/>
          <w:color w:val="auto"/>
        </w:rPr>
      </w:pPr>
      <w:r>
        <w:rPr>
          <w:rFonts w:ascii="Arial" w:cs="Arial" w:eastAsia="Arial" w:hAnsi="Arial"/>
          <w:sz w:val="17"/>
          <w:szCs w:val="17"/>
          <w:color w:val="003551"/>
        </w:rPr>
        <w:t>Subject to adjustment as described below and except for awards granted in assumption of, or in substitution for, an outstanding award previously granted by a company or other business acquired by IREN or with which IREN combines (“</w:t>
      </w:r>
      <w:r>
        <w:rPr>
          <w:rFonts w:ascii="Arial" w:cs="Arial" w:eastAsia="Arial" w:hAnsi="Arial"/>
          <w:sz w:val="17"/>
          <w:szCs w:val="17"/>
          <w:b w:val="1"/>
          <w:bCs w:val="1"/>
          <w:color w:val="003551"/>
        </w:rPr>
        <w:t>Substitute Awards</w:t>
      </w:r>
      <w:r>
        <w:rPr>
          <w:rFonts w:ascii="Arial" w:cs="Arial" w:eastAsia="Arial" w:hAnsi="Arial"/>
          <w:sz w:val="17"/>
          <w:szCs w:val="17"/>
          <w:color w:val="003551"/>
        </w:rPr>
        <w:t>”), the total number of ordinary shares authorized for issuance under the Omnibus Incentive Plan will not exceed 17.5 million shares (the “</w:t>
      </w:r>
      <w:r>
        <w:rPr>
          <w:rFonts w:ascii="Arial" w:cs="Arial" w:eastAsia="Arial" w:hAnsi="Arial"/>
          <w:sz w:val="17"/>
          <w:szCs w:val="17"/>
          <w:b w:val="1"/>
          <w:bCs w:val="1"/>
          <w:color w:val="003551"/>
        </w:rPr>
        <w:t>Omnibus</w:t>
      </w:r>
      <w:r>
        <w:rPr>
          <w:rFonts w:ascii="Arial" w:cs="Arial" w:eastAsia="Arial" w:hAnsi="Arial"/>
          <w:sz w:val="17"/>
          <w:szCs w:val="17"/>
          <w:color w:val="003551"/>
        </w:rPr>
        <w:t xml:space="preserve"> </w:t>
      </w:r>
      <w:r>
        <w:rPr>
          <w:rFonts w:ascii="Arial" w:cs="Arial" w:eastAsia="Arial" w:hAnsi="Arial"/>
          <w:sz w:val="17"/>
          <w:szCs w:val="17"/>
          <w:b w:val="1"/>
          <w:bCs w:val="1"/>
          <w:color w:val="003551"/>
        </w:rPr>
        <w:t>Incentive Plan Share Pool</w:t>
      </w:r>
      <w:r>
        <w:rPr>
          <w:rFonts w:ascii="Arial" w:cs="Arial" w:eastAsia="Arial" w:hAnsi="Arial"/>
          <w:sz w:val="17"/>
          <w:szCs w:val="17"/>
          <w:color w:val="003551"/>
        </w:rPr>
        <w:t>”). The maximum number of shares that may be issued upon the exercise of</w:t>
      </w:r>
      <w:r>
        <w:rPr>
          <w:rFonts w:ascii="Arial" w:cs="Arial" w:eastAsia="Arial" w:hAnsi="Arial"/>
          <w:sz w:val="17"/>
          <w:szCs w:val="17"/>
          <w:b w:val="1"/>
          <w:bCs w:val="1"/>
          <w:color w:val="003551"/>
        </w:rPr>
        <w:t xml:space="preserve"> </w:t>
      </w:r>
      <w:r>
        <w:rPr>
          <w:rFonts w:ascii="Arial" w:cs="Arial" w:eastAsia="Arial" w:hAnsi="Arial"/>
          <w:sz w:val="17"/>
          <w:szCs w:val="17"/>
          <w:color w:val="003551"/>
        </w:rPr>
        <w:t>ISOs under the Omnibus Incentive Plan will be equal to the Omnibus Incentive Plan Share Pool. The number of shares reserved for issuance under the Omnibus Incentive Plan will be increased automatically on the first day of each fiscal year of our company following the effective date of the plan by a number equal to the lesser of (i) 5% of the aggregate number of shares of all classes of our ordinary shares outstanding (on a fully diluted basis) on the last day of the immediately preceding fiscal year; and (ii) the number of shares determined by the Board in its discretion.</w:t>
      </w:r>
    </w:p>
    <w:p>
      <w:pPr>
        <w:spacing w:after="0" w:line="73" w:lineRule="exact"/>
        <w:rPr>
          <w:sz w:val="20"/>
          <w:szCs w:val="20"/>
          <w:color w:val="auto"/>
        </w:rPr>
      </w:pPr>
    </w:p>
    <w:p>
      <w:pPr>
        <w:ind w:left="940" w:right="1040"/>
        <w:spacing w:after="0" w:line="249" w:lineRule="auto"/>
        <w:rPr>
          <w:sz w:val="20"/>
          <w:szCs w:val="20"/>
          <w:color w:val="auto"/>
        </w:rPr>
      </w:pPr>
      <w:r>
        <w:rPr>
          <w:rFonts w:ascii="Arial" w:cs="Arial" w:eastAsia="Arial" w:hAnsi="Arial"/>
          <w:sz w:val="17"/>
          <w:szCs w:val="17"/>
          <w:color w:val="003551"/>
        </w:rPr>
        <w:t>In general, to the extent that any Awards issued under the Omnibus Incentive Plan are forfeited, cancelled, expire or otherwise lapse or are settled, in whole or in part, without the issuance of shares, those shares will again become available for issuance under the Omnibus Incentive Plan. In addition, shares withheld in respect of taxes relating to an Award and shares tendered or withheld to pay the exercise or hurdle price of options or SARs will also become available for issuance under the Omnibus Incentive Plan.</w:t>
      </w:r>
    </w:p>
    <w:p>
      <w:pPr>
        <w:spacing w:after="0" w:line="19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Options</w:t>
      </w:r>
    </w:p>
    <w:p>
      <w:pPr>
        <w:spacing w:after="0" w:line="41" w:lineRule="exact"/>
        <w:rPr>
          <w:sz w:val="20"/>
          <w:szCs w:val="20"/>
          <w:color w:val="auto"/>
        </w:rPr>
      </w:pPr>
    </w:p>
    <w:p>
      <w:pPr>
        <w:jc w:val="both"/>
        <w:ind w:left="940" w:right="1060"/>
        <w:spacing w:after="0" w:line="248" w:lineRule="auto"/>
        <w:rPr>
          <w:sz w:val="20"/>
          <w:szCs w:val="20"/>
          <w:color w:val="auto"/>
        </w:rPr>
      </w:pPr>
      <w:r>
        <w:rPr>
          <w:rFonts w:ascii="Arial" w:cs="Arial" w:eastAsia="Arial" w:hAnsi="Arial"/>
          <w:sz w:val="17"/>
          <w:szCs w:val="17"/>
          <w:color w:val="003551"/>
        </w:rPr>
        <w:t>The Board is permitted to grant both ISOs and NSOs under the Omnibus Incentive Plan. The exercise price of a stock option may not be less than 100% of the fair market value (as defined in the Omnibus Incentive Plan) of a share of our ordinary shares on the grant date (other than in the case of Substitute Awards).</w:t>
      </w:r>
    </w:p>
    <w:p>
      <w:pPr>
        <w:spacing w:after="0" w:line="19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Share Appreciation Rights</w:t>
      </w:r>
    </w:p>
    <w:p>
      <w:pPr>
        <w:spacing w:after="0" w:line="41" w:lineRule="exact"/>
        <w:rPr>
          <w:sz w:val="20"/>
          <w:szCs w:val="20"/>
          <w:color w:val="auto"/>
        </w:rPr>
      </w:pPr>
    </w:p>
    <w:p>
      <w:pPr>
        <w:ind w:left="940" w:right="780"/>
        <w:spacing w:after="0" w:line="248" w:lineRule="auto"/>
        <w:rPr>
          <w:sz w:val="20"/>
          <w:szCs w:val="20"/>
          <w:color w:val="auto"/>
        </w:rPr>
      </w:pPr>
      <w:r>
        <w:rPr>
          <w:rFonts w:ascii="Arial" w:cs="Arial" w:eastAsia="Arial" w:hAnsi="Arial"/>
          <w:sz w:val="17"/>
          <w:szCs w:val="17"/>
          <w:color w:val="003551"/>
        </w:rPr>
        <w:t>The Board is permitted to grant SARs under the Omnibus Incentive Plan. The exercise or hurdle price of a SAR may not be less than 100% of the fair market value of a share of our ordinary shares on the grant date (other than in the case of Substitute Awards). Each SAR will expire no later than the tenth anniversary of the date the SAR is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119380</wp:posOffset>
            </wp:positionV>
            <wp:extent cx="540385" cy="63182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6" w:right="12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Restricted Stock</w:t>
      </w:r>
    </w:p>
    <w:p>
      <w:pPr>
        <w:spacing w:after="0" w:line="41" w:lineRule="exact"/>
        <w:rPr>
          <w:sz w:val="20"/>
          <w:szCs w:val="20"/>
          <w:color w:val="auto"/>
        </w:rPr>
      </w:pPr>
    </w:p>
    <w:p>
      <w:pPr>
        <w:ind w:left="940" w:right="960"/>
        <w:spacing w:after="0" w:line="252" w:lineRule="auto"/>
        <w:rPr>
          <w:sz w:val="20"/>
          <w:szCs w:val="20"/>
          <w:color w:val="auto"/>
        </w:rPr>
      </w:pPr>
      <w:r>
        <w:rPr>
          <w:rFonts w:ascii="Arial" w:cs="Arial" w:eastAsia="Arial" w:hAnsi="Arial"/>
          <w:sz w:val="17"/>
          <w:szCs w:val="17"/>
          <w:color w:val="003551"/>
        </w:rPr>
        <w:t>The Board is permitted to grant restricted stock awards under the Omnibus Incentive Plan. A restricted stock award is an award of shares that is subject to restrictions placed on them by the Board. Restricted stock generally has the rights and privileges of a shareholder, including voting and dividend rights.</w:t>
      </w:r>
    </w:p>
    <w:p>
      <w:pPr>
        <w:spacing w:after="0" w:line="210"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Restricted Stock Units</w:t>
      </w:r>
    </w:p>
    <w:p>
      <w:pPr>
        <w:spacing w:after="0" w:line="15" w:lineRule="exact"/>
        <w:rPr>
          <w:sz w:val="20"/>
          <w:szCs w:val="20"/>
          <w:color w:val="auto"/>
        </w:rPr>
      </w:pPr>
    </w:p>
    <w:p>
      <w:pPr>
        <w:ind w:left="940" w:right="780"/>
        <w:spacing w:after="0" w:line="248" w:lineRule="auto"/>
        <w:rPr>
          <w:sz w:val="20"/>
          <w:szCs w:val="20"/>
          <w:color w:val="auto"/>
        </w:rPr>
      </w:pPr>
      <w:r>
        <w:rPr>
          <w:rFonts w:ascii="Arial" w:cs="Arial" w:eastAsia="Arial" w:hAnsi="Arial"/>
          <w:sz w:val="17"/>
          <w:szCs w:val="17"/>
          <w:color w:val="003551"/>
        </w:rPr>
        <w:t>The Board is permitted to grant RSUs (including TRSUs and PRSUs) under the Omnibus Incentive Plan. An RSU is an award that is granted with respect to one share or has a value equal to the fair market value of one such share. RSUs may be paid in cash, shares, other Awards, other property or any combination thereof, as determined in the sole discretion of the Board.</w:t>
      </w:r>
    </w:p>
    <w:p>
      <w:pPr>
        <w:spacing w:after="0" w:line="2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Performance Awards</w:t>
      </w:r>
    </w:p>
    <w:p>
      <w:pPr>
        <w:spacing w:after="0" w:line="41" w:lineRule="exact"/>
        <w:rPr>
          <w:sz w:val="20"/>
          <w:szCs w:val="20"/>
          <w:color w:val="auto"/>
        </w:rPr>
      </w:pPr>
    </w:p>
    <w:p>
      <w:pPr>
        <w:ind w:left="940" w:right="840"/>
        <w:spacing w:after="0" w:line="248" w:lineRule="auto"/>
        <w:rPr>
          <w:sz w:val="20"/>
          <w:szCs w:val="20"/>
          <w:color w:val="auto"/>
        </w:rPr>
      </w:pPr>
      <w:r>
        <w:rPr>
          <w:rFonts w:ascii="Arial" w:cs="Arial" w:eastAsia="Arial" w:hAnsi="Arial"/>
          <w:sz w:val="17"/>
          <w:szCs w:val="17"/>
          <w:color w:val="003551"/>
        </w:rPr>
        <w:t>The Omnibus Incentive Plan permits the grant of performance-based stock and/or cash Awards. The Board may structure Awards so that shares, cash, and/or other property will be issued or paid only following the achievement of certain pre-established performance goals during a designated performance period determined by the Board.</w:t>
      </w:r>
    </w:p>
    <w:p>
      <w:pPr>
        <w:spacing w:after="0" w:line="19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Other Cash-Based and Other Share-Based Awards</w:t>
      </w:r>
    </w:p>
    <w:p>
      <w:pPr>
        <w:spacing w:after="0" w:line="41" w:lineRule="exact"/>
        <w:rPr>
          <w:sz w:val="20"/>
          <w:szCs w:val="20"/>
          <w:color w:val="auto"/>
        </w:rPr>
      </w:pPr>
    </w:p>
    <w:p>
      <w:pPr>
        <w:ind w:left="940" w:right="800"/>
        <w:spacing w:after="0" w:line="249" w:lineRule="auto"/>
        <w:rPr>
          <w:sz w:val="20"/>
          <w:szCs w:val="20"/>
          <w:color w:val="auto"/>
        </w:rPr>
      </w:pPr>
      <w:r>
        <w:rPr>
          <w:rFonts w:ascii="Arial" w:cs="Arial" w:eastAsia="Arial" w:hAnsi="Arial"/>
          <w:sz w:val="17"/>
          <w:szCs w:val="17"/>
          <w:color w:val="003551"/>
        </w:rPr>
        <w:t>The Board is permitted to grant other equity or equity-based Awards and other cash-based Awards on such terms and conditions as the Board will determine. For Awards in the nature of a purchase right, the purchase price therefore shall not be less than the fair market value of such shares on the date of grant of such right.</w:t>
      </w:r>
    </w:p>
    <w:p>
      <w:pPr>
        <w:spacing w:after="0" w:line="39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Changes in Capitalization</w:t>
      </w:r>
    </w:p>
    <w:p>
      <w:pPr>
        <w:spacing w:after="0" w:line="41" w:lineRule="exact"/>
        <w:rPr>
          <w:sz w:val="20"/>
          <w:szCs w:val="20"/>
          <w:color w:val="auto"/>
        </w:rPr>
      </w:pPr>
    </w:p>
    <w:p>
      <w:pPr>
        <w:ind w:left="940" w:right="740"/>
        <w:spacing w:after="0" w:line="244" w:lineRule="auto"/>
        <w:rPr>
          <w:sz w:val="20"/>
          <w:szCs w:val="20"/>
          <w:color w:val="auto"/>
        </w:rPr>
      </w:pPr>
      <w:r>
        <w:rPr>
          <w:rFonts w:ascii="Arial" w:cs="Arial" w:eastAsia="Arial" w:hAnsi="Arial"/>
          <w:sz w:val="17"/>
          <w:szCs w:val="17"/>
          <w:color w:val="003551"/>
        </w:rPr>
        <w:t>If, as a result of a change affecting IREN or its securities, an adjustment is necessary in order to prevent dilution or enlargement of the benefits or potential benefits intended to be made available under the Omnibus Incentive Plan, the Board will, subject to the terms of the Omnibus Incentive Plan and applicable law, equitably adjust any or all of (i) the number and type of shares (or other securities) which thereafter may be made the subject of Awards under the Omnibus Incentive Plan (including the share limit and the ISO limit) and (ii) the terms and conditions of any outstanding Award, including the exercise price, the number or type of shares or other securities of IREN subject to outstanding Awards and/or other terms and conditions of outstanding Awards, including the performance criteria of any performance awards.</w:t>
      </w:r>
    </w:p>
    <w:p>
      <w:pPr>
        <w:spacing w:after="0" w:line="20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Effect of Termination of Service or a Change in Control</w:t>
      </w:r>
    </w:p>
    <w:p>
      <w:pPr>
        <w:spacing w:after="0" w:line="41" w:lineRule="exact"/>
        <w:rPr>
          <w:sz w:val="20"/>
          <w:szCs w:val="20"/>
          <w:color w:val="auto"/>
        </w:rPr>
      </w:pPr>
    </w:p>
    <w:p>
      <w:pPr>
        <w:ind w:left="940" w:right="880"/>
        <w:spacing w:after="0" w:line="252" w:lineRule="auto"/>
        <w:rPr>
          <w:sz w:val="20"/>
          <w:szCs w:val="20"/>
          <w:color w:val="auto"/>
        </w:rPr>
      </w:pPr>
      <w:r>
        <w:rPr>
          <w:rFonts w:ascii="Arial" w:cs="Arial" w:eastAsia="Arial" w:hAnsi="Arial"/>
          <w:sz w:val="17"/>
          <w:szCs w:val="17"/>
          <w:color w:val="003551"/>
        </w:rPr>
        <w:t>The Board may provide, by rule or regulation or in any applicable Award agreement, or may determine in any individual case, an Award may be exercised, settled, vested, paid, repurchased or forfeited in the event of a participant’s termination of service prior to the vesting, exercise or settlement of such Award.</w:t>
      </w:r>
    </w:p>
    <w:p>
      <w:pPr>
        <w:spacing w:after="0" w:line="62" w:lineRule="exact"/>
        <w:rPr>
          <w:sz w:val="20"/>
          <w:szCs w:val="20"/>
          <w:color w:val="auto"/>
        </w:rPr>
      </w:pPr>
    </w:p>
    <w:p>
      <w:pPr>
        <w:ind w:left="940" w:right="780"/>
        <w:spacing w:after="0" w:line="245" w:lineRule="auto"/>
        <w:rPr>
          <w:sz w:val="20"/>
          <w:szCs w:val="20"/>
          <w:color w:val="auto"/>
        </w:rPr>
      </w:pPr>
      <w:r>
        <w:rPr>
          <w:rFonts w:ascii="Arial" w:cs="Arial" w:eastAsia="Arial" w:hAnsi="Arial"/>
          <w:sz w:val="17"/>
          <w:szCs w:val="17"/>
          <w:color w:val="003551"/>
        </w:rPr>
        <w:t>Upon a Change in Control, the Board may take any one or more of the following actions with respect to any outstanding Award (which need not be uniform across Awards or participants): (i) continuation or assumption of Awards by the successor or surviving entity or its parent, (ii) substitution or replacement of Awards by the successor or surviving entity or its parent with cash, securities, rights or other property with substantially the same terms and value as such Awards, (iii) acceleration of the vesting and the lapse of any restrictions either upon termination of service under certain circumstances prior to or following the change in control or upon the failure of the successor or surviving entity to continue to assume such Awards, (iv) in the case of a performance Award, the determination of the level of attainment (or waiver) of the applicable performance condition(s), and (v) cancellation of such Award in consideration of a payment in cash, securities or other property or, in certain circumstances, for no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124460</wp:posOffset>
            </wp:positionV>
            <wp:extent cx="540385" cy="63182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40" w:right="1060"/>
        <w:spacing w:after="0" w:line="283" w:lineRule="auto"/>
        <w:rPr>
          <w:sz w:val="20"/>
          <w:szCs w:val="20"/>
          <w:color w:val="auto"/>
        </w:rPr>
      </w:pPr>
      <w:r>
        <w:rPr>
          <w:rFonts w:ascii="Arial" w:cs="Arial" w:eastAsia="Arial" w:hAnsi="Arial"/>
          <w:sz w:val="17"/>
          <w:szCs w:val="17"/>
          <w:color w:val="003551"/>
        </w:rPr>
        <w:t>Under the Omnibus Incentive Plan, a “change in control” generally means the occurrence of any of the following events, each as set forth in more detail in the Omnibus Incentive Plan:</w:t>
      </w:r>
    </w:p>
    <w:p>
      <w:pPr>
        <w:spacing w:after="0" w:line="63" w:lineRule="exact"/>
        <w:rPr>
          <w:sz w:val="20"/>
          <w:szCs w:val="20"/>
          <w:color w:val="auto"/>
        </w:rPr>
      </w:pPr>
    </w:p>
    <w:p>
      <w:pPr>
        <w:ind w:left="1280" w:hanging="337"/>
        <w:spacing w:after="0"/>
        <w:tabs>
          <w:tab w:leader="none" w:pos="1280" w:val="left"/>
        </w:tabs>
        <w:numPr>
          <w:ilvl w:val="0"/>
          <w:numId w:val="60"/>
        </w:numPr>
        <w:rPr>
          <w:rFonts w:ascii="Arial" w:cs="Arial" w:eastAsia="Arial" w:hAnsi="Arial"/>
          <w:sz w:val="17"/>
          <w:szCs w:val="17"/>
          <w:color w:val="003551"/>
        </w:rPr>
      </w:pPr>
      <w:r>
        <w:rPr>
          <w:rFonts w:ascii="Arial" w:cs="Arial" w:eastAsia="Arial" w:hAnsi="Arial"/>
          <w:sz w:val="17"/>
          <w:szCs w:val="17"/>
          <w:color w:val="003551"/>
        </w:rPr>
        <w:t>any “person” (as such term is used in Sections 13(d) and 14(d) of the Securities Exchange Act of</w:t>
      </w:r>
    </w:p>
    <w:p>
      <w:pPr>
        <w:spacing w:after="0" w:line="17" w:lineRule="exact"/>
        <w:rPr>
          <w:rFonts w:ascii="Arial" w:cs="Arial" w:eastAsia="Arial" w:hAnsi="Arial"/>
          <w:sz w:val="17"/>
          <w:szCs w:val="17"/>
          <w:color w:val="003551"/>
        </w:rPr>
      </w:pPr>
    </w:p>
    <w:p>
      <w:pPr>
        <w:ind w:left="1280" w:right="740"/>
        <w:spacing w:after="0" w:line="248" w:lineRule="auto"/>
        <w:rPr>
          <w:rFonts w:ascii="Arial" w:cs="Arial" w:eastAsia="Arial" w:hAnsi="Arial"/>
          <w:sz w:val="17"/>
          <w:szCs w:val="17"/>
          <w:color w:val="003551"/>
        </w:rPr>
      </w:pPr>
      <w:r>
        <w:rPr>
          <w:rFonts w:ascii="Arial" w:cs="Arial" w:eastAsia="Arial" w:hAnsi="Arial"/>
          <w:sz w:val="17"/>
          <w:szCs w:val="17"/>
          <w:color w:val="003551"/>
        </w:rPr>
        <w:t>1934 (the “</w:t>
      </w:r>
      <w:r>
        <w:rPr>
          <w:rFonts w:ascii="Arial" w:cs="Arial" w:eastAsia="Arial" w:hAnsi="Arial"/>
          <w:sz w:val="17"/>
          <w:szCs w:val="17"/>
          <w:b w:val="1"/>
          <w:bCs w:val="1"/>
          <w:color w:val="003551"/>
        </w:rPr>
        <w:t>Exchange Act</w:t>
      </w:r>
      <w:r>
        <w:rPr>
          <w:rFonts w:ascii="Arial" w:cs="Arial" w:eastAsia="Arial" w:hAnsi="Arial"/>
          <w:sz w:val="17"/>
          <w:szCs w:val="17"/>
          <w:color w:val="003551"/>
        </w:rPr>
        <w:t>”)) becomes (in a single transaction or any series of transactions occurring during any twelve (12)-month period) the “beneficial owner” (as defined in Rule 13d-3 of the Exchange Act), directly or indirectly, of securities of IREN representing more than fifty percent (50%) of the total voting power of IREN’s then-outstanding voting securities;</w:t>
      </w:r>
    </w:p>
    <w:p>
      <w:pPr>
        <w:spacing w:after="0" w:line="106" w:lineRule="exact"/>
        <w:rPr>
          <w:rFonts w:ascii="Arial" w:cs="Arial" w:eastAsia="Arial" w:hAnsi="Arial"/>
          <w:sz w:val="17"/>
          <w:szCs w:val="17"/>
          <w:color w:val="003551"/>
        </w:rPr>
      </w:pPr>
    </w:p>
    <w:p>
      <w:pPr>
        <w:ind w:left="1280" w:hanging="337"/>
        <w:spacing w:after="0"/>
        <w:tabs>
          <w:tab w:leader="none" w:pos="1280" w:val="left"/>
        </w:tabs>
        <w:numPr>
          <w:ilvl w:val="0"/>
          <w:numId w:val="60"/>
        </w:numPr>
        <w:rPr>
          <w:rFonts w:ascii="Arial" w:cs="Arial" w:eastAsia="Arial" w:hAnsi="Arial"/>
          <w:sz w:val="17"/>
          <w:szCs w:val="17"/>
          <w:color w:val="003551"/>
        </w:rPr>
      </w:pPr>
      <w:r>
        <w:rPr>
          <w:rFonts w:ascii="Arial" w:cs="Arial" w:eastAsia="Arial" w:hAnsi="Arial"/>
          <w:sz w:val="17"/>
          <w:szCs w:val="17"/>
          <w:color w:val="003551"/>
        </w:rPr>
        <w:t>the individuals who are members of the Board of Directors as of the grant date of an award (the</w:t>
      </w:r>
    </w:p>
    <w:p>
      <w:pPr>
        <w:spacing w:after="0" w:line="17" w:lineRule="exact"/>
        <w:rPr>
          <w:rFonts w:ascii="Arial" w:cs="Arial" w:eastAsia="Arial" w:hAnsi="Arial"/>
          <w:sz w:val="17"/>
          <w:szCs w:val="17"/>
          <w:color w:val="003551"/>
        </w:rPr>
      </w:pPr>
    </w:p>
    <w:p>
      <w:pPr>
        <w:ind w:left="1280" w:right="880"/>
        <w:spacing w:after="0" w:line="246" w:lineRule="auto"/>
        <w:rPr>
          <w:rFonts w:ascii="Arial" w:cs="Arial" w:eastAsia="Arial" w:hAnsi="Arial"/>
          <w:sz w:val="17"/>
          <w:szCs w:val="17"/>
          <w:color w:val="003551"/>
        </w:rPr>
      </w:pPr>
      <w:r>
        <w:rPr>
          <w:rFonts w:ascii="Arial" w:cs="Arial" w:eastAsia="Arial" w:hAnsi="Arial"/>
          <w:sz w:val="17"/>
          <w:szCs w:val="17"/>
          <w:color w:val="003551"/>
        </w:rPr>
        <w:t>“</w:t>
      </w:r>
      <w:r>
        <w:rPr>
          <w:rFonts w:ascii="Arial" w:cs="Arial" w:eastAsia="Arial" w:hAnsi="Arial"/>
          <w:sz w:val="17"/>
          <w:szCs w:val="17"/>
          <w:b w:val="1"/>
          <w:bCs w:val="1"/>
          <w:color w:val="003551"/>
        </w:rPr>
        <w:t>Continuing Directors</w:t>
      </w:r>
      <w:r>
        <w:rPr>
          <w:rFonts w:ascii="Arial" w:cs="Arial" w:eastAsia="Arial" w:hAnsi="Arial"/>
          <w:sz w:val="17"/>
          <w:szCs w:val="17"/>
          <w:color w:val="003551"/>
        </w:rPr>
        <w:t>”) cease for any reason, during any twelve (12)-month period, to constitute at least fifty percent (50%) of the members of the Board of Directors; provided, however, that if the appointment of any new member of the Board of Directors was approved or recommended by a vote of the majority of the Continuing Directors, such new member shall, for purposes of the Omnibus Incentive Plan, be considered a Continuing Director;</w:t>
      </w:r>
    </w:p>
    <w:p>
      <w:pPr>
        <w:spacing w:after="0" w:line="108" w:lineRule="exact"/>
        <w:rPr>
          <w:rFonts w:ascii="Arial" w:cs="Arial" w:eastAsia="Arial" w:hAnsi="Arial"/>
          <w:sz w:val="17"/>
          <w:szCs w:val="17"/>
          <w:color w:val="003551"/>
        </w:rPr>
      </w:pPr>
    </w:p>
    <w:p>
      <w:pPr>
        <w:ind w:left="1280" w:right="760" w:hanging="337"/>
        <w:spacing w:after="0" w:line="248" w:lineRule="auto"/>
        <w:tabs>
          <w:tab w:leader="none" w:pos="1280" w:val="left"/>
        </w:tabs>
        <w:numPr>
          <w:ilvl w:val="0"/>
          <w:numId w:val="60"/>
        </w:numPr>
        <w:rPr>
          <w:rFonts w:ascii="Arial" w:cs="Arial" w:eastAsia="Arial" w:hAnsi="Arial"/>
          <w:sz w:val="17"/>
          <w:szCs w:val="17"/>
          <w:color w:val="003551"/>
        </w:rPr>
      </w:pPr>
      <w:r>
        <w:rPr>
          <w:rFonts w:ascii="Arial" w:cs="Arial" w:eastAsia="Arial" w:hAnsi="Arial"/>
          <w:sz w:val="17"/>
          <w:szCs w:val="17"/>
          <w:color w:val="003551"/>
        </w:rPr>
        <w:t>IREN or any of its affiliates is merged, consolidated or amalgamated or reorganized with or involving any other “person” (as defined above) other than a merger, consolidation, or reorganization that results in the voting securities of IREN outstanding immediately prior thereto continuing to represent (either by remaining outstanding or by being converted into voting securities of the surviving entity or its parent) more than fifty percent (50%) of the combined voting power of the voting securities of IREN (or such surviving entity) outstanding immediately after such merger, consolidation, amalgamation or reorganization; or</w:t>
      </w:r>
    </w:p>
    <w:p>
      <w:pPr>
        <w:spacing w:after="0" w:line="92" w:lineRule="exact"/>
        <w:rPr>
          <w:rFonts w:ascii="Arial" w:cs="Arial" w:eastAsia="Arial" w:hAnsi="Arial"/>
          <w:sz w:val="17"/>
          <w:szCs w:val="17"/>
          <w:color w:val="003551"/>
        </w:rPr>
      </w:pPr>
    </w:p>
    <w:p>
      <w:pPr>
        <w:ind w:left="1280" w:right="940" w:hanging="337"/>
        <w:spacing w:after="0" w:line="283" w:lineRule="auto"/>
        <w:tabs>
          <w:tab w:leader="none" w:pos="1280" w:val="left"/>
        </w:tabs>
        <w:numPr>
          <w:ilvl w:val="0"/>
          <w:numId w:val="60"/>
        </w:numPr>
        <w:rPr>
          <w:rFonts w:ascii="Arial" w:cs="Arial" w:eastAsia="Arial" w:hAnsi="Arial"/>
          <w:sz w:val="17"/>
          <w:szCs w:val="17"/>
          <w:color w:val="003551"/>
        </w:rPr>
      </w:pPr>
      <w:r>
        <w:rPr>
          <w:rFonts w:ascii="Arial" w:cs="Arial" w:eastAsia="Arial" w:hAnsi="Arial"/>
          <w:sz w:val="17"/>
          <w:szCs w:val="17"/>
          <w:color w:val="003551"/>
        </w:rPr>
        <w:t>IREN sells or disposes of more than 50% of IREN’s assets in one or a series of related transactions during any twelve (12)-month period.</w:t>
      </w:r>
    </w:p>
    <w:p>
      <w:pPr>
        <w:spacing w:after="0" w:line="17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Cancellation and Clawback</w:t>
      </w:r>
    </w:p>
    <w:p>
      <w:pPr>
        <w:spacing w:after="0" w:line="41" w:lineRule="exact"/>
        <w:rPr>
          <w:sz w:val="20"/>
          <w:szCs w:val="20"/>
          <w:color w:val="auto"/>
        </w:rPr>
      </w:pPr>
    </w:p>
    <w:p>
      <w:pPr>
        <w:ind w:left="940" w:right="820"/>
        <w:spacing w:after="0" w:line="244" w:lineRule="auto"/>
        <w:rPr>
          <w:sz w:val="20"/>
          <w:szCs w:val="20"/>
          <w:color w:val="auto"/>
        </w:rPr>
      </w:pPr>
      <w:r>
        <w:rPr>
          <w:rFonts w:ascii="Arial" w:cs="Arial" w:eastAsia="Arial" w:hAnsi="Arial"/>
          <w:sz w:val="17"/>
          <w:szCs w:val="17"/>
          <w:color w:val="003551"/>
        </w:rPr>
        <w:t>Under the Omnibus Incentive Plan, Awards (including any amounts or benefits arising from such Awards) will be subject to any clawback or recoupment arrangements or policies IREN has in place from time to time. In addition, the Board may, to the extent permitted by applicable law and stock exchange rules or by any applicable IREN policy or arrangement, and will, to the extent required by applicable law or stock exchange listing rules from time to time, cancel or require reimbursement of any Awards or any shares issued or cash received upon vesting, exercise or settlement of any such Awards or sale of shares underlying such Awards, including pursuant to any policies necessary to comply with Section 10D of the Exchange Act and any rules promulgated thereunder and any other regulatory regimes.</w:t>
      </w:r>
    </w:p>
    <w:p>
      <w:pPr>
        <w:spacing w:after="0" w:line="19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Transferability</w:t>
      </w:r>
    </w:p>
    <w:p>
      <w:pPr>
        <w:spacing w:after="0" w:line="41" w:lineRule="exact"/>
        <w:rPr>
          <w:sz w:val="20"/>
          <w:szCs w:val="20"/>
          <w:color w:val="auto"/>
        </w:rPr>
      </w:pPr>
    </w:p>
    <w:p>
      <w:pPr>
        <w:jc w:val="both"/>
        <w:ind w:left="940" w:right="880"/>
        <w:spacing w:after="0" w:line="252" w:lineRule="auto"/>
        <w:rPr>
          <w:sz w:val="20"/>
          <w:szCs w:val="20"/>
          <w:color w:val="auto"/>
        </w:rPr>
      </w:pPr>
      <w:r>
        <w:rPr>
          <w:rFonts w:ascii="Arial" w:cs="Arial" w:eastAsia="Arial" w:hAnsi="Arial"/>
          <w:sz w:val="17"/>
          <w:szCs w:val="17"/>
          <w:color w:val="003551"/>
        </w:rPr>
        <w:t>Unless determined otherwise by the Board, as required by applicable law or as otherwise set forth in the Omnibus Incentive Plan, no participant may assign, alienate, sell, or transfer, Awards under the Omnibus Incentive Plan other than by will, the laws of descent and distribution.</w:t>
      </w:r>
    </w:p>
    <w:p>
      <w:pPr>
        <w:spacing w:after="0" w:line="18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No Repricing Without Stockholder Approval</w:t>
      </w:r>
    </w:p>
    <w:p>
      <w:pPr>
        <w:spacing w:after="0" w:line="41" w:lineRule="exact"/>
        <w:rPr>
          <w:sz w:val="20"/>
          <w:szCs w:val="20"/>
          <w:color w:val="auto"/>
        </w:rPr>
      </w:pPr>
    </w:p>
    <w:p>
      <w:pPr>
        <w:ind w:left="940" w:right="760"/>
        <w:spacing w:after="0" w:line="246" w:lineRule="auto"/>
        <w:rPr>
          <w:sz w:val="20"/>
          <w:szCs w:val="20"/>
          <w:color w:val="auto"/>
        </w:rPr>
      </w:pPr>
      <w:r>
        <w:rPr>
          <w:rFonts w:ascii="Arial" w:cs="Arial" w:eastAsia="Arial" w:hAnsi="Arial"/>
          <w:sz w:val="17"/>
          <w:szCs w:val="17"/>
          <w:color w:val="003551"/>
        </w:rPr>
        <w:t>Except in connection with changes in capitalization (as described above) or with the approval of IREN’s shareholders, (i) the exercise or hurdle price of an outstanding option, SAR or similar Award may not be reduced; (ii) an outstanding option, SAR or similar Award may not be cancelled or substituted for an option or SAR with a lower exercise or hurdle price or for other Awards; or (iii) an option, SAR or similar Award with an exercise price above the current share price may not be cancelled in exchange for cash or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245745</wp:posOffset>
            </wp:positionV>
            <wp:extent cx="540385" cy="63182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6" w:right="12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Amendment</w:t>
      </w:r>
    </w:p>
    <w:p>
      <w:pPr>
        <w:spacing w:after="0" w:line="41" w:lineRule="exact"/>
        <w:rPr>
          <w:sz w:val="20"/>
          <w:szCs w:val="20"/>
          <w:color w:val="auto"/>
        </w:rPr>
      </w:pPr>
    </w:p>
    <w:p>
      <w:pPr>
        <w:ind w:left="940" w:right="760"/>
        <w:spacing w:after="0" w:line="244" w:lineRule="auto"/>
        <w:rPr>
          <w:sz w:val="20"/>
          <w:szCs w:val="20"/>
          <w:color w:val="auto"/>
        </w:rPr>
      </w:pPr>
      <w:r>
        <w:rPr>
          <w:rFonts w:ascii="Arial" w:cs="Arial" w:eastAsia="Arial" w:hAnsi="Arial"/>
          <w:sz w:val="17"/>
          <w:szCs w:val="17"/>
          <w:color w:val="003551"/>
        </w:rPr>
        <w:t>Except to the extent prohibited by applicable law and unless otherwise expressly provided in an Award agreement or in the Omnibus Incentive Plan, the Board may amend, alter, suspend, discontinue or terminate the Omnibus Incentive Plan or any portion thereof at any time; provided that no such amendment, alternation, suspension, discontinuation or termination shall be made without (i) shareholder approval if such approval is required by applicable law or the rules of the stock market or exchange on which the shares are principally quoted or trade or (ii) subject to limitations, the consent of the affected participant of the Omnibus Incentive Plan if such action would materially adversely affect the rights of such participant under any outstanding Award.</w:t>
      </w:r>
    </w:p>
    <w:p>
      <w:pPr>
        <w:spacing w:after="0" w:line="19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Term</w:t>
      </w:r>
    </w:p>
    <w:p>
      <w:pPr>
        <w:spacing w:after="0" w:line="41" w:lineRule="exact"/>
        <w:rPr>
          <w:sz w:val="20"/>
          <w:szCs w:val="20"/>
          <w:color w:val="auto"/>
        </w:rPr>
      </w:pPr>
    </w:p>
    <w:p>
      <w:pPr>
        <w:ind w:left="940" w:right="880"/>
        <w:spacing w:after="0" w:line="241" w:lineRule="auto"/>
        <w:rPr>
          <w:sz w:val="20"/>
          <w:szCs w:val="20"/>
          <w:color w:val="auto"/>
        </w:rPr>
      </w:pPr>
      <w:r>
        <w:rPr>
          <w:rFonts w:ascii="Arial" w:cs="Arial" w:eastAsia="Arial" w:hAnsi="Arial"/>
          <w:sz w:val="17"/>
          <w:szCs w:val="17"/>
          <w:color w:val="003551"/>
        </w:rPr>
        <w:t>The Omnibus Incentive Plan will become effective on the date on the shareholders approve the Omnibus Incentive Plan. No Award may be granted under the Omnibus Incentive Plan after the earliest to occur of</w:t>
      </w:r>
    </w:p>
    <w:p>
      <w:pPr>
        <w:jc w:val="both"/>
        <w:ind w:left="940" w:right="980" w:firstLine="3"/>
        <w:spacing w:after="0" w:line="248" w:lineRule="auto"/>
        <w:tabs>
          <w:tab w:leader="none" w:pos="1143" w:val="left"/>
        </w:tabs>
        <w:numPr>
          <w:ilvl w:val="0"/>
          <w:numId w:val="61"/>
        </w:numPr>
        <w:rPr>
          <w:rFonts w:ascii="Arial" w:cs="Arial" w:eastAsia="Arial" w:hAnsi="Arial"/>
          <w:sz w:val="17"/>
          <w:szCs w:val="17"/>
          <w:color w:val="003551"/>
        </w:rPr>
      </w:pPr>
      <w:r>
        <w:rPr>
          <w:rFonts w:ascii="Arial" w:cs="Arial" w:eastAsia="Arial" w:hAnsi="Arial"/>
          <w:sz w:val="17"/>
          <w:szCs w:val="17"/>
          <w:color w:val="003551"/>
        </w:rPr>
        <w:t>the tenth anniversary of the effective date, (ii) the maximum number of shares of our ordinary shares available for issuance under the Omnibus Incentive Plan have been issued, or (iii) the Board terminates the Omnibus Incentive Plan. Previously granted Awards are permitted to extend beyond the termination date of the Omnibus Incentive Plan.</w:t>
      </w:r>
    </w:p>
    <w:p>
      <w:pPr>
        <w:spacing w:after="0" w:line="214"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U.S. Federal Income Tax Consequences</w:t>
      </w:r>
    </w:p>
    <w:p>
      <w:pPr>
        <w:spacing w:after="0" w:line="15" w:lineRule="exact"/>
        <w:rPr>
          <w:sz w:val="20"/>
          <w:szCs w:val="20"/>
          <w:color w:val="auto"/>
        </w:rPr>
      </w:pPr>
    </w:p>
    <w:p>
      <w:pPr>
        <w:ind w:left="940" w:right="740"/>
        <w:spacing w:after="0" w:line="244" w:lineRule="auto"/>
        <w:rPr>
          <w:sz w:val="20"/>
          <w:szCs w:val="20"/>
          <w:color w:val="auto"/>
        </w:rPr>
      </w:pPr>
      <w:r>
        <w:rPr>
          <w:rFonts w:ascii="Arial" w:cs="Arial" w:eastAsia="Arial" w:hAnsi="Arial"/>
          <w:sz w:val="17"/>
          <w:szCs w:val="17"/>
          <w:color w:val="003551"/>
        </w:rPr>
        <w:t>The information set forth below is a summary under current law of certain United States federal income tax consequences to IREN and participants who are citizens or individual residents of the United States relating to awards granted under the Omnibus Incentive Plan and does not purport to be complete. Because the tax consequences to any recipient may depend on his or her particular situation, each recipient should consult the recipient’s tax adviser regarding the federal, state, local, and other tax consequences of the grant or exercise of an award or the disposition of stock acquired as a result of an award. The Omnibus Incentive Plan is not qualified under the provisions of Section 401(a) of the Internal Revenue Code of 1986 and is not subject to any of the provisions of the Employee Retirement Income Security Act of 1974.</w:t>
      </w:r>
    </w:p>
    <w:p>
      <w:pPr>
        <w:spacing w:after="0" w:line="39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Non-statutory Stock Options</w:t>
      </w:r>
    </w:p>
    <w:p>
      <w:pPr>
        <w:spacing w:after="0" w:line="41" w:lineRule="exact"/>
        <w:rPr>
          <w:sz w:val="20"/>
          <w:szCs w:val="20"/>
          <w:color w:val="auto"/>
        </w:rPr>
      </w:pPr>
    </w:p>
    <w:p>
      <w:pPr>
        <w:ind w:left="940" w:right="740"/>
        <w:spacing w:after="0" w:line="244" w:lineRule="auto"/>
        <w:rPr>
          <w:sz w:val="20"/>
          <w:szCs w:val="20"/>
          <w:color w:val="auto"/>
        </w:rPr>
      </w:pPr>
      <w:r>
        <w:rPr>
          <w:rFonts w:ascii="Arial" w:cs="Arial" w:eastAsia="Arial" w:hAnsi="Arial"/>
          <w:sz w:val="17"/>
          <w:szCs w:val="17"/>
          <w:color w:val="003551"/>
        </w:rPr>
        <w:t>A participant generally will not recognize taxable income when granted a non-qualified stock option. When the participant exercises the stock option, he or she generally will recognize taxable ordinary income equal to the excess of the fair market value of the shares received on the exercise date over the aggregate exercise price of the shares. The participant’s tax basis in the shares acquired on exercise of the option will be increased by the amount of such taxable income. We generally will be entitled to a federal income tax deduction in an amount equal to the ordinary income that the participant recognizes, subject to any limits imposed under Section 162(m) of the Code. When the participant sells the shares acquired on exercise, the participant generally will realize long-term or short-term capital gain or loss, depending on whether the participant holds the shares for more than one year before selling them.</w:t>
      </w:r>
    </w:p>
    <w:p>
      <w:pPr>
        <w:spacing w:after="0" w:line="1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Incentive Stock Options</w:t>
      </w:r>
    </w:p>
    <w:p>
      <w:pPr>
        <w:spacing w:after="0" w:line="41" w:lineRule="exact"/>
        <w:rPr>
          <w:sz w:val="20"/>
          <w:szCs w:val="20"/>
          <w:color w:val="auto"/>
        </w:rPr>
      </w:pPr>
    </w:p>
    <w:p>
      <w:pPr>
        <w:ind w:left="940" w:right="780"/>
        <w:spacing w:after="0" w:line="243" w:lineRule="auto"/>
        <w:rPr>
          <w:sz w:val="20"/>
          <w:szCs w:val="20"/>
          <w:color w:val="auto"/>
        </w:rPr>
      </w:pPr>
      <w:r>
        <w:rPr>
          <w:rFonts w:ascii="Arial" w:cs="Arial" w:eastAsia="Arial" w:hAnsi="Arial"/>
          <w:sz w:val="17"/>
          <w:szCs w:val="17"/>
          <w:color w:val="003551"/>
        </w:rPr>
        <w:t>A participant generally will not have taxable income when granted an ISO or when exercising the option. However, the exercise of an ISO may result in an alternative minimum tax liability to the employee. If the participant exercises the option and does not dispose of the shares until the later of two years after the grant date and one year after the exercise date, the entire gain, if any, realized when the participant sells the shares generally will be taxable as long-term capital gain. We generally will not be entitled to any corresponding tax deduction. If a participant disposes of the shares received upon exercise of an ISO within the one-year or two-year periods described above, it will generally be considered a “disqualifying disposition,” and the option will be treated as a non-statutory stock option for federal income tax purposes. Generally, if a participant exercises an ISO more than three months after the participant’s employment or service with us terminates, the option will be treated as a non-statutory stock option for federal income tax purposes. IREN is not allowed an income tax deduction with respect to the grant or exercise of an ISO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123825</wp:posOffset>
            </wp:positionV>
            <wp:extent cx="540385" cy="63182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6" w:right="12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40" w:right="780"/>
        <w:spacing w:after="0" w:line="262" w:lineRule="auto"/>
        <w:rPr>
          <w:sz w:val="20"/>
          <w:szCs w:val="20"/>
          <w:color w:val="auto"/>
        </w:rPr>
      </w:pPr>
      <w:r>
        <w:rPr>
          <w:rFonts w:ascii="Arial" w:cs="Arial" w:eastAsia="Arial" w:hAnsi="Arial"/>
          <w:sz w:val="17"/>
          <w:szCs w:val="17"/>
          <w:color w:val="003551"/>
        </w:rPr>
        <w:t>the disposition of a share acquired on exercise of an ISO after the required holding period. If there is a disqualifying disposition of a share, however, IREN is generally allowed a deduction in an amount equal to the ordinary income includible in income by the optionholder.</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Stock Appreciation Rights</w:t>
      </w:r>
    </w:p>
    <w:p>
      <w:pPr>
        <w:spacing w:after="0" w:line="41" w:lineRule="exact"/>
        <w:rPr>
          <w:sz w:val="20"/>
          <w:szCs w:val="20"/>
          <w:color w:val="auto"/>
        </w:rPr>
      </w:pPr>
    </w:p>
    <w:p>
      <w:pPr>
        <w:ind w:left="940" w:right="860"/>
        <w:spacing w:after="0" w:line="245" w:lineRule="auto"/>
        <w:rPr>
          <w:sz w:val="20"/>
          <w:szCs w:val="20"/>
          <w:color w:val="auto"/>
        </w:rPr>
      </w:pPr>
      <w:r>
        <w:rPr>
          <w:rFonts w:ascii="Arial" w:cs="Arial" w:eastAsia="Arial" w:hAnsi="Arial"/>
          <w:sz w:val="17"/>
          <w:szCs w:val="17"/>
          <w:color w:val="003551"/>
        </w:rPr>
        <w:t>A participant generally does not recognize income at the time a SAR is granted. At the time cash or stock representing the amount of the appreciation is transferred to the participant pursuant to exercise of the SAR, the participant will generally be required to recognize as income an amount equal to the amount of cash or fair market value of the shares paid or transferred to the participant. Such amount will be taxable as ordinary income and IREN generally will be entitled to a corresponding tax deduction, subject to any limits imposed under Section 162(m) of the Code.</w:t>
      </w:r>
    </w:p>
    <w:p>
      <w:pPr>
        <w:spacing w:after="0" w:line="19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Restricted Stock</w:t>
      </w:r>
    </w:p>
    <w:p>
      <w:pPr>
        <w:spacing w:after="0" w:line="41" w:lineRule="exact"/>
        <w:rPr>
          <w:sz w:val="20"/>
          <w:szCs w:val="20"/>
          <w:color w:val="auto"/>
        </w:rPr>
      </w:pPr>
    </w:p>
    <w:p>
      <w:pPr>
        <w:ind w:left="940" w:right="820"/>
        <w:spacing w:after="0" w:line="242" w:lineRule="auto"/>
        <w:rPr>
          <w:sz w:val="20"/>
          <w:szCs w:val="20"/>
          <w:color w:val="auto"/>
        </w:rPr>
      </w:pPr>
      <w:r>
        <w:rPr>
          <w:rFonts w:ascii="Arial" w:cs="Arial" w:eastAsia="Arial" w:hAnsi="Arial"/>
          <w:sz w:val="17"/>
          <w:szCs w:val="17"/>
          <w:color w:val="003551"/>
        </w:rPr>
        <w:t>A participant generally will not recognize any income upon the receipt of unvested shares or restricted stock unless the participant elects under Section 83(b) of the Code, within 30 days after receipt of the shares, to recognize ordinary income in an amount equal to the fair market value of the shares at the time of receipt, less any amount paid for the shares, and IREN generally will be allowed a corresponding tax deduction at that time, subject to any limits imposed under Section 162(m) of the Code. A participant who makes the election will not be allowed a deduction for the value of any shares subsequently forfeited. A participant who does not make the election generally will recognize ordinary income on the date of the lapse of the restrictions applicable to the shares, which may be at the time of grant, in an amount equal to the fair market value of the shares on such date, less any amount paid for the shares. Generally, upon a sale or other disposition of restricted stock with respect to which a participant has recognized ordinary income (i.e., a Section 83(b) election was previously made or the restrictions previously lapsed), the participant will recognize capital gain or loss in an amount equal to the difference between the amount realized on such sale or other disposition and the basis in such shares. Any gain or loss recognized is generally treated as a capital gain or loss (short-term or long-term depending on the applicable holding period).</w:t>
      </w:r>
    </w:p>
    <w:p>
      <w:pPr>
        <w:spacing w:after="0" w:line="200" w:lineRule="exact"/>
        <w:rPr>
          <w:sz w:val="20"/>
          <w:szCs w:val="20"/>
          <w:color w:val="auto"/>
        </w:rPr>
      </w:pPr>
    </w:p>
    <w:p>
      <w:pPr>
        <w:spacing w:after="0" w:line="20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Restricted Stock Units</w:t>
      </w:r>
    </w:p>
    <w:p>
      <w:pPr>
        <w:spacing w:after="0" w:line="41" w:lineRule="exact"/>
        <w:rPr>
          <w:sz w:val="20"/>
          <w:szCs w:val="20"/>
          <w:color w:val="auto"/>
        </w:rPr>
      </w:pPr>
    </w:p>
    <w:p>
      <w:pPr>
        <w:ind w:left="940" w:right="780"/>
        <w:spacing w:after="0" w:line="245" w:lineRule="auto"/>
        <w:rPr>
          <w:sz w:val="20"/>
          <w:szCs w:val="20"/>
          <w:color w:val="auto"/>
        </w:rPr>
      </w:pPr>
      <w:r>
        <w:rPr>
          <w:rFonts w:ascii="Arial" w:cs="Arial" w:eastAsia="Arial" w:hAnsi="Arial"/>
          <w:sz w:val="17"/>
          <w:szCs w:val="17"/>
          <w:color w:val="003551"/>
        </w:rPr>
        <w:t>A participant generally does not recognize income at the time an RSU is granted. At the time of settlement of the award, the participant will generally recognize ordinary income equal to the fair market value of the RSUs at the time of settlement of the award, and IREN generally will be allowed a corresponding tax deduction at that time, subject to any limits imposed under Section 162(m) of the Code. Any gain or loss recognized upon a subsequent sale or exchange of the shares (if settled in shares) is generally treated as a capital gain or loss (short-term or long-term depending on the applicable holding period).</w:t>
      </w:r>
    </w:p>
    <w:p>
      <w:pPr>
        <w:spacing w:after="0" w:line="19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Section 162(m) of the Code</w:t>
      </w:r>
    </w:p>
    <w:p>
      <w:pPr>
        <w:spacing w:after="0" w:line="41"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Section 162(m) of the Code generally limits the federal income tax deduction for compensation paid to</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“covered employees” (currently the Co-Chief Executive Officers and the Chief Financial Officer) to</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$1,000,000. Thus, certain compensation attributable to Awards may be nondeductible to us due to the</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application of Section 162(m) of the Code.</w:t>
      </w:r>
    </w:p>
    <w:p>
      <w:pPr>
        <w:spacing w:after="0" w:line="224"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Registration with the SEC</w:t>
      </w:r>
    </w:p>
    <w:p>
      <w:pPr>
        <w:spacing w:after="0" w:line="15" w:lineRule="exact"/>
        <w:rPr>
          <w:sz w:val="20"/>
          <w:szCs w:val="20"/>
          <w:color w:val="auto"/>
        </w:rPr>
      </w:pPr>
    </w:p>
    <w:p>
      <w:pPr>
        <w:ind w:left="940" w:right="1300"/>
        <w:spacing w:after="0" w:line="252" w:lineRule="auto"/>
        <w:rPr>
          <w:sz w:val="20"/>
          <w:szCs w:val="20"/>
          <w:color w:val="auto"/>
        </w:rPr>
      </w:pPr>
      <w:r>
        <w:rPr>
          <w:rFonts w:ascii="Arial" w:cs="Arial" w:eastAsia="Arial" w:hAnsi="Arial"/>
          <w:sz w:val="17"/>
          <w:szCs w:val="17"/>
          <w:color w:val="003551"/>
        </w:rPr>
        <w:t>If our shareholders approve the Omnibus Incentive Plan, IREN will file with the SEC a registration statement on Form S-8, as soon as reasonably practicable after the approval, to register the shares available for issuance under the Omnibus Incentive Plan.</w:t>
      </w:r>
    </w:p>
    <w:p>
      <w:pPr>
        <w:spacing w:after="0" w:line="210"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New Plan Benefits</w:t>
      </w:r>
    </w:p>
    <w:p>
      <w:pPr>
        <w:spacing w:after="0" w:line="15" w:lineRule="exact"/>
        <w:rPr>
          <w:sz w:val="20"/>
          <w:szCs w:val="20"/>
          <w:color w:val="auto"/>
        </w:rPr>
      </w:pPr>
    </w:p>
    <w:p>
      <w:pPr>
        <w:ind w:left="940" w:right="760"/>
        <w:spacing w:after="0" w:line="249" w:lineRule="auto"/>
        <w:rPr>
          <w:sz w:val="20"/>
          <w:szCs w:val="20"/>
          <w:color w:val="auto"/>
        </w:rPr>
      </w:pPr>
      <w:r>
        <w:rPr>
          <w:rFonts w:ascii="Arial" w:cs="Arial" w:eastAsia="Arial" w:hAnsi="Arial"/>
          <w:sz w:val="17"/>
          <w:szCs w:val="17"/>
          <w:color w:val="003551"/>
        </w:rPr>
        <w:t>A new plan benefits table for the Omnibus Incentive Plan and the benefits or amounts that would have been received by or allocated to participants for the last completed fiscal year under the 2025 Plan if the 2025 Plan was then in effect, as described in SEC rules, are not provided because all Awards made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246380</wp:posOffset>
            </wp:positionV>
            <wp:extent cx="540385" cy="63182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228600</wp:posOffset>
            </wp:positionV>
            <wp:extent cx="6786880" cy="1651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6" w:right="12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40" w:right="820"/>
        <w:spacing w:after="0" w:line="248" w:lineRule="auto"/>
        <w:rPr>
          <w:sz w:val="20"/>
          <w:szCs w:val="20"/>
          <w:color w:val="auto"/>
        </w:rPr>
      </w:pPr>
      <w:r>
        <w:rPr>
          <w:rFonts w:ascii="Arial" w:cs="Arial" w:eastAsia="Arial" w:hAnsi="Arial"/>
          <w:sz w:val="17"/>
          <w:szCs w:val="17"/>
          <w:color w:val="003551"/>
        </w:rPr>
        <w:t>Omnibus Incentive Plan will be made at the discretion of the Board (or the Compensation Committee thereof), subject to the terms of the Omnibus Incentive Plan. Therefore, the benefits and amounts that will be received or allocated under the Omnibus Incentive Plan are not determinable at this time. However, please refer to the Summary Compensation Table above, which sets forth certain information regarding awards granted to our NEOs during the last completed fiscal year under the 2023 LTIP. Please also see the Non-Employee Director Compensation table above, which sets forth certain information regarding awards granted to our non-employee directors under the 2023 LTIP during the last completed fiscal year.</w:t>
      </w:r>
    </w:p>
    <w:p>
      <w:pPr>
        <w:spacing w:after="0" w:line="200"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Equity Compensation Plan Information</w:t>
      </w:r>
    </w:p>
    <w:p>
      <w:pPr>
        <w:spacing w:after="0" w:line="15"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The following table presents certain information with respect to our equity compensation plans as of</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June 30, 2025:</w:t>
      </w:r>
    </w:p>
    <w:p>
      <w:pPr>
        <w:spacing w:after="0" w:line="146" w:lineRule="exact"/>
        <w:rPr>
          <w:sz w:val="20"/>
          <w:szCs w:val="20"/>
          <w:color w:val="auto"/>
        </w:rPr>
      </w:pPr>
    </w:p>
    <w:tbl>
      <w:tblPr>
        <w:tblLayout w:type="fixed"/>
        <w:tblInd w:w="940" w:type="dxa"/>
        <w:tblCellMar>
          <w:top w:w="0" w:type="dxa"/>
          <w:left w:w="0" w:type="dxa"/>
          <w:bottom w:w="0" w:type="dxa"/>
          <w:right w:w="0" w:type="dxa"/>
        </w:tblCellMar>
      </w:tblPr>
      <w:tr>
        <w:trPr>
          <w:trHeight w:val="335"/>
        </w:trPr>
        <w:tc>
          <w:tcPr>
            <w:tcW w:w="40" w:type="dxa"/>
            <w:vAlign w:val="bottom"/>
            <w:shd w:val="clear" w:color="auto" w:fill="77C483"/>
          </w:tcPr>
          <w:p>
            <w:pPr>
              <w:spacing w:after="0"/>
              <w:rPr>
                <w:sz w:val="24"/>
                <w:szCs w:val="24"/>
                <w:color w:val="auto"/>
              </w:rPr>
            </w:pPr>
          </w:p>
        </w:tc>
        <w:tc>
          <w:tcPr>
            <w:tcW w:w="1440" w:type="dxa"/>
            <w:vAlign w:val="bottom"/>
            <w:shd w:val="clear" w:color="auto" w:fill="77C483"/>
          </w:tcPr>
          <w:p>
            <w:pPr>
              <w:spacing w:after="0"/>
              <w:rPr>
                <w:sz w:val="24"/>
                <w:szCs w:val="24"/>
                <w:color w:val="auto"/>
              </w:rPr>
            </w:pPr>
          </w:p>
        </w:tc>
        <w:tc>
          <w:tcPr>
            <w:tcW w:w="2380" w:type="dxa"/>
            <w:vAlign w:val="bottom"/>
            <w:shd w:val="clear" w:color="auto" w:fill="77C483"/>
          </w:tcPr>
          <w:p>
            <w:pPr>
              <w:spacing w:after="0"/>
              <w:rPr>
                <w:sz w:val="24"/>
                <w:szCs w:val="24"/>
                <w:color w:val="auto"/>
              </w:rPr>
            </w:pPr>
          </w:p>
        </w:tc>
        <w:tc>
          <w:tcPr>
            <w:tcW w:w="1900" w:type="dxa"/>
            <w:vAlign w:val="bottom"/>
            <w:shd w:val="clear" w:color="auto" w:fill="77C483"/>
          </w:tcPr>
          <w:p>
            <w:pPr>
              <w:spacing w:after="0"/>
              <w:rPr>
                <w:sz w:val="24"/>
                <w:szCs w:val="24"/>
                <w:color w:val="auto"/>
              </w:rPr>
            </w:pPr>
          </w:p>
        </w:tc>
        <w:tc>
          <w:tcPr>
            <w:tcW w:w="60" w:type="dxa"/>
            <w:vAlign w:val="bottom"/>
            <w:shd w:val="clear" w:color="auto" w:fill="77C483"/>
          </w:tcPr>
          <w:p>
            <w:pPr>
              <w:spacing w:after="0"/>
              <w:rPr>
                <w:sz w:val="24"/>
                <w:szCs w:val="24"/>
                <w:color w:val="auto"/>
              </w:rPr>
            </w:pPr>
          </w:p>
        </w:tc>
        <w:tc>
          <w:tcPr>
            <w:tcW w:w="2420" w:type="dxa"/>
            <w:vAlign w:val="bottom"/>
            <w:gridSpan w:val="2"/>
            <w:shd w:val="clear" w:color="auto" w:fill="77C483"/>
          </w:tcPr>
          <w:p>
            <w:pPr>
              <w:spacing w:after="0"/>
              <w:rPr>
                <w:sz w:val="20"/>
                <w:szCs w:val="20"/>
                <w:color w:val="auto"/>
              </w:rPr>
            </w:pPr>
            <w:r>
              <w:rPr>
                <w:rFonts w:ascii="Arial" w:cs="Arial" w:eastAsia="Arial" w:hAnsi="Arial"/>
                <w:sz w:val="17"/>
                <w:szCs w:val="17"/>
                <w:b w:val="1"/>
                <w:bCs w:val="1"/>
                <w:color w:val="003551"/>
              </w:rPr>
              <w:t>(c) Number of Securities</w:t>
            </w:r>
          </w:p>
        </w:tc>
        <w:tc>
          <w:tcPr>
            <w:tcW w:w="0" w:type="dxa"/>
            <w:vAlign w:val="bottom"/>
          </w:tcPr>
          <w:p>
            <w:pPr>
              <w:spacing w:after="0"/>
              <w:rPr>
                <w:sz w:val="1"/>
                <w:szCs w:val="1"/>
                <w:color w:val="auto"/>
              </w:rPr>
            </w:pPr>
          </w:p>
        </w:tc>
      </w:tr>
      <w:tr>
        <w:trPr>
          <w:trHeight w:val="196"/>
        </w:trPr>
        <w:tc>
          <w:tcPr>
            <w:tcW w:w="40" w:type="dxa"/>
            <w:vAlign w:val="bottom"/>
            <w:shd w:val="clear" w:color="auto" w:fill="77C483"/>
          </w:tcPr>
          <w:p>
            <w:pPr>
              <w:spacing w:after="0"/>
              <w:rPr>
                <w:sz w:val="17"/>
                <w:szCs w:val="17"/>
                <w:color w:val="auto"/>
              </w:rPr>
            </w:pPr>
          </w:p>
        </w:tc>
        <w:tc>
          <w:tcPr>
            <w:tcW w:w="1440" w:type="dxa"/>
            <w:vAlign w:val="bottom"/>
            <w:shd w:val="clear" w:color="auto" w:fill="77C483"/>
          </w:tcPr>
          <w:p>
            <w:pPr>
              <w:spacing w:after="0"/>
              <w:rPr>
                <w:sz w:val="17"/>
                <w:szCs w:val="17"/>
                <w:color w:val="auto"/>
              </w:rPr>
            </w:pPr>
          </w:p>
        </w:tc>
        <w:tc>
          <w:tcPr>
            <w:tcW w:w="2380" w:type="dxa"/>
            <w:vAlign w:val="bottom"/>
            <w:shd w:val="clear" w:color="auto" w:fill="77C483"/>
          </w:tcPr>
          <w:p>
            <w:pPr>
              <w:spacing w:after="0"/>
              <w:rPr>
                <w:sz w:val="17"/>
                <w:szCs w:val="17"/>
                <w:color w:val="auto"/>
              </w:rPr>
            </w:pPr>
          </w:p>
        </w:tc>
        <w:tc>
          <w:tcPr>
            <w:tcW w:w="1900" w:type="dxa"/>
            <w:vAlign w:val="bottom"/>
            <w:shd w:val="clear" w:color="auto" w:fill="77C483"/>
          </w:tcPr>
          <w:p>
            <w:pPr>
              <w:spacing w:after="0"/>
              <w:rPr>
                <w:sz w:val="17"/>
                <w:szCs w:val="17"/>
                <w:color w:val="auto"/>
              </w:rPr>
            </w:pPr>
          </w:p>
        </w:tc>
        <w:tc>
          <w:tcPr>
            <w:tcW w:w="60" w:type="dxa"/>
            <w:vAlign w:val="bottom"/>
            <w:shd w:val="clear" w:color="auto" w:fill="77C483"/>
          </w:tcPr>
          <w:p>
            <w:pPr>
              <w:spacing w:after="0"/>
              <w:rPr>
                <w:sz w:val="17"/>
                <w:szCs w:val="17"/>
                <w:color w:val="auto"/>
              </w:rPr>
            </w:pPr>
          </w:p>
        </w:tc>
        <w:tc>
          <w:tcPr>
            <w:tcW w:w="2420" w:type="dxa"/>
            <w:vAlign w:val="bottom"/>
            <w:gridSpan w:val="2"/>
            <w:shd w:val="clear" w:color="auto" w:fill="77C483"/>
          </w:tcPr>
          <w:p>
            <w:pPr>
              <w:spacing w:after="0"/>
              <w:rPr>
                <w:sz w:val="20"/>
                <w:szCs w:val="20"/>
                <w:color w:val="auto"/>
              </w:rPr>
            </w:pPr>
            <w:r>
              <w:rPr>
                <w:rFonts w:ascii="Arial" w:cs="Arial" w:eastAsia="Arial" w:hAnsi="Arial"/>
                <w:sz w:val="17"/>
                <w:szCs w:val="17"/>
                <w:b w:val="1"/>
                <w:bCs w:val="1"/>
                <w:color w:val="003551"/>
              </w:rPr>
              <w:t>Remaining Available For</w:t>
            </w:r>
          </w:p>
        </w:tc>
        <w:tc>
          <w:tcPr>
            <w:tcW w:w="0" w:type="dxa"/>
            <w:vAlign w:val="bottom"/>
          </w:tcPr>
          <w:p>
            <w:pPr>
              <w:spacing w:after="0"/>
              <w:rPr>
                <w:sz w:val="1"/>
                <w:szCs w:val="1"/>
                <w:color w:val="auto"/>
              </w:rPr>
            </w:pPr>
          </w:p>
        </w:tc>
      </w:tr>
      <w:tr>
        <w:trPr>
          <w:trHeight w:val="196"/>
        </w:trPr>
        <w:tc>
          <w:tcPr>
            <w:tcW w:w="40" w:type="dxa"/>
            <w:vAlign w:val="bottom"/>
            <w:shd w:val="clear" w:color="auto" w:fill="77C483"/>
          </w:tcPr>
          <w:p>
            <w:pPr>
              <w:spacing w:after="0"/>
              <w:rPr>
                <w:sz w:val="17"/>
                <w:szCs w:val="17"/>
                <w:color w:val="auto"/>
              </w:rPr>
            </w:pPr>
          </w:p>
        </w:tc>
        <w:tc>
          <w:tcPr>
            <w:tcW w:w="1440" w:type="dxa"/>
            <w:vAlign w:val="bottom"/>
            <w:shd w:val="clear" w:color="auto" w:fill="77C483"/>
          </w:tcPr>
          <w:p>
            <w:pPr>
              <w:spacing w:after="0"/>
              <w:rPr>
                <w:sz w:val="17"/>
                <w:szCs w:val="17"/>
                <w:color w:val="auto"/>
              </w:rPr>
            </w:pPr>
          </w:p>
        </w:tc>
        <w:tc>
          <w:tcPr>
            <w:tcW w:w="2380" w:type="dxa"/>
            <w:vAlign w:val="bottom"/>
            <w:shd w:val="clear" w:color="auto" w:fill="77C483"/>
          </w:tcPr>
          <w:p>
            <w:pPr>
              <w:ind w:left="40"/>
              <w:spacing w:after="0"/>
              <w:rPr>
                <w:sz w:val="20"/>
                <w:szCs w:val="20"/>
                <w:color w:val="auto"/>
              </w:rPr>
            </w:pPr>
            <w:r>
              <w:rPr>
                <w:rFonts w:ascii="Arial" w:cs="Arial" w:eastAsia="Arial" w:hAnsi="Arial"/>
                <w:sz w:val="17"/>
                <w:szCs w:val="17"/>
                <w:b w:val="1"/>
                <w:bCs w:val="1"/>
                <w:color w:val="003551"/>
              </w:rPr>
              <w:t>(a) Number of Securities to</w:t>
            </w:r>
          </w:p>
        </w:tc>
        <w:tc>
          <w:tcPr>
            <w:tcW w:w="1900" w:type="dxa"/>
            <w:vAlign w:val="bottom"/>
            <w:shd w:val="clear" w:color="auto" w:fill="77C483"/>
          </w:tcPr>
          <w:p>
            <w:pPr>
              <w:spacing w:after="0"/>
              <w:rPr>
                <w:sz w:val="17"/>
                <w:szCs w:val="17"/>
                <w:color w:val="auto"/>
              </w:rPr>
            </w:pPr>
          </w:p>
        </w:tc>
        <w:tc>
          <w:tcPr>
            <w:tcW w:w="60" w:type="dxa"/>
            <w:vAlign w:val="bottom"/>
            <w:shd w:val="clear" w:color="auto" w:fill="77C483"/>
          </w:tcPr>
          <w:p>
            <w:pPr>
              <w:spacing w:after="0"/>
              <w:rPr>
                <w:sz w:val="17"/>
                <w:szCs w:val="17"/>
                <w:color w:val="auto"/>
              </w:rPr>
            </w:pPr>
          </w:p>
        </w:tc>
        <w:tc>
          <w:tcPr>
            <w:tcW w:w="2420" w:type="dxa"/>
            <w:vAlign w:val="bottom"/>
            <w:gridSpan w:val="2"/>
            <w:shd w:val="clear" w:color="auto" w:fill="77C483"/>
          </w:tcPr>
          <w:p>
            <w:pPr>
              <w:spacing w:after="0"/>
              <w:rPr>
                <w:sz w:val="20"/>
                <w:szCs w:val="20"/>
                <w:color w:val="auto"/>
              </w:rPr>
            </w:pPr>
            <w:r>
              <w:rPr>
                <w:rFonts w:ascii="Arial" w:cs="Arial" w:eastAsia="Arial" w:hAnsi="Arial"/>
                <w:sz w:val="17"/>
                <w:szCs w:val="17"/>
                <w:b w:val="1"/>
                <w:bCs w:val="1"/>
                <w:color w:val="003551"/>
              </w:rPr>
              <w:t>Future Issuance Under</w:t>
            </w:r>
          </w:p>
        </w:tc>
        <w:tc>
          <w:tcPr>
            <w:tcW w:w="0" w:type="dxa"/>
            <w:vAlign w:val="bottom"/>
          </w:tcPr>
          <w:p>
            <w:pPr>
              <w:spacing w:after="0"/>
              <w:rPr>
                <w:sz w:val="1"/>
                <w:szCs w:val="1"/>
                <w:color w:val="auto"/>
              </w:rPr>
            </w:pPr>
          </w:p>
        </w:tc>
      </w:tr>
      <w:tr>
        <w:trPr>
          <w:trHeight w:val="196"/>
        </w:trPr>
        <w:tc>
          <w:tcPr>
            <w:tcW w:w="40" w:type="dxa"/>
            <w:vAlign w:val="bottom"/>
            <w:shd w:val="clear" w:color="auto" w:fill="77C483"/>
          </w:tcPr>
          <w:p>
            <w:pPr>
              <w:spacing w:after="0"/>
              <w:rPr>
                <w:sz w:val="17"/>
                <w:szCs w:val="17"/>
                <w:color w:val="auto"/>
              </w:rPr>
            </w:pPr>
          </w:p>
        </w:tc>
        <w:tc>
          <w:tcPr>
            <w:tcW w:w="1440" w:type="dxa"/>
            <w:vAlign w:val="bottom"/>
            <w:shd w:val="clear" w:color="auto" w:fill="77C483"/>
          </w:tcPr>
          <w:p>
            <w:pPr>
              <w:spacing w:after="0"/>
              <w:rPr>
                <w:sz w:val="17"/>
                <w:szCs w:val="17"/>
                <w:color w:val="auto"/>
              </w:rPr>
            </w:pPr>
          </w:p>
        </w:tc>
        <w:tc>
          <w:tcPr>
            <w:tcW w:w="2380" w:type="dxa"/>
            <w:vAlign w:val="bottom"/>
            <w:shd w:val="clear" w:color="auto" w:fill="77C483"/>
          </w:tcPr>
          <w:p>
            <w:pPr>
              <w:ind w:left="40"/>
              <w:spacing w:after="0"/>
              <w:rPr>
                <w:sz w:val="20"/>
                <w:szCs w:val="20"/>
                <w:color w:val="auto"/>
              </w:rPr>
            </w:pPr>
            <w:r>
              <w:rPr>
                <w:rFonts w:ascii="Arial" w:cs="Arial" w:eastAsia="Arial" w:hAnsi="Arial"/>
                <w:sz w:val="17"/>
                <w:szCs w:val="17"/>
                <w:b w:val="1"/>
                <w:bCs w:val="1"/>
                <w:color w:val="003551"/>
              </w:rPr>
              <w:t>be Issued Upon Exercise of</w:t>
            </w:r>
          </w:p>
        </w:tc>
        <w:tc>
          <w:tcPr>
            <w:tcW w:w="1900" w:type="dxa"/>
            <w:vAlign w:val="bottom"/>
            <w:shd w:val="clear" w:color="auto" w:fill="77C483"/>
          </w:tcPr>
          <w:p>
            <w:pPr>
              <w:ind w:left="40"/>
              <w:spacing w:after="0"/>
              <w:rPr>
                <w:sz w:val="20"/>
                <w:szCs w:val="20"/>
                <w:color w:val="auto"/>
              </w:rPr>
            </w:pPr>
            <w:r>
              <w:rPr>
                <w:rFonts w:ascii="Arial" w:cs="Arial" w:eastAsia="Arial" w:hAnsi="Arial"/>
                <w:sz w:val="17"/>
                <w:szCs w:val="17"/>
                <w:b w:val="1"/>
                <w:bCs w:val="1"/>
                <w:color w:val="003551"/>
              </w:rPr>
              <w:t>(b) Weighted-Average</w:t>
            </w:r>
          </w:p>
        </w:tc>
        <w:tc>
          <w:tcPr>
            <w:tcW w:w="60" w:type="dxa"/>
            <w:vAlign w:val="bottom"/>
            <w:shd w:val="clear" w:color="auto" w:fill="77C483"/>
          </w:tcPr>
          <w:p>
            <w:pPr>
              <w:spacing w:after="0"/>
              <w:rPr>
                <w:sz w:val="17"/>
                <w:szCs w:val="17"/>
                <w:color w:val="auto"/>
              </w:rPr>
            </w:pPr>
          </w:p>
        </w:tc>
        <w:tc>
          <w:tcPr>
            <w:tcW w:w="2420" w:type="dxa"/>
            <w:vAlign w:val="bottom"/>
            <w:gridSpan w:val="2"/>
            <w:shd w:val="clear" w:color="auto" w:fill="77C483"/>
          </w:tcPr>
          <w:p>
            <w:pPr>
              <w:spacing w:after="0"/>
              <w:rPr>
                <w:sz w:val="20"/>
                <w:szCs w:val="20"/>
                <w:color w:val="auto"/>
              </w:rPr>
            </w:pPr>
            <w:r>
              <w:rPr>
                <w:rFonts w:ascii="Arial" w:cs="Arial" w:eastAsia="Arial" w:hAnsi="Arial"/>
                <w:sz w:val="17"/>
                <w:szCs w:val="17"/>
                <w:b w:val="1"/>
                <w:bCs w:val="1"/>
                <w:color w:val="003551"/>
              </w:rPr>
              <w:t>Equity Compensation Plans</w:t>
            </w:r>
          </w:p>
        </w:tc>
        <w:tc>
          <w:tcPr>
            <w:tcW w:w="0" w:type="dxa"/>
            <w:vAlign w:val="bottom"/>
          </w:tcPr>
          <w:p>
            <w:pPr>
              <w:spacing w:after="0"/>
              <w:rPr>
                <w:sz w:val="1"/>
                <w:szCs w:val="1"/>
                <w:color w:val="auto"/>
              </w:rPr>
            </w:pPr>
          </w:p>
        </w:tc>
      </w:tr>
      <w:tr>
        <w:trPr>
          <w:trHeight w:val="196"/>
        </w:trPr>
        <w:tc>
          <w:tcPr>
            <w:tcW w:w="40" w:type="dxa"/>
            <w:vAlign w:val="bottom"/>
            <w:shd w:val="clear" w:color="auto" w:fill="77C483"/>
          </w:tcPr>
          <w:p>
            <w:pPr>
              <w:spacing w:after="0"/>
              <w:rPr>
                <w:sz w:val="17"/>
                <w:szCs w:val="17"/>
                <w:color w:val="auto"/>
              </w:rPr>
            </w:pPr>
          </w:p>
        </w:tc>
        <w:tc>
          <w:tcPr>
            <w:tcW w:w="1440" w:type="dxa"/>
            <w:vAlign w:val="bottom"/>
            <w:shd w:val="clear" w:color="auto" w:fill="77C483"/>
          </w:tcPr>
          <w:p>
            <w:pPr>
              <w:spacing w:after="0"/>
              <w:rPr>
                <w:sz w:val="17"/>
                <w:szCs w:val="17"/>
                <w:color w:val="auto"/>
              </w:rPr>
            </w:pPr>
          </w:p>
        </w:tc>
        <w:tc>
          <w:tcPr>
            <w:tcW w:w="2380" w:type="dxa"/>
            <w:vAlign w:val="bottom"/>
            <w:shd w:val="clear" w:color="auto" w:fill="77C483"/>
          </w:tcPr>
          <w:p>
            <w:pPr>
              <w:ind w:left="40"/>
              <w:spacing w:after="0"/>
              <w:rPr>
                <w:sz w:val="20"/>
                <w:szCs w:val="20"/>
                <w:color w:val="auto"/>
              </w:rPr>
            </w:pPr>
            <w:r>
              <w:rPr>
                <w:rFonts w:ascii="Arial" w:cs="Arial" w:eastAsia="Arial" w:hAnsi="Arial"/>
                <w:sz w:val="17"/>
                <w:szCs w:val="17"/>
                <w:b w:val="1"/>
                <w:bCs w:val="1"/>
                <w:color w:val="003551"/>
              </w:rPr>
              <w:t>Outstanding Options and</w:t>
            </w:r>
          </w:p>
        </w:tc>
        <w:tc>
          <w:tcPr>
            <w:tcW w:w="1900" w:type="dxa"/>
            <w:vAlign w:val="bottom"/>
            <w:shd w:val="clear" w:color="auto" w:fill="77C483"/>
          </w:tcPr>
          <w:p>
            <w:pPr>
              <w:ind w:left="40"/>
              <w:spacing w:after="0"/>
              <w:rPr>
                <w:sz w:val="20"/>
                <w:szCs w:val="20"/>
                <w:color w:val="auto"/>
              </w:rPr>
            </w:pPr>
            <w:r>
              <w:rPr>
                <w:rFonts w:ascii="Arial" w:cs="Arial" w:eastAsia="Arial" w:hAnsi="Arial"/>
                <w:sz w:val="17"/>
                <w:szCs w:val="17"/>
                <w:b w:val="1"/>
                <w:bCs w:val="1"/>
                <w:color w:val="003551"/>
              </w:rPr>
              <w:t>Exercise Price of</w:t>
            </w:r>
          </w:p>
        </w:tc>
        <w:tc>
          <w:tcPr>
            <w:tcW w:w="60" w:type="dxa"/>
            <w:vAlign w:val="bottom"/>
            <w:shd w:val="clear" w:color="auto" w:fill="77C483"/>
          </w:tcPr>
          <w:p>
            <w:pPr>
              <w:spacing w:after="0"/>
              <w:rPr>
                <w:sz w:val="17"/>
                <w:szCs w:val="17"/>
                <w:color w:val="auto"/>
              </w:rPr>
            </w:pPr>
          </w:p>
        </w:tc>
        <w:tc>
          <w:tcPr>
            <w:tcW w:w="2420" w:type="dxa"/>
            <w:vAlign w:val="bottom"/>
            <w:gridSpan w:val="2"/>
            <w:shd w:val="clear" w:color="auto" w:fill="77C483"/>
          </w:tcPr>
          <w:p>
            <w:pPr>
              <w:spacing w:after="0"/>
              <w:rPr>
                <w:sz w:val="20"/>
                <w:szCs w:val="20"/>
                <w:color w:val="auto"/>
              </w:rPr>
            </w:pPr>
            <w:r>
              <w:rPr>
                <w:rFonts w:ascii="Arial" w:cs="Arial" w:eastAsia="Arial" w:hAnsi="Arial"/>
                <w:sz w:val="17"/>
                <w:szCs w:val="17"/>
                <w:b w:val="1"/>
                <w:bCs w:val="1"/>
                <w:color w:val="003551"/>
              </w:rPr>
              <w:t>(Excluding Securities</w:t>
            </w:r>
          </w:p>
        </w:tc>
        <w:tc>
          <w:tcPr>
            <w:tcW w:w="0" w:type="dxa"/>
            <w:vAlign w:val="bottom"/>
          </w:tcPr>
          <w:p>
            <w:pPr>
              <w:spacing w:after="0"/>
              <w:rPr>
                <w:sz w:val="1"/>
                <w:szCs w:val="1"/>
                <w:color w:val="auto"/>
              </w:rPr>
            </w:pPr>
          </w:p>
        </w:tc>
      </w:tr>
      <w:tr>
        <w:trPr>
          <w:trHeight w:val="196"/>
        </w:trPr>
        <w:tc>
          <w:tcPr>
            <w:tcW w:w="40" w:type="dxa"/>
            <w:vAlign w:val="bottom"/>
            <w:shd w:val="clear" w:color="auto" w:fill="77C483"/>
          </w:tcPr>
          <w:p>
            <w:pPr>
              <w:spacing w:after="0"/>
              <w:rPr>
                <w:sz w:val="17"/>
                <w:szCs w:val="17"/>
                <w:color w:val="auto"/>
              </w:rPr>
            </w:pPr>
          </w:p>
        </w:tc>
        <w:tc>
          <w:tcPr>
            <w:tcW w:w="1440" w:type="dxa"/>
            <w:vAlign w:val="bottom"/>
            <w:shd w:val="clear" w:color="auto" w:fill="77C483"/>
          </w:tcPr>
          <w:p>
            <w:pPr>
              <w:spacing w:after="0"/>
              <w:rPr>
                <w:sz w:val="17"/>
                <w:szCs w:val="17"/>
                <w:color w:val="auto"/>
              </w:rPr>
            </w:pPr>
          </w:p>
        </w:tc>
        <w:tc>
          <w:tcPr>
            <w:tcW w:w="2380" w:type="dxa"/>
            <w:vAlign w:val="bottom"/>
            <w:shd w:val="clear" w:color="auto" w:fill="77C483"/>
          </w:tcPr>
          <w:p>
            <w:pPr>
              <w:ind w:left="40"/>
              <w:spacing w:after="0"/>
              <w:rPr>
                <w:sz w:val="20"/>
                <w:szCs w:val="20"/>
                <w:color w:val="auto"/>
              </w:rPr>
            </w:pPr>
            <w:r>
              <w:rPr>
                <w:rFonts w:ascii="Arial" w:cs="Arial" w:eastAsia="Arial" w:hAnsi="Arial"/>
                <w:sz w:val="17"/>
                <w:szCs w:val="17"/>
                <w:b w:val="1"/>
                <w:bCs w:val="1"/>
                <w:color w:val="003551"/>
              </w:rPr>
              <w:t>Restricted Stock Units</w:t>
            </w:r>
          </w:p>
        </w:tc>
        <w:tc>
          <w:tcPr>
            <w:tcW w:w="1900" w:type="dxa"/>
            <w:vAlign w:val="bottom"/>
            <w:shd w:val="clear" w:color="auto" w:fill="77C483"/>
          </w:tcPr>
          <w:p>
            <w:pPr>
              <w:ind w:left="40"/>
              <w:spacing w:after="0"/>
              <w:rPr>
                <w:sz w:val="20"/>
                <w:szCs w:val="20"/>
                <w:color w:val="auto"/>
              </w:rPr>
            </w:pPr>
            <w:r>
              <w:rPr>
                <w:rFonts w:ascii="Arial" w:cs="Arial" w:eastAsia="Arial" w:hAnsi="Arial"/>
                <w:sz w:val="17"/>
                <w:szCs w:val="17"/>
                <w:b w:val="1"/>
                <w:bCs w:val="1"/>
                <w:color w:val="003551"/>
              </w:rPr>
              <w:t>Outstanding Options</w:t>
            </w:r>
          </w:p>
        </w:tc>
        <w:tc>
          <w:tcPr>
            <w:tcW w:w="60" w:type="dxa"/>
            <w:vAlign w:val="bottom"/>
            <w:shd w:val="clear" w:color="auto" w:fill="77C483"/>
          </w:tcPr>
          <w:p>
            <w:pPr>
              <w:spacing w:after="0"/>
              <w:rPr>
                <w:sz w:val="17"/>
                <w:szCs w:val="17"/>
                <w:color w:val="auto"/>
              </w:rPr>
            </w:pPr>
          </w:p>
        </w:tc>
        <w:tc>
          <w:tcPr>
            <w:tcW w:w="2420" w:type="dxa"/>
            <w:vAlign w:val="bottom"/>
            <w:gridSpan w:val="2"/>
            <w:shd w:val="clear" w:color="auto" w:fill="77C483"/>
          </w:tcPr>
          <w:p>
            <w:pPr>
              <w:spacing w:after="0"/>
              <w:rPr>
                <w:sz w:val="20"/>
                <w:szCs w:val="20"/>
                <w:color w:val="auto"/>
              </w:rPr>
            </w:pPr>
            <w:r>
              <w:rPr>
                <w:rFonts w:ascii="Arial" w:cs="Arial" w:eastAsia="Arial" w:hAnsi="Arial"/>
                <w:sz w:val="17"/>
                <w:szCs w:val="17"/>
                <w:b w:val="1"/>
                <w:bCs w:val="1"/>
                <w:color w:val="003551"/>
              </w:rPr>
              <w:t>Reflected in Column (a))</w:t>
            </w:r>
          </w:p>
        </w:tc>
        <w:tc>
          <w:tcPr>
            <w:tcW w:w="0" w:type="dxa"/>
            <w:vAlign w:val="bottom"/>
          </w:tcPr>
          <w:p>
            <w:pPr>
              <w:spacing w:after="0"/>
              <w:rPr>
                <w:sz w:val="1"/>
                <w:szCs w:val="1"/>
                <w:color w:val="auto"/>
              </w:rPr>
            </w:pPr>
          </w:p>
        </w:tc>
      </w:tr>
      <w:tr>
        <w:trPr>
          <w:trHeight w:val="273"/>
        </w:trPr>
        <w:tc>
          <w:tcPr>
            <w:tcW w:w="40" w:type="dxa"/>
            <w:vAlign w:val="bottom"/>
            <w:tcBorders>
              <w:bottom w:val="single" w:sz="8" w:color="77C483"/>
            </w:tcBorders>
            <w:shd w:val="clear" w:color="auto" w:fill="77C483"/>
          </w:tcPr>
          <w:p>
            <w:pPr>
              <w:spacing w:after="0"/>
              <w:rPr>
                <w:sz w:val="23"/>
                <w:szCs w:val="23"/>
                <w:color w:val="auto"/>
              </w:rPr>
            </w:pPr>
          </w:p>
        </w:tc>
        <w:tc>
          <w:tcPr>
            <w:tcW w:w="1440" w:type="dxa"/>
            <w:vAlign w:val="bottom"/>
            <w:tcBorders>
              <w:bottom w:val="single" w:sz="8" w:color="77C483"/>
            </w:tcBorders>
            <w:shd w:val="clear" w:color="auto" w:fill="77C483"/>
          </w:tcPr>
          <w:p>
            <w:pPr>
              <w:ind w:left="40"/>
              <w:spacing w:after="0"/>
              <w:rPr>
                <w:sz w:val="20"/>
                <w:szCs w:val="20"/>
                <w:color w:val="auto"/>
              </w:rPr>
            </w:pPr>
            <w:r>
              <w:rPr>
                <w:rFonts w:ascii="Arial" w:cs="Arial" w:eastAsia="Arial" w:hAnsi="Arial"/>
                <w:sz w:val="17"/>
                <w:szCs w:val="17"/>
                <w:b w:val="1"/>
                <w:bCs w:val="1"/>
                <w:color w:val="003551"/>
              </w:rPr>
              <w:t>Plan Category</w:t>
            </w:r>
          </w:p>
        </w:tc>
        <w:tc>
          <w:tcPr>
            <w:tcW w:w="2380" w:type="dxa"/>
            <w:vAlign w:val="bottom"/>
            <w:tcBorders>
              <w:bottom w:val="single" w:sz="8" w:color="77C483"/>
            </w:tcBorders>
            <w:shd w:val="clear" w:color="auto" w:fill="77C483"/>
          </w:tcPr>
          <w:p>
            <w:pPr>
              <w:ind w:left="40"/>
              <w:spacing w:after="0"/>
              <w:rPr>
                <w:sz w:val="20"/>
                <w:szCs w:val="20"/>
                <w:color w:val="auto"/>
              </w:rPr>
            </w:pPr>
            <w:r>
              <w:rPr>
                <w:rFonts w:ascii="Arial" w:cs="Arial" w:eastAsia="Arial" w:hAnsi="Arial"/>
                <w:sz w:val="17"/>
                <w:szCs w:val="17"/>
                <w:b w:val="1"/>
                <w:bCs w:val="1"/>
                <w:color w:val="003551"/>
              </w:rPr>
              <w:t>(#)</w:t>
            </w:r>
          </w:p>
        </w:tc>
        <w:tc>
          <w:tcPr>
            <w:tcW w:w="1900" w:type="dxa"/>
            <w:vAlign w:val="bottom"/>
            <w:tcBorders>
              <w:bottom w:val="single" w:sz="8" w:color="77C483"/>
            </w:tcBorders>
            <w:shd w:val="clear" w:color="auto" w:fill="77C483"/>
          </w:tcPr>
          <w:p>
            <w:pPr>
              <w:ind w:left="40"/>
              <w:spacing w:after="0"/>
              <w:rPr>
                <w:sz w:val="20"/>
                <w:szCs w:val="20"/>
                <w:color w:val="auto"/>
              </w:rPr>
            </w:pPr>
            <w:r>
              <w:rPr>
                <w:rFonts w:ascii="Arial" w:cs="Arial" w:eastAsia="Arial" w:hAnsi="Arial"/>
                <w:sz w:val="17"/>
                <w:szCs w:val="17"/>
                <w:b w:val="1"/>
                <w:bCs w:val="1"/>
                <w:color w:val="003551"/>
              </w:rPr>
              <w:t>($)</w:t>
            </w:r>
          </w:p>
        </w:tc>
        <w:tc>
          <w:tcPr>
            <w:tcW w:w="2480" w:type="dxa"/>
            <w:vAlign w:val="bottom"/>
            <w:tcBorders>
              <w:bottom w:val="single" w:sz="8" w:color="77C483"/>
            </w:tcBorders>
            <w:gridSpan w:val="3"/>
            <w:shd w:val="clear" w:color="auto" w:fill="77C483"/>
          </w:tcPr>
          <w:p>
            <w:pPr>
              <w:ind w:left="60"/>
              <w:spacing w:after="0"/>
              <w:rPr>
                <w:sz w:val="20"/>
                <w:szCs w:val="20"/>
                <w:color w:val="auto"/>
              </w:rPr>
            </w:pPr>
            <w:r>
              <w:rPr>
                <w:rFonts w:ascii="Arial" w:cs="Arial" w:eastAsia="Arial" w:hAnsi="Arial"/>
                <w:sz w:val="17"/>
                <w:szCs w:val="17"/>
                <w:b w:val="1"/>
                <w:bCs w:val="1"/>
                <w:color w:val="003551"/>
              </w:rPr>
              <w:t>(#)</w:t>
            </w:r>
          </w:p>
        </w:tc>
        <w:tc>
          <w:tcPr>
            <w:tcW w:w="0" w:type="dxa"/>
            <w:vAlign w:val="bottom"/>
          </w:tcPr>
          <w:p>
            <w:pPr>
              <w:spacing w:after="0"/>
              <w:rPr>
                <w:sz w:val="1"/>
                <w:szCs w:val="1"/>
                <w:color w:val="auto"/>
              </w:rPr>
            </w:pPr>
          </w:p>
        </w:tc>
      </w:tr>
      <w:tr>
        <w:trPr>
          <w:trHeight w:val="223"/>
        </w:trPr>
        <w:tc>
          <w:tcPr>
            <w:tcW w:w="40" w:type="dxa"/>
            <w:vAlign w:val="bottom"/>
            <w:tcBorders>
              <w:top w:val="single" w:sz="8" w:color="003551"/>
            </w:tcBorders>
          </w:tcPr>
          <w:p>
            <w:pPr>
              <w:spacing w:after="0"/>
              <w:rPr>
                <w:sz w:val="19"/>
                <w:szCs w:val="19"/>
                <w:color w:val="auto"/>
              </w:rPr>
            </w:pPr>
          </w:p>
        </w:tc>
        <w:tc>
          <w:tcPr>
            <w:tcW w:w="1440" w:type="dxa"/>
            <w:vAlign w:val="bottom"/>
            <w:tcBorders>
              <w:top w:val="single" w:sz="8" w:color="003551"/>
            </w:tcBorders>
          </w:tcPr>
          <w:p>
            <w:pPr>
              <w:ind w:left="40"/>
              <w:spacing w:after="0"/>
              <w:rPr>
                <w:sz w:val="20"/>
                <w:szCs w:val="20"/>
                <w:color w:val="auto"/>
              </w:rPr>
            </w:pPr>
            <w:r>
              <w:rPr>
                <w:rFonts w:ascii="Arial" w:cs="Arial" w:eastAsia="Arial" w:hAnsi="Arial"/>
                <w:sz w:val="17"/>
                <w:szCs w:val="17"/>
                <w:b w:val="1"/>
                <w:bCs w:val="1"/>
                <w:color w:val="003551"/>
              </w:rPr>
              <w:t>Equity</w:t>
            </w:r>
          </w:p>
        </w:tc>
        <w:tc>
          <w:tcPr>
            <w:tcW w:w="2380" w:type="dxa"/>
            <w:vAlign w:val="bottom"/>
            <w:tcBorders>
              <w:top w:val="single" w:sz="8" w:color="003551"/>
            </w:tcBorders>
          </w:tcPr>
          <w:p>
            <w:pPr>
              <w:spacing w:after="0"/>
              <w:rPr>
                <w:sz w:val="19"/>
                <w:szCs w:val="19"/>
                <w:color w:val="auto"/>
              </w:rPr>
            </w:pPr>
          </w:p>
        </w:tc>
        <w:tc>
          <w:tcPr>
            <w:tcW w:w="1900" w:type="dxa"/>
            <w:vAlign w:val="bottom"/>
            <w:tcBorders>
              <w:top w:val="single" w:sz="8" w:color="003551"/>
            </w:tcBorders>
          </w:tcPr>
          <w:p>
            <w:pPr>
              <w:spacing w:after="0"/>
              <w:rPr>
                <w:sz w:val="19"/>
                <w:szCs w:val="19"/>
                <w:color w:val="auto"/>
              </w:rPr>
            </w:pPr>
          </w:p>
        </w:tc>
        <w:tc>
          <w:tcPr>
            <w:tcW w:w="60" w:type="dxa"/>
            <w:vAlign w:val="bottom"/>
            <w:tcBorders>
              <w:top w:val="single" w:sz="8" w:color="003551"/>
            </w:tcBorders>
          </w:tcPr>
          <w:p>
            <w:pPr>
              <w:spacing w:after="0"/>
              <w:rPr>
                <w:sz w:val="19"/>
                <w:szCs w:val="19"/>
                <w:color w:val="auto"/>
              </w:rPr>
            </w:pPr>
          </w:p>
        </w:tc>
        <w:tc>
          <w:tcPr>
            <w:tcW w:w="20" w:type="dxa"/>
            <w:vAlign w:val="bottom"/>
            <w:tcBorders>
              <w:top w:val="single" w:sz="8" w:color="003551"/>
            </w:tcBorders>
          </w:tcPr>
          <w:p>
            <w:pPr>
              <w:spacing w:after="0"/>
              <w:rPr>
                <w:sz w:val="19"/>
                <w:szCs w:val="19"/>
                <w:color w:val="auto"/>
              </w:rPr>
            </w:pPr>
          </w:p>
        </w:tc>
        <w:tc>
          <w:tcPr>
            <w:tcW w:w="2400" w:type="dxa"/>
            <w:vAlign w:val="bottom"/>
            <w:tcBorders>
              <w:top w:val="single" w:sz="8" w:color="003551"/>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440" w:type="dxa"/>
            <w:vAlign w:val="bottom"/>
          </w:tcPr>
          <w:p>
            <w:pPr>
              <w:ind w:left="220"/>
              <w:spacing w:after="0"/>
              <w:rPr>
                <w:sz w:val="20"/>
                <w:szCs w:val="20"/>
                <w:color w:val="auto"/>
              </w:rPr>
            </w:pPr>
            <w:r>
              <w:rPr>
                <w:rFonts w:ascii="Arial" w:cs="Arial" w:eastAsia="Arial" w:hAnsi="Arial"/>
                <w:sz w:val="17"/>
                <w:szCs w:val="17"/>
                <w:b w:val="1"/>
                <w:bCs w:val="1"/>
                <w:color w:val="003551"/>
              </w:rPr>
              <w:t>compensation</w:t>
            </w:r>
          </w:p>
        </w:tc>
        <w:tc>
          <w:tcPr>
            <w:tcW w:w="2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440" w:type="dxa"/>
            <w:vAlign w:val="bottom"/>
          </w:tcPr>
          <w:p>
            <w:pPr>
              <w:ind w:left="220"/>
              <w:spacing w:after="0"/>
              <w:rPr>
                <w:sz w:val="20"/>
                <w:szCs w:val="20"/>
                <w:color w:val="auto"/>
              </w:rPr>
            </w:pPr>
            <w:r>
              <w:rPr>
                <w:rFonts w:ascii="Arial" w:cs="Arial" w:eastAsia="Arial" w:hAnsi="Arial"/>
                <w:sz w:val="17"/>
                <w:szCs w:val="17"/>
                <w:b w:val="1"/>
                <w:bCs w:val="1"/>
                <w:color w:val="003551"/>
              </w:rPr>
              <w:t>plans</w:t>
            </w:r>
          </w:p>
        </w:tc>
        <w:tc>
          <w:tcPr>
            <w:tcW w:w="2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440" w:type="dxa"/>
            <w:vAlign w:val="bottom"/>
          </w:tcPr>
          <w:p>
            <w:pPr>
              <w:ind w:left="220"/>
              <w:spacing w:after="0"/>
              <w:rPr>
                <w:sz w:val="20"/>
                <w:szCs w:val="20"/>
                <w:color w:val="auto"/>
              </w:rPr>
            </w:pPr>
            <w:r>
              <w:rPr>
                <w:rFonts w:ascii="Arial" w:cs="Arial" w:eastAsia="Arial" w:hAnsi="Arial"/>
                <w:sz w:val="17"/>
                <w:szCs w:val="17"/>
                <w:b w:val="1"/>
                <w:bCs w:val="1"/>
                <w:color w:val="003551"/>
              </w:rPr>
              <w:t>approved by</w:t>
            </w:r>
          </w:p>
        </w:tc>
        <w:tc>
          <w:tcPr>
            <w:tcW w:w="2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1440" w:type="dxa"/>
            <w:vAlign w:val="bottom"/>
          </w:tcPr>
          <w:p>
            <w:pPr>
              <w:ind w:left="220"/>
              <w:spacing w:after="0"/>
              <w:rPr>
                <w:sz w:val="20"/>
                <w:szCs w:val="20"/>
                <w:color w:val="auto"/>
              </w:rPr>
            </w:pPr>
            <w:r>
              <w:rPr>
                <w:rFonts w:ascii="Arial" w:cs="Arial" w:eastAsia="Arial" w:hAnsi="Arial"/>
                <w:sz w:val="17"/>
                <w:szCs w:val="17"/>
                <w:b w:val="1"/>
                <w:bCs w:val="1"/>
                <w:color w:val="003551"/>
              </w:rPr>
              <w:t>stockholders</w:t>
            </w:r>
          </w:p>
        </w:tc>
        <w:tc>
          <w:tcPr>
            <w:tcW w:w="2380" w:type="dxa"/>
            <w:vAlign w:val="bottom"/>
          </w:tcPr>
          <w:p>
            <w:pPr>
              <w:ind w:left="40"/>
              <w:spacing w:after="0"/>
              <w:rPr>
                <w:sz w:val="20"/>
                <w:szCs w:val="20"/>
                <w:color w:val="auto"/>
              </w:rPr>
            </w:pPr>
            <w:r>
              <w:rPr>
                <w:rFonts w:ascii="Arial" w:cs="Arial" w:eastAsia="Arial" w:hAnsi="Arial"/>
                <w:sz w:val="17"/>
                <w:szCs w:val="17"/>
                <w:color w:val="003551"/>
              </w:rPr>
              <w:t>-</w:t>
            </w:r>
          </w:p>
        </w:tc>
        <w:tc>
          <w:tcPr>
            <w:tcW w:w="1900" w:type="dxa"/>
            <w:vAlign w:val="bottom"/>
          </w:tcPr>
          <w:p>
            <w:pPr>
              <w:ind w:left="40"/>
              <w:spacing w:after="0"/>
              <w:rPr>
                <w:sz w:val="20"/>
                <w:szCs w:val="20"/>
                <w:color w:val="auto"/>
              </w:rPr>
            </w:pPr>
            <w:r>
              <w:rPr>
                <w:rFonts w:ascii="Arial" w:cs="Arial" w:eastAsia="Arial" w:hAnsi="Arial"/>
                <w:sz w:val="17"/>
                <w:szCs w:val="17"/>
                <w:color w:val="003551"/>
              </w:rPr>
              <w:t>-</w:t>
            </w:r>
          </w:p>
        </w:tc>
        <w:tc>
          <w:tcPr>
            <w:tcW w:w="2480" w:type="dxa"/>
            <w:vAlign w:val="bottom"/>
            <w:gridSpan w:val="3"/>
          </w:tcPr>
          <w:p>
            <w:pPr>
              <w:ind w:left="60"/>
              <w:spacing w:after="0"/>
              <w:rPr>
                <w:sz w:val="20"/>
                <w:szCs w:val="20"/>
                <w:color w:val="auto"/>
              </w:rPr>
            </w:pPr>
            <w:r>
              <w:rPr>
                <w:rFonts w:ascii="Arial" w:cs="Arial" w:eastAsia="Arial" w:hAnsi="Arial"/>
                <w:sz w:val="17"/>
                <w:szCs w:val="17"/>
                <w:color w:val="003551"/>
              </w:rPr>
              <w:t>-</w:t>
            </w: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1440" w:type="dxa"/>
            <w:vAlign w:val="bottom"/>
            <w:vMerge w:val="restart"/>
          </w:tcPr>
          <w:p>
            <w:pPr>
              <w:ind w:left="40"/>
              <w:spacing w:after="0"/>
              <w:rPr>
                <w:sz w:val="20"/>
                <w:szCs w:val="20"/>
                <w:color w:val="auto"/>
              </w:rPr>
            </w:pPr>
            <w:r>
              <w:rPr>
                <w:rFonts w:ascii="Arial" w:cs="Arial" w:eastAsia="Arial" w:hAnsi="Arial"/>
                <w:sz w:val="17"/>
                <w:szCs w:val="17"/>
                <w:b w:val="1"/>
                <w:bCs w:val="1"/>
                <w:color w:val="003551"/>
              </w:rPr>
              <w:t>Equity</w:t>
            </w:r>
          </w:p>
        </w:tc>
        <w:tc>
          <w:tcPr>
            <w:tcW w:w="2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0" w:type="dxa"/>
            <w:vAlign w:val="bottom"/>
            <w:tcBorders>
              <w:bottom w:val="single" w:sz="8" w:color="77C483"/>
            </w:tcBorders>
          </w:tcPr>
          <w:p>
            <w:pPr>
              <w:spacing w:after="0"/>
              <w:rPr>
                <w:sz w:val="2"/>
                <w:szCs w:val="2"/>
                <w:color w:val="auto"/>
              </w:rPr>
            </w:pPr>
          </w:p>
        </w:tc>
        <w:tc>
          <w:tcPr>
            <w:tcW w:w="20" w:type="dxa"/>
            <w:vAlign w:val="bottom"/>
            <w:tcBorders>
              <w:bottom w:val="single" w:sz="8" w:color="77C483"/>
            </w:tcBorders>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23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440" w:type="dxa"/>
            <w:vAlign w:val="bottom"/>
          </w:tcPr>
          <w:p>
            <w:pPr>
              <w:ind w:left="220"/>
              <w:spacing w:after="0"/>
              <w:rPr>
                <w:sz w:val="20"/>
                <w:szCs w:val="20"/>
                <w:color w:val="auto"/>
              </w:rPr>
            </w:pPr>
            <w:r>
              <w:rPr>
                <w:rFonts w:ascii="Arial" w:cs="Arial" w:eastAsia="Arial" w:hAnsi="Arial"/>
                <w:sz w:val="17"/>
                <w:szCs w:val="17"/>
                <w:b w:val="1"/>
                <w:bCs w:val="1"/>
                <w:color w:val="003551"/>
              </w:rPr>
              <w:t>compensation</w:t>
            </w:r>
          </w:p>
        </w:tc>
        <w:tc>
          <w:tcPr>
            <w:tcW w:w="2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440" w:type="dxa"/>
            <w:vAlign w:val="bottom"/>
          </w:tcPr>
          <w:p>
            <w:pPr>
              <w:ind w:left="220"/>
              <w:spacing w:after="0"/>
              <w:rPr>
                <w:sz w:val="20"/>
                <w:szCs w:val="20"/>
                <w:color w:val="auto"/>
              </w:rPr>
            </w:pPr>
            <w:r>
              <w:rPr>
                <w:rFonts w:ascii="Arial" w:cs="Arial" w:eastAsia="Arial" w:hAnsi="Arial"/>
                <w:sz w:val="17"/>
                <w:szCs w:val="17"/>
                <w:b w:val="1"/>
                <w:bCs w:val="1"/>
                <w:color w:val="003551"/>
              </w:rPr>
              <w:t>plans not</w:t>
            </w:r>
          </w:p>
        </w:tc>
        <w:tc>
          <w:tcPr>
            <w:tcW w:w="2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440" w:type="dxa"/>
            <w:vAlign w:val="bottom"/>
          </w:tcPr>
          <w:p>
            <w:pPr>
              <w:ind w:left="220"/>
              <w:spacing w:after="0"/>
              <w:rPr>
                <w:sz w:val="20"/>
                <w:szCs w:val="20"/>
                <w:color w:val="auto"/>
              </w:rPr>
            </w:pPr>
            <w:r>
              <w:rPr>
                <w:rFonts w:ascii="Arial" w:cs="Arial" w:eastAsia="Arial" w:hAnsi="Arial"/>
                <w:sz w:val="17"/>
                <w:szCs w:val="17"/>
                <w:b w:val="1"/>
                <w:bCs w:val="1"/>
                <w:color w:val="003551"/>
              </w:rPr>
              <w:t>approved by</w:t>
            </w:r>
          </w:p>
        </w:tc>
        <w:tc>
          <w:tcPr>
            <w:tcW w:w="2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1440" w:type="dxa"/>
            <w:vAlign w:val="bottom"/>
          </w:tcPr>
          <w:p>
            <w:pPr>
              <w:ind w:left="220"/>
              <w:spacing w:after="0"/>
              <w:rPr>
                <w:sz w:val="20"/>
                <w:szCs w:val="20"/>
                <w:color w:val="auto"/>
              </w:rPr>
            </w:pPr>
            <w:r>
              <w:rPr>
                <w:rFonts w:ascii="Arial" w:cs="Arial" w:eastAsia="Arial" w:hAnsi="Arial"/>
                <w:sz w:val="17"/>
                <w:szCs w:val="17"/>
                <w:b w:val="1"/>
                <w:bCs w:val="1"/>
                <w:color w:val="003551"/>
              </w:rPr>
              <w:t>stockholders</w:t>
            </w:r>
          </w:p>
        </w:tc>
        <w:tc>
          <w:tcPr>
            <w:tcW w:w="2380" w:type="dxa"/>
            <w:vAlign w:val="bottom"/>
          </w:tcPr>
          <w:p>
            <w:pPr>
              <w:ind w:left="40"/>
              <w:spacing w:after="0"/>
              <w:rPr>
                <w:sz w:val="20"/>
                <w:szCs w:val="20"/>
                <w:color w:val="auto"/>
              </w:rPr>
            </w:pPr>
            <w:r>
              <w:rPr>
                <w:rFonts w:ascii="Arial" w:cs="Arial" w:eastAsia="Arial" w:hAnsi="Arial"/>
                <w:sz w:val="17"/>
                <w:szCs w:val="17"/>
                <w:b w:val="1"/>
                <w:bCs w:val="1"/>
                <w:color w:val="003551"/>
              </w:rPr>
              <w:t>​</w:t>
            </w:r>
            <w:r>
              <w:rPr>
                <w:rFonts w:ascii="Arial" w:cs="Arial" w:eastAsia="Arial" w:hAnsi="Arial"/>
                <w:sz w:val="17"/>
                <w:szCs w:val="17"/>
                <w:color w:val="003551"/>
              </w:rPr>
              <w:t>29,604,388</w:t>
            </w:r>
          </w:p>
        </w:tc>
        <w:tc>
          <w:tcPr>
            <w:tcW w:w="1900" w:type="dxa"/>
            <w:vAlign w:val="bottom"/>
          </w:tcPr>
          <w:p>
            <w:pPr>
              <w:ind w:left="40"/>
              <w:spacing w:after="0"/>
              <w:rPr>
                <w:sz w:val="20"/>
                <w:szCs w:val="20"/>
                <w:color w:val="auto"/>
              </w:rPr>
            </w:pPr>
            <w:r>
              <w:rPr>
                <w:rFonts w:ascii="Arial" w:cs="Arial" w:eastAsia="Arial" w:hAnsi="Arial"/>
                <w:sz w:val="17"/>
                <w:szCs w:val="17"/>
                <w:color w:val="003551"/>
              </w:rPr>
              <w:t>​$47.07</w:t>
            </w:r>
          </w:p>
        </w:tc>
        <w:tc>
          <w:tcPr>
            <w:tcW w:w="60" w:type="dxa"/>
            <w:vAlign w:val="bottom"/>
          </w:tcPr>
          <w:p>
            <w:pPr>
              <w:spacing w:after="0"/>
              <w:rPr>
                <w:sz w:val="20"/>
                <w:szCs w:val="20"/>
                <w:color w:val="auto"/>
              </w:rPr>
            </w:pPr>
          </w:p>
        </w:tc>
        <w:tc>
          <w:tcPr>
            <w:tcW w:w="2420" w:type="dxa"/>
            <w:vAlign w:val="bottom"/>
            <w:gridSpan w:val="2"/>
          </w:tcPr>
          <w:p>
            <w:pPr>
              <w:spacing w:after="0"/>
              <w:rPr>
                <w:sz w:val="20"/>
                <w:szCs w:val="20"/>
                <w:color w:val="auto"/>
              </w:rPr>
            </w:pPr>
            <w:r>
              <w:rPr>
                <w:rFonts w:ascii="Arial" w:cs="Arial" w:eastAsia="Arial" w:hAnsi="Arial"/>
                <w:sz w:val="17"/>
                <w:szCs w:val="17"/>
                <w:color w:val="003551"/>
              </w:rPr>
              <w:t>9,870,552​</w:t>
            </w: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1440" w:type="dxa"/>
            <w:vAlign w:val="bottom"/>
            <w:vMerge w:val="restart"/>
          </w:tcPr>
          <w:p>
            <w:pPr>
              <w:ind w:left="40"/>
              <w:spacing w:after="0"/>
              <w:rPr>
                <w:sz w:val="20"/>
                <w:szCs w:val="20"/>
                <w:color w:val="auto"/>
              </w:rPr>
            </w:pPr>
            <w:r>
              <w:rPr>
                <w:rFonts w:ascii="Arial" w:cs="Arial" w:eastAsia="Arial" w:hAnsi="Arial"/>
                <w:sz w:val="17"/>
                <w:szCs w:val="17"/>
                <w:b w:val="1"/>
                <w:bCs w:val="1"/>
                <w:color w:val="003551"/>
              </w:rPr>
              <w:t>Total</w:t>
            </w:r>
          </w:p>
        </w:tc>
        <w:tc>
          <w:tcPr>
            <w:tcW w:w="2380" w:type="dxa"/>
            <w:vAlign w:val="bottom"/>
            <w:vMerge w:val="restart"/>
          </w:tcPr>
          <w:p>
            <w:pPr>
              <w:ind w:left="40"/>
              <w:spacing w:after="0"/>
              <w:rPr>
                <w:sz w:val="20"/>
                <w:szCs w:val="20"/>
                <w:color w:val="auto"/>
              </w:rPr>
            </w:pPr>
            <w:r>
              <w:rPr>
                <w:rFonts w:ascii="Arial" w:cs="Arial" w:eastAsia="Arial" w:hAnsi="Arial"/>
                <w:sz w:val="17"/>
                <w:szCs w:val="17"/>
                <w:b w:val="1"/>
                <w:bCs w:val="1"/>
                <w:color w:val="003551"/>
              </w:rPr>
              <w:t>​</w:t>
            </w:r>
            <w:r>
              <w:rPr>
                <w:rFonts w:ascii="Arial" w:cs="Arial" w:eastAsia="Arial" w:hAnsi="Arial"/>
                <w:sz w:val="17"/>
                <w:szCs w:val="17"/>
                <w:color w:val="003551"/>
              </w:rPr>
              <w:t>29,604,388</w:t>
            </w:r>
          </w:p>
        </w:tc>
        <w:tc>
          <w:tcPr>
            <w:tcW w:w="1900" w:type="dxa"/>
            <w:vAlign w:val="bottom"/>
            <w:vMerge w:val="restart"/>
          </w:tcPr>
          <w:p>
            <w:pPr>
              <w:ind w:left="40"/>
              <w:spacing w:after="0"/>
              <w:rPr>
                <w:sz w:val="20"/>
                <w:szCs w:val="20"/>
                <w:color w:val="auto"/>
              </w:rPr>
            </w:pPr>
            <w:r>
              <w:rPr>
                <w:rFonts w:ascii="Arial" w:cs="Arial" w:eastAsia="Arial" w:hAnsi="Arial"/>
                <w:sz w:val="17"/>
                <w:szCs w:val="17"/>
                <w:color w:val="003551"/>
              </w:rPr>
              <w:t>$​47.07</w:t>
            </w:r>
          </w:p>
        </w:tc>
        <w:tc>
          <w:tcPr>
            <w:tcW w:w="60" w:type="dxa"/>
            <w:vAlign w:val="bottom"/>
            <w:tcBorders>
              <w:bottom w:val="single" w:sz="8" w:color="77C483"/>
            </w:tcBorders>
          </w:tcPr>
          <w:p>
            <w:pPr>
              <w:spacing w:after="0"/>
              <w:rPr>
                <w:sz w:val="2"/>
                <w:szCs w:val="2"/>
                <w:color w:val="auto"/>
              </w:rPr>
            </w:pPr>
          </w:p>
        </w:tc>
        <w:tc>
          <w:tcPr>
            <w:tcW w:w="2420" w:type="dxa"/>
            <w:vAlign w:val="bottom"/>
            <w:gridSpan w:val="2"/>
            <w:vMerge w:val="restart"/>
          </w:tcPr>
          <w:p>
            <w:pPr>
              <w:spacing w:after="0"/>
              <w:rPr>
                <w:sz w:val="20"/>
                <w:szCs w:val="20"/>
                <w:color w:val="auto"/>
              </w:rPr>
            </w:pPr>
            <w:r>
              <w:rPr>
                <w:rFonts w:ascii="Arial" w:cs="Arial" w:eastAsia="Arial" w:hAnsi="Arial"/>
                <w:sz w:val="17"/>
                <w:szCs w:val="17"/>
                <w:color w:val="003551"/>
              </w:rPr>
              <w:t>9,870,552​</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440" w:type="dxa"/>
            <w:vAlign w:val="bottom"/>
            <w:vMerge w:val="continue"/>
          </w:tcPr>
          <w:p>
            <w:pPr>
              <w:spacing w:after="0"/>
              <w:rPr>
                <w:sz w:val="23"/>
                <w:szCs w:val="23"/>
                <w:color w:val="auto"/>
              </w:rPr>
            </w:pPr>
          </w:p>
        </w:tc>
        <w:tc>
          <w:tcPr>
            <w:tcW w:w="2380" w:type="dxa"/>
            <w:vAlign w:val="bottom"/>
            <w:vMerge w:val="continue"/>
          </w:tcPr>
          <w:p>
            <w:pPr>
              <w:spacing w:after="0"/>
              <w:rPr>
                <w:sz w:val="23"/>
                <w:szCs w:val="23"/>
                <w:color w:val="auto"/>
              </w:rPr>
            </w:pPr>
          </w:p>
        </w:tc>
        <w:tc>
          <w:tcPr>
            <w:tcW w:w="190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42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-880110</wp:posOffset>
            </wp:positionV>
            <wp:extent cx="522351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223510"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-181610</wp:posOffset>
            </wp:positionV>
            <wp:extent cx="522351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223510" cy="8255"/>
                    </a:xfrm>
                    <a:prstGeom prst="rect">
                      <a:avLst/>
                    </a:prstGeom>
                    <a:noFill/>
                  </pic:spPr>
                </pic:pic>
              </a:graphicData>
            </a:graphic>
          </wp:anchor>
        </w:drawing>
      </w:r>
    </w:p>
    <w:p>
      <w:pPr>
        <w:spacing w:after="0" w:line="269"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Resolution</w:t>
      </w:r>
    </w:p>
    <w:p>
      <w:pPr>
        <w:spacing w:after="0" w:line="45"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To consider and, if thought fit, to pass the following resolution as an ordinary resolution:</w:t>
      </w:r>
    </w:p>
    <w:p>
      <w:pPr>
        <w:spacing w:after="0" w:line="98" w:lineRule="exact"/>
        <w:rPr>
          <w:sz w:val="20"/>
          <w:szCs w:val="20"/>
          <w:color w:val="auto"/>
        </w:rPr>
      </w:pPr>
    </w:p>
    <w:p>
      <w:pPr>
        <w:ind w:left="940" w:right="1220"/>
        <w:spacing w:after="0" w:line="286" w:lineRule="auto"/>
        <w:rPr>
          <w:sz w:val="20"/>
          <w:szCs w:val="20"/>
          <w:color w:val="auto"/>
        </w:rPr>
      </w:pPr>
      <w:r>
        <w:rPr>
          <w:rFonts w:ascii="Arial" w:cs="Arial" w:eastAsia="Arial" w:hAnsi="Arial"/>
          <w:sz w:val="17"/>
          <w:szCs w:val="17"/>
          <w:b w:val="1"/>
          <w:bCs w:val="1"/>
          <w:color w:val="003551"/>
        </w:rPr>
        <w:t xml:space="preserve">RESOLVED, </w:t>
      </w:r>
      <w:r>
        <w:rPr>
          <w:rFonts w:ascii="Arial" w:cs="Arial" w:eastAsia="Arial" w:hAnsi="Arial"/>
          <w:sz w:val="17"/>
          <w:szCs w:val="17"/>
          <w:color w:val="003551"/>
        </w:rPr>
        <w:t>that, approval is given for IREN to adopt the Omnibus Incentive Plan, on the terms and</w:t>
      </w:r>
      <w:r>
        <w:rPr>
          <w:rFonts w:ascii="Arial" w:cs="Arial" w:eastAsia="Arial" w:hAnsi="Arial"/>
          <w:sz w:val="17"/>
          <w:szCs w:val="17"/>
          <w:b w:val="1"/>
          <w:bCs w:val="1"/>
          <w:color w:val="003551"/>
        </w:rPr>
        <w:t xml:space="preserve"> </w:t>
      </w:r>
      <w:r>
        <w:rPr>
          <w:rFonts w:ascii="Arial" w:cs="Arial" w:eastAsia="Arial" w:hAnsi="Arial"/>
          <w:sz w:val="17"/>
          <w:szCs w:val="17"/>
          <w:color w:val="003551"/>
        </w:rPr>
        <w:t>conditions set out in this Proxy Statement.</w:t>
      </w:r>
    </w:p>
    <w:p>
      <w:pPr>
        <w:spacing w:after="0" w:line="16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Vote Required</w:t>
      </w:r>
    </w:p>
    <w:p>
      <w:pPr>
        <w:spacing w:after="0" w:line="45"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The affirmative vote of a majority of votes cast will be required to approve Proposal 6.</w:t>
      </w:r>
    </w:p>
    <w:p>
      <w:pPr>
        <w:spacing w:after="0" w:line="100" w:lineRule="exact"/>
        <w:rPr>
          <w:sz w:val="20"/>
          <w:szCs w:val="20"/>
          <w:color w:val="auto"/>
        </w:rPr>
      </w:pPr>
    </w:p>
    <w:p>
      <w:pPr>
        <w:ind w:left="940" w:right="800"/>
        <w:spacing w:after="0" w:line="249" w:lineRule="auto"/>
        <w:rPr>
          <w:sz w:val="20"/>
          <w:szCs w:val="20"/>
          <w:color w:val="auto"/>
        </w:rPr>
      </w:pPr>
      <w:r>
        <w:rPr>
          <w:rFonts w:ascii="Arial" w:cs="Arial" w:eastAsia="Arial" w:hAnsi="Arial"/>
          <w:sz w:val="17"/>
          <w:szCs w:val="17"/>
          <w:color w:val="003551"/>
        </w:rPr>
        <w:t>Proposal 6 is a “non-routine” matter on which a broker, bank or other nominee is not entitled to vote shares held on behalf of a beneficial owner without receiving voting instructions from the beneficial owner. Consequently, if you hold your shares in street name (such as through a brokerage account) and you do not instruct your broker, bank or other nominee on how to vote on this Proposal 6, a “broker non-vote” will occur with respect to Proposal 6. Abstentions, if any, and broker non-votes with respect to Proposal 6 are not treated as votes cast and will not be counted in determining the outcome of Proposal 6.</w:t>
      </w:r>
    </w:p>
    <w:p>
      <w:pPr>
        <w:spacing w:after="0" w:line="67" w:lineRule="exact"/>
        <w:rPr>
          <w:sz w:val="20"/>
          <w:szCs w:val="20"/>
          <w:color w:val="auto"/>
        </w:rPr>
      </w:pPr>
    </w:p>
    <w:p>
      <w:pPr>
        <w:ind w:left="940" w:right="880"/>
        <w:spacing w:after="0" w:line="251" w:lineRule="auto"/>
        <w:rPr>
          <w:sz w:val="20"/>
          <w:szCs w:val="20"/>
          <w:color w:val="auto"/>
        </w:rPr>
      </w:pPr>
      <w:r>
        <w:rPr>
          <w:rFonts w:ascii="Arial" w:cs="Arial" w:eastAsia="Arial" w:hAnsi="Arial"/>
          <w:sz w:val="17"/>
          <w:szCs w:val="17"/>
          <w:color w:val="003551"/>
        </w:rPr>
        <w:t>As Proposal 6 is connected directly or indirectly with the remuneration of members of IREN's key management personnel, Australian law imposes additional restrictions on proxy voting by IREN’s key management personnel or their closely related parties if the proxy appointment does not specify the way the proxy is to vote this resolution. See “What are the Board’s recommendations on how to vote my shares?” in the section “General Information about the Annual General Meeting” below for further details.</w:t>
      </w:r>
    </w:p>
    <w:p>
      <w:pPr>
        <w:spacing w:after="0" w:line="63" w:lineRule="exact"/>
        <w:rPr>
          <w:sz w:val="20"/>
          <w:szCs w:val="20"/>
          <w:color w:val="auto"/>
        </w:rPr>
      </w:pPr>
    </w:p>
    <w:p>
      <w:pPr>
        <w:ind w:left="940" w:right="880"/>
        <w:spacing w:after="0" w:line="295" w:lineRule="auto"/>
        <w:rPr>
          <w:sz w:val="20"/>
          <w:szCs w:val="20"/>
          <w:color w:val="auto"/>
        </w:rPr>
      </w:pPr>
      <w:r>
        <w:rPr>
          <w:rFonts w:ascii="Arial" w:cs="Arial" w:eastAsia="Arial" w:hAnsi="Arial"/>
          <w:sz w:val="17"/>
          <w:szCs w:val="17"/>
          <w:b w:val="1"/>
          <w:bCs w:val="1"/>
          <w:color w:val="003551"/>
        </w:rPr>
        <w:t>The Board unanimously recommends a vote FOR the approval of the IREN Limited 2025 Omnibus Incentive Plan for employees and directors described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89535</wp:posOffset>
            </wp:positionV>
            <wp:extent cx="540385" cy="63182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228600</wp:posOffset>
            </wp:positionV>
            <wp:extent cx="6786880" cy="1651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6" w:right="12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940" w:right="1620"/>
        <w:spacing w:after="0" w:line="299" w:lineRule="auto"/>
        <w:rPr>
          <w:sz w:val="20"/>
          <w:szCs w:val="20"/>
          <w:color w:val="auto"/>
        </w:rPr>
      </w:pPr>
      <w:r>
        <w:rPr>
          <w:rFonts w:ascii="Arial" w:cs="Arial" w:eastAsia="Arial" w:hAnsi="Arial"/>
          <w:sz w:val="27"/>
          <w:szCs w:val="27"/>
          <w:color w:val="003551"/>
        </w:rPr>
        <w:t>Proposal 7: Approve the repurchase by IREN of its ordinary shares pursuant to the Prepaid Forward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-62865</wp:posOffset>
            </wp:positionV>
            <wp:extent cx="522351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223510" cy="8255"/>
                    </a:xfrm>
                    <a:prstGeom prst="rect">
                      <a:avLst/>
                    </a:prstGeom>
                    <a:noFill/>
                  </pic:spPr>
                </pic:pic>
              </a:graphicData>
            </a:graphic>
          </wp:anchor>
        </w:drawing>
      </w:r>
    </w:p>
    <w:p>
      <w:pPr>
        <w:spacing w:after="0" w:line="76"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Proposal</w:t>
      </w:r>
    </w:p>
    <w:p>
      <w:pPr>
        <w:spacing w:after="0" w:line="15" w:lineRule="exact"/>
        <w:rPr>
          <w:sz w:val="20"/>
          <w:szCs w:val="20"/>
          <w:color w:val="auto"/>
        </w:rPr>
      </w:pPr>
    </w:p>
    <w:p>
      <w:pPr>
        <w:jc w:val="both"/>
        <w:ind w:left="940" w:right="740"/>
        <w:spacing w:after="0" w:line="252" w:lineRule="auto"/>
        <w:rPr>
          <w:sz w:val="20"/>
          <w:szCs w:val="20"/>
          <w:color w:val="auto"/>
        </w:rPr>
      </w:pPr>
      <w:r>
        <w:rPr>
          <w:rFonts w:ascii="Arial" w:cs="Arial" w:eastAsia="Arial" w:hAnsi="Arial"/>
          <w:sz w:val="17"/>
          <w:szCs w:val="17"/>
          <w:color w:val="003551"/>
        </w:rPr>
        <w:t>We are asking our shareholders to approve the repurchase by IREN of its ordinary shares pursuant to the Prepaid Forward Transactions, which was approved by the Board on December 3, 2024 and June 9, 2025, subject to approval by our shareholders.</w:t>
      </w:r>
    </w:p>
    <w:p>
      <w:pPr>
        <w:spacing w:after="0" w:line="62" w:lineRule="exact"/>
        <w:rPr>
          <w:sz w:val="20"/>
          <w:szCs w:val="20"/>
          <w:color w:val="auto"/>
        </w:rPr>
      </w:pPr>
    </w:p>
    <w:p>
      <w:pPr>
        <w:ind w:left="940" w:right="920"/>
        <w:spacing w:after="0" w:line="248" w:lineRule="auto"/>
        <w:rPr>
          <w:sz w:val="20"/>
          <w:szCs w:val="20"/>
          <w:color w:val="auto"/>
        </w:rPr>
      </w:pPr>
      <w:r>
        <w:rPr>
          <w:rFonts w:ascii="Arial" w:cs="Arial" w:eastAsia="Arial" w:hAnsi="Arial"/>
          <w:sz w:val="17"/>
          <w:szCs w:val="17"/>
          <w:color w:val="003551"/>
        </w:rPr>
        <w:t>Under Australian law (unlike in Delaware), a company must not acquire shares in itself without satisfying an exception. One exception is achieved by obtaining shareholder approval. IREN may elect to acquire shares in itself from the counterparty to the Prepaid Forward Transaction, if it can obtain shareholder approval to do so. Otherwise, those transactions are to be settled in cash. This proposal would provide that shareholder approval. The Board believes this proposal to be in the best interests of IREN and its shareholders because it provides flexibility for either share settlement or cash settlement of the Prepaid Forward Transactions, which is beneficial for the reasons set out below.</w:t>
      </w:r>
    </w:p>
    <w:p>
      <w:pPr>
        <w:spacing w:after="0" w:line="213"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Background</w:t>
      </w:r>
    </w:p>
    <w:p>
      <w:pPr>
        <w:spacing w:after="0" w:line="15" w:lineRule="exact"/>
        <w:rPr>
          <w:sz w:val="20"/>
          <w:szCs w:val="20"/>
          <w:color w:val="auto"/>
        </w:rPr>
      </w:pPr>
    </w:p>
    <w:p>
      <w:pPr>
        <w:ind w:left="940" w:right="800"/>
        <w:spacing w:after="0" w:line="243" w:lineRule="auto"/>
        <w:rPr>
          <w:sz w:val="20"/>
          <w:szCs w:val="20"/>
          <w:color w:val="auto"/>
        </w:rPr>
      </w:pPr>
      <w:r>
        <w:rPr>
          <w:rFonts w:ascii="Arial" w:cs="Arial" w:eastAsia="Arial" w:hAnsi="Arial"/>
          <w:sz w:val="17"/>
          <w:szCs w:val="17"/>
          <w:color w:val="003551"/>
        </w:rPr>
        <w:t>In connection with IREN’s issuance of its 3.25% convertible senior notes due 2030 and its 3.50% convertible senior notes due 2029, IREN entered into certain prepaid forward transactions (the “</w:t>
      </w:r>
      <w:r>
        <w:rPr>
          <w:rFonts w:ascii="Arial" w:cs="Arial" w:eastAsia="Arial" w:hAnsi="Arial"/>
          <w:sz w:val="17"/>
          <w:szCs w:val="17"/>
          <w:b w:val="1"/>
          <w:bCs w:val="1"/>
          <w:color w:val="003551"/>
        </w:rPr>
        <w:t>Prepaid</w:t>
      </w:r>
      <w:r>
        <w:rPr>
          <w:rFonts w:ascii="Arial" w:cs="Arial" w:eastAsia="Arial" w:hAnsi="Arial"/>
          <w:sz w:val="17"/>
          <w:szCs w:val="17"/>
          <w:color w:val="003551"/>
        </w:rPr>
        <w:t xml:space="preserve"> </w:t>
      </w:r>
      <w:r>
        <w:rPr>
          <w:rFonts w:ascii="Arial" w:cs="Arial" w:eastAsia="Arial" w:hAnsi="Arial"/>
          <w:sz w:val="17"/>
          <w:szCs w:val="17"/>
          <w:b w:val="1"/>
          <w:bCs w:val="1"/>
          <w:color w:val="003551"/>
        </w:rPr>
        <w:t>Forward Transactions</w:t>
      </w:r>
      <w:r>
        <w:rPr>
          <w:rFonts w:ascii="Arial" w:cs="Arial" w:eastAsia="Arial" w:hAnsi="Arial"/>
          <w:sz w:val="17"/>
          <w:szCs w:val="17"/>
          <w:color w:val="003551"/>
        </w:rPr>
        <w:t>”) with Citibank, N.A. (“</w:t>
      </w:r>
      <w:r>
        <w:rPr>
          <w:rFonts w:ascii="Arial" w:cs="Arial" w:eastAsia="Arial" w:hAnsi="Arial"/>
          <w:sz w:val="17"/>
          <w:szCs w:val="17"/>
          <w:b w:val="1"/>
          <w:bCs w:val="1"/>
          <w:color w:val="003551"/>
        </w:rPr>
        <w:t>Citi</w:t>
      </w:r>
      <w:r>
        <w:rPr>
          <w:rFonts w:ascii="Arial" w:cs="Arial" w:eastAsia="Arial" w:hAnsi="Arial"/>
          <w:sz w:val="17"/>
          <w:szCs w:val="17"/>
          <w:color w:val="003551"/>
        </w:rPr>
        <w:t>”) on December 3, 2024 and June 10, 2025,</w:t>
      </w:r>
      <w:r>
        <w:rPr>
          <w:rFonts w:ascii="Arial" w:cs="Arial" w:eastAsia="Arial" w:hAnsi="Arial"/>
          <w:sz w:val="17"/>
          <w:szCs w:val="17"/>
          <w:b w:val="1"/>
          <w:bCs w:val="1"/>
          <w:color w:val="003551"/>
        </w:rPr>
        <w:t xml:space="preserve"> </w:t>
      </w:r>
      <w:r>
        <w:rPr>
          <w:rFonts w:ascii="Arial" w:cs="Arial" w:eastAsia="Arial" w:hAnsi="Arial"/>
          <w:sz w:val="17"/>
          <w:szCs w:val="17"/>
          <w:color w:val="003551"/>
        </w:rPr>
        <w:t>respectively. The Prepaid Forward Transactions are governed by separate confirmations entered into with Citi (each, a “</w:t>
      </w:r>
      <w:r>
        <w:rPr>
          <w:rFonts w:ascii="Arial" w:cs="Arial" w:eastAsia="Arial" w:hAnsi="Arial"/>
          <w:sz w:val="17"/>
          <w:szCs w:val="17"/>
          <w:b w:val="1"/>
          <w:bCs w:val="1"/>
          <w:color w:val="003551"/>
        </w:rPr>
        <w:t>Forward Confirmation</w:t>
      </w:r>
      <w:r>
        <w:rPr>
          <w:rFonts w:ascii="Arial" w:cs="Arial" w:eastAsia="Arial" w:hAnsi="Arial"/>
          <w:sz w:val="17"/>
          <w:szCs w:val="17"/>
          <w:color w:val="003551"/>
        </w:rPr>
        <w:t>”) and relate to 5,701,203 and 8,817,900 of IREN’s ordinary shares, respectively (representing, in the aggregate, 5.3% of IREN’s 271,980,494 ordinary shares on issue as of August 31, 2025). The Prepaid Forward Transactions were intended to facilitate privately negotiated derivative transactions, including swaps, between Citi or its affiliates and investors in IREN’s relevant convertible notes transactions, by which investors were able to establish short positions relating to IREN’s ordinary shares and otherwise hedge their investments in the convertible notes.</w:t>
      </w:r>
    </w:p>
    <w:p>
      <w:pPr>
        <w:spacing w:after="0" w:line="74" w:lineRule="exact"/>
        <w:rPr>
          <w:sz w:val="20"/>
          <w:szCs w:val="20"/>
          <w:color w:val="auto"/>
        </w:rPr>
      </w:pPr>
    </w:p>
    <w:p>
      <w:pPr>
        <w:ind w:left="940" w:right="740"/>
        <w:spacing w:after="0" w:line="247" w:lineRule="auto"/>
        <w:rPr>
          <w:sz w:val="20"/>
          <w:szCs w:val="20"/>
          <w:color w:val="auto"/>
        </w:rPr>
      </w:pPr>
      <w:r>
        <w:rPr>
          <w:rFonts w:ascii="Arial" w:cs="Arial" w:eastAsia="Arial" w:hAnsi="Arial"/>
          <w:sz w:val="17"/>
          <w:szCs w:val="17"/>
          <w:color w:val="003551"/>
        </w:rPr>
        <w:t>Pursuant to the terms of each Forward Confirmation, IREN will purchase the relevant number of shares to which such Forward Confirmation relates, for settlement on a specified date in 2029 and 2030 (subject to earlier settlement in certain circumstances, in whole or in part at Citi’s election). IREN prepaid in full the purchase price for the ordinary shares to which each Forward Confirmation relates, and has no additional cash payment obligations in connection with any settlement of either Prepaid Forward Transaction. However, each Prepaid Forward Transaction will be solely cash settled, and IREN will not be permitted to take delivery of any of its ordinary shares thereunder, unless and until IREN receives shareholder approval to repurchase its ordinary shares pursuant to the terms of the relevant Forward Confirmation.</w:t>
      </w:r>
    </w:p>
    <w:p>
      <w:pPr>
        <w:spacing w:after="0" w:line="67" w:lineRule="exact"/>
        <w:rPr>
          <w:sz w:val="20"/>
          <w:szCs w:val="20"/>
          <w:color w:val="auto"/>
        </w:rPr>
      </w:pPr>
    </w:p>
    <w:p>
      <w:pPr>
        <w:ind w:left="940" w:right="760"/>
        <w:spacing w:after="0" w:line="244" w:lineRule="auto"/>
        <w:rPr>
          <w:sz w:val="20"/>
          <w:szCs w:val="20"/>
          <w:color w:val="auto"/>
        </w:rPr>
      </w:pPr>
      <w:r>
        <w:rPr>
          <w:rFonts w:ascii="Arial" w:cs="Arial" w:eastAsia="Arial" w:hAnsi="Arial"/>
          <w:sz w:val="17"/>
          <w:szCs w:val="17"/>
          <w:color w:val="003551"/>
        </w:rPr>
        <w:t>This shareholder approval is being sought to allow flexibility for IREN to take delivery of its ordinary shares under the terms of the Forward Confirmations at any settlement thereof, including any early settlement at Citi’s election. If the shareholder approval is not obtained, IREN will not be able to take delivery of the ordinary shares and would need to cash settle each Prepaid Forward Transaction at final settlement thereof in 2029 and 2030. Such cash settlement would likely require a sale of IREN’s ordinary shares owned at such time by Citi pursuant to a registration statement; these sales would generate the cash that Citi would pay to IREN. Accordingly, the Board believes this proposal is in the best interests of IREN and its shareholders in order to allow flexibility for settlement of the Prepaid Forward Transactions through delivery of its ordinary shares which may help mitigate dilution to its ordinary shares that may otherwise occur as a result of its convertible notes, and may also avoid the burden of facilitating a registered offering by Citi of IREN’s ordinary shares. The shareholder approval is valid for 12 months following receipt of shareholder approval, and IREN is not obliged to buy back any shares during this time period. Any shares bought back will be cancelled. The re-purchase of shares is not expected to have any material impact on control of the IREN.</w:t>
      </w:r>
    </w:p>
    <w:p>
      <w:pPr>
        <w:spacing w:after="0" w:line="200" w:lineRule="exact"/>
        <w:rPr>
          <w:sz w:val="20"/>
          <w:szCs w:val="20"/>
          <w:color w:val="auto"/>
        </w:rPr>
      </w:pPr>
    </w:p>
    <w:p>
      <w:pPr>
        <w:spacing w:after="0" w:line="219"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Resolution</w:t>
      </w:r>
    </w:p>
    <w:p>
      <w:pPr>
        <w:spacing w:after="0" w:line="42"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To consider and, if thought fit, to pass the following resolution as special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133985</wp:posOffset>
            </wp:positionV>
            <wp:extent cx="540385" cy="63182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940" w:right="780"/>
        <w:spacing w:after="0" w:line="263" w:lineRule="auto"/>
        <w:rPr>
          <w:sz w:val="20"/>
          <w:szCs w:val="20"/>
          <w:color w:val="auto"/>
        </w:rPr>
      </w:pPr>
      <w:r>
        <w:rPr>
          <w:rFonts w:ascii="Arial" w:cs="Arial" w:eastAsia="Arial" w:hAnsi="Arial"/>
          <w:sz w:val="17"/>
          <w:szCs w:val="17"/>
          <w:b w:val="1"/>
          <w:bCs w:val="1"/>
          <w:color w:val="003551"/>
        </w:rPr>
        <w:t xml:space="preserve">RESOLVED, </w:t>
      </w:r>
      <w:r>
        <w:rPr>
          <w:rFonts w:ascii="Arial" w:cs="Arial" w:eastAsia="Arial" w:hAnsi="Arial"/>
          <w:sz w:val="17"/>
          <w:szCs w:val="17"/>
          <w:color w:val="003551"/>
        </w:rPr>
        <w:t>that for the purpose of section 257D of the Corporations Act and for all other purposes under</w:t>
      </w:r>
      <w:r>
        <w:rPr>
          <w:rFonts w:ascii="Arial" w:cs="Arial" w:eastAsia="Arial" w:hAnsi="Arial"/>
          <w:sz w:val="17"/>
          <w:szCs w:val="17"/>
          <w:b w:val="1"/>
          <w:bCs w:val="1"/>
          <w:color w:val="003551"/>
        </w:rPr>
        <w:t xml:space="preserve"> </w:t>
      </w:r>
      <w:r>
        <w:rPr>
          <w:rFonts w:ascii="Arial" w:cs="Arial" w:eastAsia="Arial" w:hAnsi="Arial"/>
          <w:sz w:val="17"/>
          <w:szCs w:val="17"/>
          <w:color w:val="003551"/>
        </w:rPr>
        <w:t>the Corporations Act, approval be given for IREN to conduct a selective buyback of up to 14,519,103 fully paid ordinary Shares from Citibank, N.A. and as detailed in this Proxy Statement.</w:t>
      </w:r>
    </w:p>
    <w:p>
      <w:pPr>
        <w:spacing w:after="0" w:line="18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Vote Required</w:t>
      </w:r>
    </w:p>
    <w:p>
      <w:pPr>
        <w:spacing w:after="0" w:line="15" w:lineRule="exact"/>
        <w:rPr>
          <w:sz w:val="20"/>
          <w:szCs w:val="20"/>
          <w:color w:val="auto"/>
        </w:rPr>
      </w:pPr>
    </w:p>
    <w:p>
      <w:pPr>
        <w:ind w:left="940" w:right="820"/>
        <w:spacing w:after="0" w:line="257" w:lineRule="auto"/>
        <w:rPr>
          <w:sz w:val="20"/>
          <w:szCs w:val="20"/>
          <w:color w:val="auto"/>
        </w:rPr>
      </w:pPr>
      <w:r>
        <w:rPr>
          <w:rFonts w:ascii="Arial" w:cs="Arial" w:eastAsia="Arial" w:hAnsi="Arial"/>
          <w:sz w:val="17"/>
          <w:szCs w:val="17"/>
          <w:color w:val="003551"/>
        </w:rPr>
        <w:t xml:space="preserve">The affirmative vote of at least 75% of votes cast will be required by shareholders who are entitled to vote on the resolution to approve Proposal 7. </w:t>
      </w:r>
      <w:r>
        <w:rPr>
          <w:rFonts w:ascii="Arial" w:cs="Arial" w:eastAsia="Arial" w:hAnsi="Arial"/>
          <w:sz w:val="17"/>
          <w:szCs w:val="17"/>
          <w:b w:val="1"/>
          <w:bCs w:val="1"/>
          <w:color w:val="003551"/>
        </w:rPr>
        <w:t>Certain shareholders, defined below as “excluded</w:t>
      </w:r>
      <w:r>
        <w:rPr>
          <w:rFonts w:ascii="Arial" w:cs="Arial" w:eastAsia="Arial" w:hAnsi="Arial"/>
          <w:sz w:val="17"/>
          <w:szCs w:val="17"/>
          <w:color w:val="003551"/>
        </w:rPr>
        <w:t xml:space="preserve"> </w:t>
      </w:r>
      <w:r>
        <w:rPr>
          <w:rFonts w:ascii="Arial" w:cs="Arial" w:eastAsia="Arial" w:hAnsi="Arial"/>
          <w:sz w:val="17"/>
          <w:szCs w:val="17"/>
          <w:b w:val="1"/>
          <w:bCs w:val="1"/>
          <w:color w:val="003551"/>
        </w:rPr>
        <w:t>shareholders,” are not permitted to vote on this proposal.</w:t>
      </w:r>
    </w:p>
    <w:p>
      <w:pPr>
        <w:spacing w:after="0" w:line="50" w:lineRule="exact"/>
        <w:rPr>
          <w:sz w:val="20"/>
          <w:szCs w:val="20"/>
          <w:color w:val="auto"/>
        </w:rPr>
      </w:pPr>
    </w:p>
    <w:p>
      <w:pPr>
        <w:ind w:left="1300" w:right="780"/>
        <w:spacing w:after="0" w:line="244" w:lineRule="auto"/>
        <w:rPr>
          <w:sz w:val="20"/>
          <w:szCs w:val="20"/>
          <w:color w:val="auto"/>
        </w:rPr>
      </w:pPr>
      <w:r>
        <w:rPr>
          <w:rFonts w:ascii="Arial" w:cs="Arial" w:eastAsia="Arial" w:hAnsi="Arial"/>
          <w:sz w:val="17"/>
          <w:szCs w:val="17"/>
          <w:b w:val="1"/>
          <w:bCs w:val="1"/>
          <w:i w:val="1"/>
          <w:iCs w:val="1"/>
          <w:color w:val="003551"/>
        </w:rPr>
        <w:t xml:space="preserve">Note Regarding Proposal 7: </w:t>
      </w:r>
      <w:r>
        <w:rPr>
          <w:rFonts w:ascii="Arial" w:cs="Arial" w:eastAsia="Arial" w:hAnsi="Arial"/>
          <w:sz w:val="17"/>
          <w:szCs w:val="17"/>
          <w:i w:val="1"/>
          <w:iCs w:val="1"/>
          <w:color w:val="003551"/>
        </w:rPr>
        <w:t>For the purpose of Proposal 7, an “excluded shareholder” is (i) a</w:t>
      </w:r>
      <w:r>
        <w:rPr>
          <w:rFonts w:ascii="Arial" w:cs="Arial" w:eastAsia="Arial" w:hAnsi="Arial"/>
          <w:sz w:val="17"/>
          <w:szCs w:val="17"/>
          <w:b w:val="1"/>
          <w:bCs w:val="1"/>
          <w:i w:val="1"/>
          <w:iCs w:val="1"/>
          <w:color w:val="003551"/>
        </w:rPr>
        <w:t xml:space="preserve"> </w:t>
      </w:r>
      <w:r>
        <w:rPr>
          <w:rFonts w:ascii="Arial" w:cs="Arial" w:eastAsia="Arial" w:hAnsi="Arial"/>
          <w:sz w:val="17"/>
          <w:szCs w:val="17"/>
          <w:i w:val="1"/>
          <w:iCs w:val="1"/>
          <w:color w:val="003551"/>
        </w:rPr>
        <w:t>“selling shareholder” with respect to the Prepaid Forward Transactions, or (ii) an “associated person” of a selling shareholder with respect to the Prepaid Forward Transactions. For the purposes of Proposal 7, the only “selling shareholder” with respect to the Prepaid Forward Transactions is Citibank, N.A. A shareholder will be an “associated person” of a selling shareholder if they (i) are a body corporate that such selling shareholder controls, (ii) a body corporate that controls such selling shareholder, (iii) a body corporate that is controlled by an entity that controls such selling shareholder,</w:t>
      </w:r>
    </w:p>
    <w:p>
      <w:pPr>
        <w:ind w:left="1300" w:right="820" w:hanging="8"/>
        <w:spacing w:after="0" w:line="252" w:lineRule="auto"/>
        <w:tabs>
          <w:tab w:leader="none" w:pos="1591" w:val="left"/>
        </w:tabs>
        <w:numPr>
          <w:ilvl w:val="0"/>
          <w:numId w:val="62"/>
        </w:numPr>
        <w:rPr>
          <w:rFonts w:ascii="Arial" w:cs="Arial" w:eastAsia="Arial" w:hAnsi="Arial"/>
          <w:sz w:val="17"/>
          <w:szCs w:val="17"/>
          <w:i w:val="1"/>
          <w:iCs w:val="1"/>
          <w:color w:val="003551"/>
        </w:rPr>
      </w:pPr>
      <w:r>
        <w:rPr>
          <w:rFonts w:ascii="Arial" w:cs="Arial" w:eastAsia="Arial" w:hAnsi="Arial"/>
          <w:sz w:val="17"/>
          <w:szCs w:val="17"/>
          <w:i w:val="1"/>
          <w:iCs w:val="1"/>
          <w:color w:val="003551"/>
        </w:rPr>
        <w:t>a person that has, or proposes to enter into a, a relevant agreement for the purpose of controlling or influencing the composition of such selling shareholder’s board or conduct of its affairs, or (v) a person acting, or proposing to act, in concert with the selling shareholder in relation to its affairs.</w:t>
      </w:r>
    </w:p>
    <w:p>
      <w:pPr>
        <w:spacing w:after="0" w:line="62" w:lineRule="exact"/>
        <w:rPr>
          <w:sz w:val="20"/>
          <w:szCs w:val="20"/>
          <w:color w:val="auto"/>
        </w:rPr>
      </w:pPr>
    </w:p>
    <w:p>
      <w:pPr>
        <w:ind w:left="1300" w:right="760"/>
        <w:spacing w:after="0" w:line="258" w:lineRule="auto"/>
        <w:rPr>
          <w:sz w:val="20"/>
          <w:szCs w:val="20"/>
          <w:color w:val="auto"/>
        </w:rPr>
      </w:pPr>
      <w:r>
        <w:rPr>
          <w:rFonts w:ascii="Arial" w:cs="Arial" w:eastAsia="Arial" w:hAnsi="Arial"/>
          <w:sz w:val="17"/>
          <w:szCs w:val="17"/>
          <w:b w:val="1"/>
          <w:bCs w:val="1"/>
          <w:i w:val="1"/>
          <w:iCs w:val="1"/>
          <w:color w:val="003551"/>
        </w:rPr>
        <w:t>If you are an “excluded shareholder” with respect to Proposal 7, you are not permitted to vote your ordinary shares for Proposal 7. By voting your shares with respect to Proposal 7, you will be deemed to represent and warrant to IREN that you are not an “excluded shareholder” with respect to Proposal 7.</w:t>
      </w:r>
    </w:p>
    <w:p>
      <w:pPr>
        <w:spacing w:after="0" w:line="50" w:lineRule="exact"/>
        <w:rPr>
          <w:sz w:val="20"/>
          <w:szCs w:val="20"/>
          <w:color w:val="auto"/>
        </w:rPr>
      </w:pPr>
    </w:p>
    <w:p>
      <w:pPr>
        <w:ind w:left="940" w:right="800"/>
        <w:spacing w:after="0" w:line="249" w:lineRule="auto"/>
        <w:rPr>
          <w:sz w:val="20"/>
          <w:szCs w:val="20"/>
          <w:color w:val="auto"/>
        </w:rPr>
      </w:pPr>
      <w:r>
        <w:rPr>
          <w:rFonts w:ascii="Arial" w:cs="Arial" w:eastAsia="Arial" w:hAnsi="Arial"/>
          <w:sz w:val="17"/>
          <w:szCs w:val="17"/>
          <w:color w:val="003551"/>
        </w:rPr>
        <w:t>Proposal 7 is a “non-routine” matter on which a broker, bank or other nominee is not entitled to vote shares held on behalf of a beneficial owner without receiving voting instructions from the beneficial owner. Consequently, if you hold your shares in street name (such as through a brokerage account) and you do not instruct your broker, bank or other nominee on how to vote on this Proposal 7, a “broker non-vote” will occur with respect to Proposal 7. Abstentions, if any, and broker non-votes with respect to Proposal 7 are not treated as votes cast and will not be counted in determining the outcome of Proposal 7.</w:t>
      </w:r>
    </w:p>
    <w:p>
      <w:pPr>
        <w:spacing w:after="0" w:line="65" w:lineRule="exact"/>
        <w:rPr>
          <w:sz w:val="20"/>
          <w:szCs w:val="20"/>
          <w:color w:val="auto"/>
        </w:rPr>
      </w:pPr>
    </w:p>
    <w:p>
      <w:pPr>
        <w:ind w:left="940" w:right="1300"/>
        <w:spacing w:after="0" w:line="295" w:lineRule="auto"/>
        <w:rPr>
          <w:sz w:val="20"/>
          <w:szCs w:val="20"/>
          <w:color w:val="auto"/>
        </w:rPr>
      </w:pPr>
      <w:r>
        <w:rPr>
          <w:rFonts w:ascii="Arial" w:cs="Arial" w:eastAsia="Arial" w:hAnsi="Arial"/>
          <w:sz w:val="17"/>
          <w:szCs w:val="17"/>
          <w:b w:val="1"/>
          <w:bCs w:val="1"/>
          <w:color w:val="003551"/>
        </w:rPr>
        <w:t>The Board unanimously recommends a vote FOR the approval of the repurchase of ordinary shares pursuant to the Prepaid Forward Transactions described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89535</wp:posOffset>
            </wp:positionV>
            <wp:extent cx="540385" cy="63182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6" w:right="12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40" w:right="1620"/>
        <w:spacing w:after="0" w:line="280" w:lineRule="auto"/>
        <w:rPr>
          <w:sz w:val="20"/>
          <w:szCs w:val="20"/>
          <w:color w:val="auto"/>
        </w:rPr>
      </w:pPr>
      <w:r>
        <w:rPr>
          <w:rFonts w:ascii="Arial" w:cs="Arial" w:eastAsia="Arial" w:hAnsi="Arial"/>
          <w:sz w:val="28"/>
          <w:szCs w:val="28"/>
          <w:color w:val="003551"/>
        </w:rPr>
        <w:t>Proposal 8: Approve the repurchase by IREN of its ordinary shares pursuant to the Capped Call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522351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223510" cy="8255"/>
                    </a:xfrm>
                    <a:prstGeom prst="rect">
                      <a:avLst/>
                    </a:prstGeom>
                    <a:noFill/>
                  </pic:spPr>
                </pic:pic>
              </a:graphicData>
            </a:graphic>
          </wp:anchor>
        </w:drawing>
      </w:r>
    </w:p>
    <w:p>
      <w:pPr>
        <w:spacing w:after="0" w:line="9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Proposal</w:t>
      </w:r>
    </w:p>
    <w:p>
      <w:pPr>
        <w:spacing w:after="0" w:line="15" w:lineRule="exact"/>
        <w:rPr>
          <w:sz w:val="20"/>
          <w:szCs w:val="20"/>
          <w:color w:val="auto"/>
        </w:rPr>
      </w:pPr>
    </w:p>
    <w:p>
      <w:pPr>
        <w:ind w:left="940" w:right="820"/>
        <w:spacing w:after="0" w:line="252" w:lineRule="auto"/>
        <w:rPr>
          <w:sz w:val="20"/>
          <w:szCs w:val="20"/>
          <w:color w:val="auto"/>
        </w:rPr>
      </w:pPr>
      <w:r>
        <w:rPr>
          <w:rFonts w:ascii="Arial" w:cs="Arial" w:eastAsia="Arial" w:hAnsi="Arial"/>
          <w:sz w:val="17"/>
          <w:szCs w:val="17"/>
          <w:color w:val="003551"/>
        </w:rPr>
        <w:t>We are asking our shareholders to approve the repurchase by IREN of its ordinary shares pursuant to the Capped Call Transactions, which was approved by the Board on December 3, 2024 and June 9, 2025, subject to approval by our shareholders.</w:t>
      </w:r>
    </w:p>
    <w:p>
      <w:pPr>
        <w:spacing w:after="0" w:line="62" w:lineRule="exact"/>
        <w:rPr>
          <w:sz w:val="20"/>
          <w:szCs w:val="20"/>
          <w:color w:val="auto"/>
        </w:rPr>
      </w:pPr>
    </w:p>
    <w:p>
      <w:pPr>
        <w:ind w:left="940" w:right="920"/>
        <w:spacing w:after="0" w:line="248" w:lineRule="auto"/>
        <w:rPr>
          <w:sz w:val="20"/>
          <w:szCs w:val="20"/>
          <w:color w:val="auto"/>
        </w:rPr>
      </w:pPr>
      <w:r>
        <w:rPr>
          <w:rFonts w:ascii="Arial" w:cs="Arial" w:eastAsia="Arial" w:hAnsi="Arial"/>
          <w:sz w:val="17"/>
          <w:szCs w:val="17"/>
          <w:color w:val="003551"/>
        </w:rPr>
        <w:t>Under Australian law (unlike in Delaware), a company must not acquire shares in itself without satisfying an exception. One exception is achieved by obtaining shareholder approval. IREN may elect to acquire shares in itself from the counterparties to the Capped Call Transactions, if it can obtain shareholder approval to do so. Otherwise, those transactions are to be settled in cash. This proposal would provide that shareholder approval. The Board believes this proposal to be in the best interests of IREN and its shareholders because it provides flexibility for either share settlement or cash settlement of the Capped Call Transactions, which is beneficial for the reasons set out below.</w:t>
      </w:r>
    </w:p>
    <w:p>
      <w:pPr>
        <w:spacing w:after="0" w:line="227"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Background</w:t>
      </w:r>
    </w:p>
    <w:p>
      <w:pPr>
        <w:spacing w:after="0" w:line="15" w:lineRule="exact"/>
        <w:rPr>
          <w:sz w:val="20"/>
          <w:szCs w:val="20"/>
          <w:color w:val="auto"/>
        </w:rPr>
      </w:pPr>
    </w:p>
    <w:p>
      <w:pPr>
        <w:ind w:left="940" w:right="820"/>
        <w:spacing w:after="0" w:line="246" w:lineRule="auto"/>
        <w:rPr>
          <w:sz w:val="20"/>
          <w:szCs w:val="20"/>
          <w:color w:val="auto"/>
        </w:rPr>
      </w:pPr>
      <w:r>
        <w:rPr>
          <w:rFonts w:ascii="Arial" w:cs="Arial" w:eastAsia="Arial" w:hAnsi="Arial"/>
          <w:sz w:val="17"/>
          <w:szCs w:val="17"/>
          <w:color w:val="003551"/>
        </w:rPr>
        <w:t>In connection with IREN’s issuance of its 3.25% convertible senior notes due 2030, IREN entered into separate capped call option transactions with each of Citibank, N.A., Mizuho Markets Americas LLC, Morgan Stanley &amp; Co. LLC, and Wells Fargo Bank, National Association (the “</w:t>
      </w:r>
      <w:r>
        <w:rPr>
          <w:rFonts w:ascii="Arial" w:cs="Arial" w:eastAsia="Arial" w:hAnsi="Arial"/>
          <w:sz w:val="17"/>
          <w:szCs w:val="17"/>
          <w:b w:val="1"/>
          <w:bCs w:val="1"/>
          <w:color w:val="003551"/>
        </w:rPr>
        <w:t>December 2024 Capped</w:t>
      </w:r>
      <w:r>
        <w:rPr>
          <w:rFonts w:ascii="Arial" w:cs="Arial" w:eastAsia="Arial" w:hAnsi="Arial"/>
          <w:sz w:val="17"/>
          <w:szCs w:val="17"/>
          <w:color w:val="003551"/>
        </w:rPr>
        <w:t xml:space="preserve"> </w:t>
      </w:r>
      <w:r>
        <w:rPr>
          <w:rFonts w:ascii="Arial" w:cs="Arial" w:eastAsia="Arial" w:hAnsi="Arial"/>
          <w:sz w:val="17"/>
          <w:szCs w:val="17"/>
          <w:b w:val="1"/>
          <w:bCs w:val="1"/>
          <w:color w:val="003551"/>
        </w:rPr>
        <w:t>Call Transactions</w:t>
      </w:r>
      <w:r>
        <w:rPr>
          <w:rFonts w:ascii="Arial" w:cs="Arial" w:eastAsia="Arial" w:hAnsi="Arial"/>
          <w:sz w:val="17"/>
          <w:szCs w:val="17"/>
          <w:color w:val="003551"/>
        </w:rPr>
        <w:t>”). In addition, in connection with IREN’s issuance of its 3.50% convertible senior notes</w:t>
      </w:r>
      <w:r>
        <w:rPr>
          <w:rFonts w:ascii="Arial" w:cs="Arial" w:eastAsia="Arial" w:hAnsi="Arial"/>
          <w:sz w:val="17"/>
          <w:szCs w:val="17"/>
          <w:b w:val="1"/>
          <w:bCs w:val="1"/>
          <w:color w:val="003551"/>
        </w:rPr>
        <w:t xml:space="preserve"> </w:t>
      </w:r>
      <w:r>
        <w:rPr>
          <w:rFonts w:ascii="Arial" w:cs="Arial" w:eastAsia="Arial" w:hAnsi="Arial"/>
          <w:sz w:val="17"/>
          <w:szCs w:val="17"/>
          <w:color w:val="003551"/>
        </w:rPr>
        <w:t>due 2029, IREN entered into separate capped call option transactions with each of Citibank, N.A., Mizuho Markets Americas LLC, and J.P. Morgan Securities LLC (the “</w:t>
      </w:r>
      <w:r>
        <w:rPr>
          <w:rFonts w:ascii="Arial" w:cs="Arial" w:eastAsia="Arial" w:hAnsi="Arial"/>
          <w:sz w:val="17"/>
          <w:szCs w:val="17"/>
          <w:b w:val="1"/>
          <w:bCs w:val="1"/>
          <w:color w:val="003551"/>
        </w:rPr>
        <w:t>June 2025 Capped Call Transactions</w:t>
      </w:r>
      <w:r>
        <w:rPr>
          <w:rFonts w:ascii="Arial" w:cs="Arial" w:eastAsia="Arial" w:hAnsi="Arial"/>
          <w:sz w:val="17"/>
          <w:szCs w:val="17"/>
          <w:color w:val="003551"/>
        </w:rPr>
        <w:t>” and, together with the December 2024 Capped Call Transactions, the “</w:t>
      </w:r>
      <w:r>
        <w:rPr>
          <w:rFonts w:ascii="Arial" w:cs="Arial" w:eastAsia="Arial" w:hAnsi="Arial"/>
          <w:sz w:val="17"/>
          <w:szCs w:val="17"/>
          <w:b w:val="1"/>
          <w:bCs w:val="1"/>
          <w:color w:val="003551"/>
        </w:rPr>
        <w:t>Capped Call Transactions</w:t>
      </w:r>
      <w:r>
        <w:rPr>
          <w:rFonts w:ascii="Arial" w:cs="Arial" w:eastAsia="Arial" w:hAnsi="Arial"/>
          <w:sz w:val="17"/>
          <w:szCs w:val="17"/>
          <w:color w:val="003551"/>
        </w:rPr>
        <w:t>”).</w:t>
      </w:r>
    </w:p>
    <w:p>
      <w:pPr>
        <w:spacing w:after="0" w:line="62" w:lineRule="exact"/>
        <w:rPr>
          <w:sz w:val="20"/>
          <w:szCs w:val="20"/>
          <w:color w:val="auto"/>
        </w:rPr>
      </w:pPr>
    </w:p>
    <w:p>
      <w:pPr>
        <w:ind w:left="940" w:right="760"/>
        <w:spacing w:after="0" w:line="255" w:lineRule="auto"/>
        <w:rPr>
          <w:sz w:val="20"/>
          <w:szCs w:val="20"/>
          <w:color w:val="auto"/>
        </w:rPr>
      </w:pPr>
      <w:r>
        <w:rPr>
          <w:rFonts w:ascii="Arial" w:cs="Arial" w:eastAsia="Arial" w:hAnsi="Arial"/>
          <w:sz w:val="17"/>
          <w:szCs w:val="17"/>
          <w:color w:val="003551"/>
        </w:rPr>
        <w:t>The Capped Call Transactions are call options purchased by IREN on IREN’s ordinary shares. IREN paid the premia for the Capped Call Transactions in full, and each Capped Call Transaction will be “net” settled, meaning IREN has no cash payment or other obligation in respect of any future exercise or termination thereof.</w:t>
      </w:r>
    </w:p>
    <w:p>
      <w:pPr>
        <w:spacing w:after="0" w:line="60" w:lineRule="exact"/>
        <w:rPr>
          <w:sz w:val="20"/>
          <w:szCs w:val="20"/>
          <w:color w:val="auto"/>
        </w:rPr>
      </w:pPr>
    </w:p>
    <w:p>
      <w:pPr>
        <w:ind w:left="940" w:right="760"/>
        <w:spacing w:after="0" w:line="244" w:lineRule="auto"/>
        <w:rPr>
          <w:sz w:val="20"/>
          <w:szCs w:val="20"/>
          <w:color w:val="auto"/>
        </w:rPr>
      </w:pPr>
      <w:r>
        <w:rPr>
          <w:rFonts w:ascii="Arial" w:cs="Arial" w:eastAsia="Arial" w:hAnsi="Arial"/>
          <w:sz w:val="17"/>
          <w:szCs w:val="17"/>
          <w:color w:val="003551"/>
        </w:rPr>
        <w:t>The December 2024 Capped Call Transactions have a strike price of $16.8090 per ordinary share, subject to a cap of $25.8600 per ordinary share, and expire in May and June of 2030, at which time they will be automatically exercised to the extent they are in-the-money. The June 2025 Capped Call Transactions have a strike price of $13.6370 per ordinary share, subject to a cap of $20.9800 per ordinary share, and expire in November and December of 2029, at which time they will be automatically exercised to the extent they are in-the-money. However, in certain circumstances, including upon any early conversion, redemption, repurchase or exchange of the related convertible notes, IREN has the right to cause an early termination and settlement of a corresponding portion of the applicable Capped Call Transactions. The December 2024 Capped Call Transactions relate to an aggregate of 26,176,436 of IREN’s ordinary shares (subject to adjustment pursuant to the terms thereof), and the June 2025 Capped Call Transactions relate to an aggregate of 40,331,445 of IREN’s ordinary shares (subject to adjustment pursuant to the terms thereof). In each case, such number of shares is the same number of shares that underlies the applicable series of IREN’s convertible notes.</w:t>
      </w:r>
    </w:p>
    <w:p>
      <w:pPr>
        <w:spacing w:after="0" w:line="75" w:lineRule="exact"/>
        <w:rPr>
          <w:sz w:val="20"/>
          <w:szCs w:val="20"/>
          <w:color w:val="auto"/>
        </w:rPr>
      </w:pPr>
    </w:p>
    <w:p>
      <w:pPr>
        <w:ind w:left="940" w:right="760"/>
        <w:spacing w:after="0" w:line="245" w:lineRule="auto"/>
        <w:rPr>
          <w:sz w:val="20"/>
          <w:szCs w:val="20"/>
          <w:color w:val="auto"/>
        </w:rPr>
      </w:pPr>
      <w:r>
        <w:rPr>
          <w:rFonts w:ascii="Arial" w:cs="Arial" w:eastAsia="Arial" w:hAnsi="Arial"/>
          <w:sz w:val="17"/>
          <w:szCs w:val="17"/>
          <w:color w:val="003551"/>
        </w:rPr>
        <w:t>The Capped Call Transactions were entered into to reduce the potential dilution to IREN’s ordinary shares upon any conversion of its convertible notes and/or to offset any potential cash payments IREN is required to make in excess of the principal amount of converted notes, as the case may be, with such offset and/or reduction subject to a cap price. However, the Capped Call Transactions will be solely cash settled upon any exercise and settlement or early termination and settlement unless and until IREN receives shareholder approval to repurchase its ordinary shares pursuant to the terms of the Capped Call Transactions. As a result, unless and until IREN obtains the requisite shareholder approval, IREN will only be able to receive cash from the Capped Call Dealers upon any such settlement of the Capped Call Transactions. IREN is seeking this shareholder approval in order to allow it to receive its ordinary shares from the Capped Call Dealers upon the exercise and settlement or termination and settlement of any Capped Call Transaction,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248920</wp:posOffset>
            </wp:positionV>
            <wp:extent cx="540385" cy="63182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40" w:right="760"/>
        <w:spacing w:after="0" w:line="245" w:lineRule="auto"/>
        <w:rPr>
          <w:sz w:val="20"/>
          <w:szCs w:val="20"/>
          <w:color w:val="auto"/>
        </w:rPr>
      </w:pPr>
      <w:r>
        <w:rPr>
          <w:rFonts w:ascii="Arial" w:cs="Arial" w:eastAsia="Arial" w:hAnsi="Arial"/>
          <w:sz w:val="17"/>
          <w:szCs w:val="17"/>
          <w:color w:val="003551"/>
        </w:rPr>
        <w:t>order to provide IREN the flexibility to choose whether it will receive cash or ordinary shares upon any such settlement. Since it is in IREN’s discretion (i) to receive cash or ordinary shares upon settlement of any Capped Call transactions; and (ii) the timing and quantum of any such settlement, any material effect on the control of IREN is uncertain. The Board believes this proposal is in the best interests of IREN and its shareholders because the ability to choose to receive ordinary shares upon any such settlement will allow IREN more flexibility to manage dilution to its ordinary shares that may otherwise occur as a result of the existence of its convertible notes. The shareholder approval is valid for 12 months following receipt of shareholder approval, and IREN is not obliged to buy back any shares during this time period. Any shares bought back will be cancelled. The re-purchase of shares is not expected to have any material impact on control of the IREN.</w:t>
      </w:r>
    </w:p>
    <w:p>
      <w:pPr>
        <w:spacing w:after="0" w:line="20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Resolution</w:t>
      </w:r>
    </w:p>
    <w:p>
      <w:pPr>
        <w:spacing w:after="0" w:line="45"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To consider and, if thought fit, to pass the following resolution as special resolution:</w:t>
      </w:r>
    </w:p>
    <w:p>
      <w:pPr>
        <w:spacing w:after="0" w:line="98" w:lineRule="exact"/>
        <w:rPr>
          <w:sz w:val="20"/>
          <w:szCs w:val="20"/>
          <w:color w:val="auto"/>
        </w:rPr>
      </w:pPr>
    </w:p>
    <w:p>
      <w:pPr>
        <w:ind w:left="940" w:right="740"/>
        <w:spacing w:after="0" w:line="252" w:lineRule="auto"/>
        <w:rPr>
          <w:sz w:val="20"/>
          <w:szCs w:val="20"/>
          <w:color w:val="auto"/>
        </w:rPr>
      </w:pPr>
      <w:r>
        <w:rPr>
          <w:rFonts w:ascii="Arial" w:cs="Arial" w:eastAsia="Arial" w:hAnsi="Arial"/>
          <w:sz w:val="17"/>
          <w:szCs w:val="17"/>
          <w:b w:val="1"/>
          <w:bCs w:val="1"/>
          <w:color w:val="003551"/>
        </w:rPr>
        <w:t xml:space="preserve">RESOLVED, </w:t>
      </w:r>
      <w:r>
        <w:rPr>
          <w:rFonts w:ascii="Arial" w:cs="Arial" w:eastAsia="Arial" w:hAnsi="Arial"/>
          <w:sz w:val="17"/>
          <w:szCs w:val="17"/>
          <w:color w:val="003551"/>
        </w:rPr>
        <w:t>that for the purpose of section 257D of the Corporations Act and for all other purposes under</w:t>
      </w:r>
      <w:r>
        <w:rPr>
          <w:rFonts w:ascii="Arial" w:cs="Arial" w:eastAsia="Arial" w:hAnsi="Arial"/>
          <w:sz w:val="17"/>
          <w:szCs w:val="17"/>
          <w:b w:val="1"/>
          <w:bCs w:val="1"/>
          <w:color w:val="003551"/>
        </w:rPr>
        <w:t xml:space="preserve"> </w:t>
      </w:r>
      <w:r>
        <w:rPr>
          <w:rFonts w:ascii="Arial" w:cs="Arial" w:eastAsia="Arial" w:hAnsi="Arial"/>
          <w:sz w:val="17"/>
          <w:szCs w:val="17"/>
          <w:color w:val="003551"/>
        </w:rPr>
        <w:t>the Corporations Act, approval be given for IREN to conduct a selective buyback of up to 66,507,881 fully paid ordinary Shares from each of Citibank, N.A., J.P. Morgan Securities LLC, Mizuho Markets Americas LLC, Morgan Stanley &amp; Co. LLC, and Wells Fargo Bank, National Association and as detailed in this Proxy Statement.</w:t>
      </w:r>
    </w:p>
    <w:p>
      <w:pPr>
        <w:spacing w:after="0" w:line="210"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Vote Required</w:t>
      </w:r>
    </w:p>
    <w:p>
      <w:pPr>
        <w:spacing w:after="0" w:line="15" w:lineRule="exact"/>
        <w:rPr>
          <w:sz w:val="20"/>
          <w:szCs w:val="20"/>
          <w:color w:val="auto"/>
        </w:rPr>
      </w:pPr>
    </w:p>
    <w:p>
      <w:pPr>
        <w:ind w:left="940" w:right="820"/>
        <w:spacing w:after="0" w:line="257" w:lineRule="auto"/>
        <w:rPr>
          <w:sz w:val="20"/>
          <w:szCs w:val="20"/>
          <w:color w:val="auto"/>
        </w:rPr>
      </w:pPr>
      <w:r>
        <w:rPr>
          <w:rFonts w:ascii="Arial" w:cs="Arial" w:eastAsia="Arial" w:hAnsi="Arial"/>
          <w:sz w:val="17"/>
          <w:szCs w:val="17"/>
          <w:color w:val="003551"/>
        </w:rPr>
        <w:t xml:space="preserve">The affirmative vote of at least 75% of votes cast will be required by shareholders who are entitled to vote on the resolution to approve Proposal 8. </w:t>
      </w:r>
      <w:r>
        <w:rPr>
          <w:rFonts w:ascii="Arial" w:cs="Arial" w:eastAsia="Arial" w:hAnsi="Arial"/>
          <w:sz w:val="17"/>
          <w:szCs w:val="17"/>
          <w:b w:val="1"/>
          <w:bCs w:val="1"/>
          <w:color w:val="003551"/>
        </w:rPr>
        <w:t>Certain shareholders, defined below as “excluded</w:t>
      </w:r>
      <w:r>
        <w:rPr>
          <w:rFonts w:ascii="Arial" w:cs="Arial" w:eastAsia="Arial" w:hAnsi="Arial"/>
          <w:sz w:val="17"/>
          <w:szCs w:val="17"/>
          <w:color w:val="003551"/>
        </w:rPr>
        <w:t xml:space="preserve"> </w:t>
      </w:r>
      <w:r>
        <w:rPr>
          <w:rFonts w:ascii="Arial" w:cs="Arial" w:eastAsia="Arial" w:hAnsi="Arial"/>
          <w:sz w:val="17"/>
          <w:szCs w:val="17"/>
          <w:b w:val="1"/>
          <w:bCs w:val="1"/>
          <w:color w:val="003551"/>
        </w:rPr>
        <w:t>shareholders,” are not permitted to vote on this proposal.</w:t>
      </w:r>
    </w:p>
    <w:p>
      <w:pPr>
        <w:spacing w:after="0" w:line="50" w:lineRule="exact"/>
        <w:rPr>
          <w:sz w:val="20"/>
          <w:szCs w:val="20"/>
          <w:color w:val="auto"/>
        </w:rPr>
      </w:pPr>
    </w:p>
    <w:p>
      <w:pPr>
        <w:ind w:left="1300" w:right="760"/>
        <w:spacing w:after="0" w:line="245" w:lineRule="auto"/>
        <w:rPr>
          <w:sz w:val="20"/>
          <w:szCs w:val="20"/>
          <w:color w:val="auto"/>
        </w:rPr>
      </w:pPr>
      <w:r>
        <w:rPr>
          <w:rFonts w:ascii="Arial" w:cs="Arial" w:eastAsia="Arial" w:hAnsi="Arial"/>
          <w:sz w:val="17"/>
          <w:szCs w:val="17"/>
          <w:b w:val="1"/>
          <w:bCs w:val="1"/>
          <w:i w:val="1"/>
          <w:iCs w:val="1"/>
          <w:color w:val="003551"/>
        </w:rPr>
        <w:t xml:space="preserve">Note Regarding Proposal 8: </w:t>
      </w:r>
      <w:r>
        <w:rPr>
          <w:rFonts w:ascii="Arial" w:cs="Arial" w:eastAsia="Arial" w:hAnsi="Arial"/>
          <w:sz w:val="17"/>
          <w:szCs w:val="17"/>
          <w:i w:val="1"/>
          <w:iCs w:val="1"/>
          <w:color w:val="003551"/>
        </w:rPr>
        <w:t>For the purpose of Proposal 8, an “excluded shareholder” is (i) a</w:t>
      </w:r>
      <w:r>
        <w:rPr>
          <w:rFonts w:ascii="Arial" w:cs="Arial" w:eastAsia="Arial" w:hAnsi="Arial"/>
          <w:sz w:val="17"/>
          <w:szCs w:val="17"/>
          <w:b w:val="1"/>
          <w:bCs w:val="1"/>
          <w:i w:val="1"/>
          <w:iCs w:val="1"/>
          <w:color w:val="003551"/>
        </w:rPr>
        <w:t xml:space="preserve"> </w:t>
      </w:r>
      <w:r>
        <w:rPr>
          <w:rFonts w:ascii="Arial" w:cs="Arial" w:eastAsia="Arial" w:hAnsi="Arial"/>
          <w:sz w:val="17"/>
          <w:szCs w:val="17"/>
          <w:i w:val="1"/>
          <w:iCs w:val="1"/>
          <w:color w:val="003551"/>
        </w:rPr>
        <w:t>“selling shareholder” with respect to the Capped Call Transactions, or (ii) an “associated person” of a selling shareholder with respect to the Capped Call Transactions. For purposes of Proposal 8, each of the following will constitute a “selling shareholder” with respect to the Capped Call Transactions: Citibank, N.A., J.P. Morgan Securities LLC, Mizuho Securities USA LLC, Morgan Stanley &amp; Co. LLC, and Wells Fargo Bank, National Association. A shareholder will be an “associated person” of a selling shareholder if they (i) are a body corporate that such selling shareholder controls, (ii) a body corporate that controls such selling shareholder, (iii) a body corporate that is controlled by an entity that controls such selling shareholder, (iv) a person that has, or proposes to enter into a, a relevant agreement for the purpose of controlling or influencing the composition of such selling shareholder’s board or conduct of its affairs, or (v) a person acting, or proposing to act, in concert with the selling shareholder in relation to its affairs.</w:t>
      </w:r>
    </w:p>
    <w:p>
      <w:pPr>
        <w:spacing w:after="0" w:line="267" w:lineRule="exact"/>
        <w:rPr>
          <w:sz w:val="20"/>
          <w:szCs w:val="20"/>
          <w:color w:val="auto"/>
        </w:rPr>
      </w:pPr>
    </w:p>
    <w:p>
      <w:pPr>
        <w:ind w:left="1300" w:right="760"/>
        <w:spacing w:after="0" w:line="258" w:lineRule="auto"/>
        <w:rPr>
          <w:sz w:val="20"/>
          <w:szCs w:val="20"/>
          <w:color w:val="auto"/>
        </w:rPr>
      </w:pPr>
      <w:r>
        <w:rPr>
          <w:rFonts w:ascii="Arial" w:cs="Arial" w:eastAsia="Arial" w:hAnsi="Arial"/>
          <w:sz w:val="17"/>
          <w:szCs w:val="17"/>
          <w:b w:val="1"/>
          <w:bCs w:val="1"/>
          <w:i w:val="1"/>
          <w:iCs w:val="1"/>
          <w:color w:val="003551"/>
        </w:rPr>
        <w:t>If you are an “excluded shareholder” with respect to Proposal 8, you are not permitted to vote your ordinary shares for Proposal 8. By voting your shares with respect to Proposal 8, you will be deemed to represent and warrant to IREN that you are not an “excluded shareholder” with respect to Proposal 8.</w:t>
      </w:r>
    </w:p>
    <w:p>
      <w:pPr>
        <w:spacing w:after="0" w:line="50" w:lineRule="exact"/>
        <w:rPr>
          <w:sz w:val="20"/>
          <w:szCs w:val="20"/>
          <w:color w:val="auto"/>
        </w:rPr>
      </w:pPr>
    </w:p>
    <w:p>
      <w:pPr>
        <w:ind w:left="940" w:right="800"/>
        <w:spacing w:after="0" w:line="249" w:lineRule="auto"/>
        <w:rPr>
          <w:sz w:val="20"/>
          <w:szCs w:val="20"/>
          <w:color w:val="auto"/>
        </w:rPr>
      </w:pPr>
      <w:r>
        <w:rPr>
          <w:rFonts w:ascii="Arial" w:cs="Arial" w:eastAsia="Arial" w:hAnsi="Arial"/>
          <w:sz w:val="17"/>
          <w:szCs w:val="17"/>
          <w:color w:val="003551"/>
        </w:rPr>
        <w:t>Proposal 8 is a “non-routine” matter on which a broker, bank or other nominee is not entitled to vote shares held on behalf of a beneficial owner without receiving voting instructions from the beneficial owner. Consequently, if you hold your shares in street name (such as through a brokerage account) and you do not instruct your broker, bank or other nominee on how to vote on this Proposal 8, a “broker non-vote” will occur with respect to Proposal 8. Abstentions, if any, and broker non-votes with respect to Proposal 8 are not treated as votes cast and will not be counted in determining the outcome of Proposal 8.</w:t>
      </w:r>
    </w:p>
    <w:p>
      <w:pPr>
        <w:spacing w:after="0" w:line="65" w:lineRule="exact"/>
        <w:rPr>
          <w:sz w:val="20"/>
          <w:szCs w:val="20"/>
          <w:color w:val="auto"/>
        </w:rPr>
      </w:pPr>
    </w:p>
    <w:p>
      <w:pPr>
        <w:ind w:left="940" w:right="1300"/>
        <w:spacing w:after="0" w:line="295" w:lineRule="auto"/>
        <w:rPr>
          <w:sz w:val="20"/>
          <w:szCs w:val="20"/>
          <w:color w:val="auto"/>
        </w:rPr>
      </w:pPr>
      <w:r>
        <w:rPr>
          <w:rFonts w:ascii="Arial" w:cs="Arial" w:eastAsia="Arial" w:hAnsi="Arial"/>
          <w:sz w:val="17"/>
          <w:szCs w:val="17"/>
          <w:b w:val="1"/>
          <w:bCs w:val="1"/>
          <w:color w:val="003551"/>
        </w:rPr>
        <w:t>The Board unanimously recommends a vote FOR the approval of the repurchase of ordinary shares pursuant to the Capped Call Transactions described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89535</wp:posOffset>
            </wp:positionV>
            <wp:extent cx="540385" cy="63182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6" w:right="12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940" w:right="860"/>
        <w:spacing w:after="0" w:line="280" w:lineRule="auto"/>
        <w:rPr>
          <w:sz w:val="20"/>
          <w:szCs w:val="20"/>
          <w:color w:val="auto"/>
        </w:rPr>
      </w:pPr>
      <w:r>
        <w:rPr>
          <w:rFonts w:ascii="Arial" w:cs="Arial" w:eastAsia="Arial" w:hAnsi="Arial"/>
          <w:sz w:val="28"/>
          <w:szCs w:val="28"/>
          <w:color w:val="003551"/>
        </w:rPr>
        <w:t>Proposal 9: Approve an advisory vote on executive compensation (the “say-on-pay”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522351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223510" cy="8255"/>
                    </a:xfrm>
                    <a:prstGeom prst="rect">
                      <a:avLst/>
                    </a:prstGeom>
                    <a:noFill/>
                  </pic:spPr>
                </pic:pic>
              </a:graphicData>
            </a:graphic>
          </wp:anchor>
        </w:drawing>
      </w:r>
    </w:p>
    <w:p>
      <w:pPr>
        <w:spacing w:after="0" w:line="85"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Proposal</w:t>
      </w:r>
    </w:p>
    <w:p>
      <w:pPr>
        <w:spacing w:after="0" w:line="15" w:lineRule="exact"/>
        <w:rPr>
          <w:sz w:val="20"/>
          <w:szCs w:val="20"/>
          <w:color w:val="auto"/>
        </w:rPr>
      </w:pPr>
    </w:p>
    <w:p>
      <w:pPr>
        <w:ind w:left="940" w:right="820"/>
        <w:spacing w:after="0" w:line="252" w:lineRule="auto"/>
        <w:rPr>
          <w:sz w:val="20"/>
          <w:szCs w:val="20"/>
          <w:color w:val="auto"/>
        </w:rPr>
      </w:pPr>
      <w:r>
        <w:rPr>
          <w:rFonts w:ascii="Arial" w:cs="Arial" w:eastAsia="Arial" w:hAnsi="Arial"/>
          <w:sz w:val="17"/>
          <w:szCs w:val="17"/>
          <w:color w:val="003551"/>
        </w:rPr>
        <w:t>We are asking our shareholders to vote to approve, on a non-binding advisory basis, the compensation of our NEOs for Fiscal 2025 as described in this Proxy Statement, in accordance with the requirements of Section 14A of the Exchange Act.</w:t>
      </w:r>
    </w:p>
    <w:p>
      <w:pPr>
        <w:spacing w:after="0" w:line="92"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Background</w:t>
      </w:r>
    </w:p>
    <w:p>
      <w:pPr>
        <w:spacing w:after="0" w:line="15" w:lineRule="exact"/>
        <w:rPr>
          <w:sz w:val="20"/>
          <w:szCs w:val="20"/>
          <w:color w:val="auto"/>
        </w:rPr>
      </w:pPr>
    </w:p>
    <w:p>
      <w:pPr>
        <w:ind w:left="940" w:right="1020"/>
        <w:spacing w:after="0" w:line="245" w:lineRule="auto"/>
        <w:rPr>
          <w:sz w:val="20"/>
          <w:szCs w:val="20"/>
          <w:color w:val="auto"/>
        </w:rPr>
      </w:pPr>
      <w:r>
        <w:rPr>
          <w:rFonts w:ascii="Arial" w:cs="Arial" w:eastAsia="Arial" w:hAnsi="Arial"/>
          <w:sz w:val="17"/>
          <w:szCs w:val="17"/>
          <w:color w:val="003551"/>
        </w:rPr>
        <w:t>Section 14A of the Exchange Act requires IREN to provide an advisory stockholder vote to approve the compensation of our NEOs, as such compensation is disclosed pursuant to the disclosure rules of the SEC. Accordingly, we are providing our shareholders with the opportunity to cast an advisory vote on compensation of our NEOs in Fiscal 2025 as disclosed in this Proxy Statement, including the Compensation Discussion and Analysis, the compensation tables and other narrative executive compensation disclosures.</w:t>
      </w:r>
    </w:p>
    <w:p>
      <w:pPr>
        <w:spacing w:after="0" w:line="70" w:lineRule="exact"/>
        <w:rPr>
          <w:sz w:val="20"/>
          <w:szCs w:val="20"/>
          <w:color w:val="auto"/>
        </w:rPr>
      </w:pPr>
    </w:p>
    <w:p>
      <w:pPr>
        <w:ind w:left="940" w:right="1000"/>
        <w:spacing w:after="0" w:line="249" w:lineRule="auto"/>
        <w:rPr>
          <w:sz w:val="20"/>
          <w:szCs w:val="20"/>
          <w:color w:val="auto"/>
        </w:rPr>
      </w:pPr>
      <w:r>
        <w:rPr>
          <w:rFonts w:ascii="Arial" w:cs="Arial" w:eastAsia="Arial" w:hAnsi="Arial"/>
          <w:sz w:val="17"/>
          <w:szCs w:val="17"/>
          <w:color w:val="003551"/>
        </w:rPr>
        <w:t>This proposal, commonly known as a “say on pay” proposal, gives our shareholders the opportunity to express their views on our NEOs’ compensation as a whole. This vote is not intended to address any specific element of compensation but rather the overall compensation of our named officers and the philosophy, policies and practices described in this Proxy Statement. The Board and our Compensation Committee believe that these policies and practices are effective in implementing our compensation philosophy and in achieving our compensation program objectives.</w:t>
      </w:r>
    </w:p>
    <w:p>
      <w:pPr>
        <w:spacing w:after="0" w:line="67" w:lineRule="exact"/>
        <w:rPr>
          <w:sz w:val="20"/>
          <w:szCs w:val="20"/>
          <w:color w:val="auto"/>
        </w:rPr>
      </w:pPr>
    </w:p>
    <w:p>
      <w:pPr>
        <w:ind w:left="940" w:right="760"/>
        <w:spacing w:after="0" w:line="248" w:lineRule="auto"/>
        <w:rPr>
          <w:sz w:val="20"/>
          <w:szCs w:val="20"/>
          <w:color w:val="auto"/>
        </w:rPr>
      </w:pPr>
      <w:r>
        <w:rPr>
          <w:rFonts w:ascii="Arial" w:cs="Arial" w:eastAsia="Arial" w:hAnsi="Arial"/>
          <w:sz w:val="17"/>
          <w:szCs w:val="17"/>
          <w:color w:val="003551"/>
        </w:rPr>
        <w:t>Although, as an advisory vote, this proposal is not binding upon IREN, the Board, or the Compensation Committee, which is responsible for making decisions regarding the amount and form of compensation paid to our NEOs, will carefully consider the shareholder vote on this matter, along with all other expressions of shareholder views it receives on specific policies and desirable action. To help ensure that all shareholder views are well understood by the Board, we also encourage shareholders to use any of a number of direct communication mechanisms to effectively raise specific issues or concerns with regard to our executive compensation principles and practices.</w:t>
      </w:r>
    </w:p>
    <w:p>
      <w:pPr>
        <w:spacing w:after="0" w:line="96"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Resolution</w:t>
      </w:r>
    </w:p>
    <w:p>
      <w:pPr>
        <w:spacing w:after="0" w:line="45"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To consider and, if thought fit, to pass the following resolution as an ordinary resolution:</w:t>
      </w:r>
    </w:p>
    <w:p>
      <w:pPr>
        <w:spacing w:after="0" w:line="98" w:lineRule="exact"/>
        <w:rPr>
          <w:sz w:val="20"/>
          <w:szCs w:val="20"/>
          <w:color w:val="auto"/>
        </w:rPr>
      </w:pPr>
    </w:p>
    <w:p>
      <w:pPr>
        <w:ind w:left="940" w:right="840"/>
        <w:spacing w:after="0" w:line="263" w:lineRule="auto"/>
        <w:rPr>
          <w:sz w:val="20"/>
          <w:szCs w:val="20"/>
          <w:color w:val="auto"/>
        </w:rPr>
      </w:pPr>
      <w:r>
        <w:rPr>
          <w:rFonts w:ascii="Arial" w:cs="Arial" w:eastAsia="Arial" w:hAnsi="Arial"/>
          <w:sz w:val="17"/>
          <w:szCs w:val="17"/>
          <w:b w:val="1"/>
          <w:bCs w:val="1"/>
          <w:color w:val="003551"/>
        </w:rPr>
        <w:t xml:space="preserve">RESOLVED, </w:t>
      </w:r>
      <w:r>
        <w:rPr>
          <w:rFonts w:ascii="Arial" w:cs="Arial" w:eastAsia="Arial" w:hAnsi="Arial"/>
          <w:sz w:val="17"/>
          <w:szCs w:val="17"/>
          <w:color w:val="003551"/>
        </w:rPr>
        <w:t>that the compensation paid to IREN’s NEOs, as disclosed pursuant to Item 402 of</w:t>
      </w:r>
      <w:r>
        <w:rPr>
          <w:rFonts w:ascii="Arial" w:cs="Arial" w:eastAsia="Arial" w:hAnsi="Arial"/>
          <w:sz w:val="17"/>
          <w:szCs w:val="17"/>
          <w:b w:val="1"/>
          <w:bCs w:val="1"/>
          <w:color w:val="003551"/>
        </w:rPr>
        <w:t xml:space="preserve"> </w:t>
      </w:r>
      <w:r>
        <w:rPr>
          <w:rFonts w:ascii="Arial" w:cs="Arial" w:eastAsia="Arial" w:hAnsi="Arial"/>
          <w:sz w:val="17"/>
          <w:szCs w:val="17"/>
          <w:color w:val="003551"/>
        </w:rPr>
        <w:t>Regulation S-K, including the Compensation Discussion and Analysis, compensation tables and narrative disclosure is hereby APPROVED.</w:t>
      </w:r>
    </w:p>
    <w:p>
      <w:pPr>
        <w:spacing w:after="0" w:line="83"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Vote Required</w:t>
      </w:r>
    </w:p>
    <w:p>
      <w:pPr>
        <w:spacing w:after="0" w:line="52" w:lineRule="exact"/>
        <w:rPr>
          <w:sz w:val="20"/>
          <w:szCs w:val="20"/>
          <w:color w:val="auto"/>
        </w:rPr>
      </w:pPr>
    </w:p>
    <w:p>
      <w:pPr>
        <w:ind w:left="940" w:right="1320"/>
        <w:spacing w:after="0" w:line="283" w:lineRule="auto"/>
        <w:rPr>
          <w:sz w:val="20"/>
          <w:szCs w:val="20"/>
          <w:color w:val="auto"/>
        </w:rPr>
      </w:pPr>
      <w:r>
        <w:rPr>
          <w:rFonts w:ascii="Arial" w:cs="Arial" w:eastAsia="Arial" w:hAnsi="Arial"/>
          <w:sz w:val="17"/>
          <w:szCs w:val="17"/>
          <w:color w:val="003551"/>
        </w:rPr>
        <w:t>The affirmative vote of a majority of votes cast will be required to approve this non-binding advisory proposal.</w:t>
      </w:r>
    </w:p>
    <w:p>
      <w:pPr>
        <w:spacing w:after="0" w:line="37" w:lineRule="exact"/>
        <w:rPr>
          <w:sz w:val="20"/>
          <w:szCs w:val="20"/>
          <w:color w:val="auto"/>
        </w:rPr>
      </w:pPr>
    </w:p>
    <w:p>
      <w:pPr>
        <w:ind w:left="940" w:right="800"/>
        <w:spacing w:after="0" w:line="249" w:lineRule="auto"/>
        <w:rPr>
          <w:sz w:val="20"/>
          <w:szCs w:val="20"/>
          <w:color w:val="auto"/>
        </w:rPr>
      </w:pPr>
      <w:r>
        <w:rPr>
          <w:rFonts w:ascii="Arial" w:cs="Arial" w:eastAsia="Arial" w:hAnsi="Arial"/>
          <w:sz w:val="17"/>
          <w:szCs w:val="17"/>
          <w:color w:val="003551"/>
        </w:rPr>
        <w:t>Proposal 9 is a “non-routine” matter on which a broker, bank or other nominee is not entitled to vote shares held on behalf of a beneficial owner without receiving voting instructions from the beneficial owner. Consequently, if you hold your shares in street name (such as through a brokerage account) and you do not instruct your broker, bank or other nominee on how to vote on this Proposal 9, a “broker non-vote” will occur with respect to Proposal 9. Abstentions, if any, and broker non-votes with respect to Proposal 9 are not treated as votes cast and will not be counted in determining the outcome of Proposal 9.</w:t>
      </w:r>
    </w:p>
    <w:p>
      <w:pPr>
        <w:spacing w:after="0" w:line="67" w:lineRule="exact"/>
        <w:rPr>
          <w:sz w:val="20"/>
          <w:szCs w:val="20"/>
          <w:color w:val="auto"/>
        </w:rPr>
      </w:pPr>
    </w:p>
    <w:p>
      <w:pPr>
        <w:ind w:left="940" w:right="820"/>
        <w:spacing w:after="0" w:line="249" w:lineRule="auto"/>
        <w:rPr>
          <w:sz w:val="20"/>
          <w:szCs w:val="20"/>
          <w:color w:val="auto"/>
        </w:rPr>
      </w:pPr>
      <w:r>
        <w:rPr>
          <w:rFonts w:ascii="Arial" w:cs="Arial" w:eastAsia="Arial" w:hAnsi="Arial"/>
          <w:sz w:val="17"/>
          <w:szCs w:val="17"/>
          <w:color w:val="003551"/>
        </w:rPr>
        <w:t>While we intend to carefully consider the voting results of this proposal, this vote is advisory and therefore not binding on IREN, the Compensation Committee or the Board. The Board and the Compensation Committee value the opinions of our shareholders and, to the extent there is any significant vote against the NEO compensation as disclosed in this Proxy Statement, we will consider those shareholders’ concerns, and the Compensation Committee will evaluate whether any actions are necessary to address those concerns.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119380</wp:posOffset>
            </wp:positionV>
            <wp:extent cx="540385" cy="63182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6" w:right="12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40" w:right="880"/>
        <w:spacing w:after="0" w:line="251" w:lineRule="auto"/>
        <w:rPr>
          <w:sz w:val="20"/>
          <w:szCs w:val="20"/>
          <w:color w:val="auto"/>
        </w:rPr>
      </w:pPr>
      <w:r>
        <w:rPr>
          <w:rFonts w:ascii="Arial" w:cs="Arial" w:eastAsia="Arial" w:hAnsi="Arial"/>
          <w:sz w:val="17"/>
          <w:szCs w:val="17"/>
          <w:color w:val="003551"/>
        </w:rPr>
        <w:t>As Proposal 9 is connected directly or indirectly with the remuneration of members of IREN’s key management personnel, Australian law imposes additional restrictions on proxy voting by IREN's key management personnel or their closely related parties if the proxy appointment does not specify the way the proxy is to vote this resolution. See “What are the Board’s recommendations on how to vote my shares?” in the section “General Information about the Annual General Meeting” below for further details.</w:t>
      </w:r>
    </w:p>
    <w:p>
      <w:pPr>
        <w:spacing w:after="0" w:line="63" w:lineRule="exact"/>
        <w:rPr>
          <w:sz w:val="20"/>
          <w:szCs w:val="20"/>
          <w:color w:val="auto"/>
        </w:rPr>
      </w:pPr>
    </w:p>
    <w:p>
      <w:pPr>
        <w:ind w:left="940" w:right="980"/>
        <w:spacing w:after="0" w:line="295" w:lineRule="auto"/>
        <w:rPr>
          <w:sz w:val="20"/>
          <w:szCs w:val="20"/>
          <w:color w:val="auto"/>
        </w:rPr>
      </w:pPr>
      <w:r>
        <w:rPr>
          <w:rFonts w:ascii="Arial" w:cs="Arial" w:eastAsia="Arial" w:hAnsi="Arial"/>
          <w:sz w:val="17"/>
          <w:szCs w:val="17"/>
          <w:b w:val="1"/>
          <w:bCs w:val="1"/>
          <w:color w:val="003551"/>
        </w:rPr>
        <w:t>The Board unanimously recommends a vote FOR the approval of the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89535</wp:posOffset>
            </wp:positionV>
            <wp:extent cx="540385" cy="63182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940" w:right="900"/>
        <w:spacing w:after="0" w:line="280" w:lineRule="auto"/>
        <w:rPr>
          <w:sz w:val="20"/>
          <w:szCs w:val="20"/>
          <w:color w:val="auto"/>
        </w:rPr>
      </w:pPr>
      <w:r>
        <w:rPr>
          <w:rFonts w:ascii="Arial" w:cs="Arial" w:eastAsia="Arial" w:hAnsi="Arial"/>
          <w:sz w:val="28"/>
          <w:szCs w:val="28"/>
          <w:color w:val="003551"/>
        </w:rPr>
        <w:t>Proposal 10: Approve an advisory vote on the frequency of future advisory votes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522351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223510" cy="8255"/>
                    </a:xfrm>
                    <a:prstGeom prst="rect">
                      <a:avLst/>
                    </a:prstGeom>
                    <a:noFill/>
                  </pic:spPr>
                </pic:pic>
              </a:graphicData>
            </a:graphic>
          </wp:anchor>
        </w:drawing>
      </w:r>
    </w:p>
    <w:p>
      <w:pPr>
        <w:spacing w:after="0" w:line="9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Proposal</w:t>
      </w:r>
    </w:p>
    <w:p>
      <w:pPr>
        <w:spacing w:after="0" w:line="15" w:lineRule="exact"/>
        <w:rPr>
          <w:sz w:val="20"/>
          <w:szCs w:val="20"/>
          <w:color w:val="auto"/>
        </w:rPr>
      </w:pPr>
    </w:p>
    <w:p>
      <w:pPr>
        <w:ind w:left="940" w:right="1260"/>
        <w:spacing w:after="0" w:line="263" w:lineRule="auto"/>
        <w:rPr>
          <w:sz w:val="20"/>
          <w:szCs w:val="20"/>
          <w:color w:val="auto"/>
        </w:rPr>
      </w:pPr>
      <w:r>
        <w:rPr>
          <w:rFonts w:ascii="Arial" w:cs="Arial" w:eastAsia="Arial" w:hAnsi="Arial"/>
          <w:sz w:val="17"/>
          <w:szCs w:val="17"/>
          <w:color w:val="003551"/>
        </w:rPr>
        <w:t>As described in Proposal 9 above, we are providing our shareholders with the opportunity to cast an advisory vote on the compensation of IREN’s NEOs.</w:t>
      </w:r>
    </w:p>
    <w:p>
      <w:pPr>
        <w:spacing w:after="0" w:line="214"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Background</w:t>
      </w:r>
    </w:p>
    <w:p>
      <w:pPr>
        <w:spacing w:after="0" w:line="15" w:lineRule="exact"/>
        <w:rPr>
          <w:sz w:val="20"/>
          <w:szCs w:val="20"/>
          <w:color w:val="auto"/>
        </w:rPr>
      </w:pPr>
    </w:p>
    <w:p>
      <w:pPr>
        <w:ind w:left="940" w:right="800"/>
        <w:spacing w:after="0" w:line="246" w:lineRule="auto"/>
        <w:rPr>
          <w:sz w:val="20"/>
          <w:szCs w:val="20"/>
          <w:color w:val="auto"/>
        </w:rPr>
      </w:pPr>
      <w:r>
        <w:rPr>
          <w:rFonts w:ascii="Arial" w:cs="Arial" w:eastAsia="Arial" w:hAnsi="Arial"/>
          <w:sz w:val="17"/>
          <w:szCs w:val="17"/>
          <w:color w:val="003551"/>
        </w:rPr>
        <w:t>Section 14A of the Exchange Act requires IREN, at least once every six years, to allow our shareholders the opportunity to cast an advisory vote on how often we should seek future advisory votes on the compensation of IREN’s NEOs in our proxy materials for future shareholder meetings. Under this proposal, shareholders may vote to have the “say-on-pay” vote every year, every two years or every three years, or may abstain from voting.</w:t>
      </w:r>
    </w:p>
    <w:p>
      <w:pPr>
        <w:spacing w:after="0" w:line="69" w:lineRule="exact"/>
        <w:rPr>
          <w:sz w:val="20"/>
          <w:szCs w:val="20"/>
          <w:color w:val="auto"/>
        </w:rPr>
      </w:pPr>
    </w:p>
    <w:p>
      <w:pPr>
        <w:ind w:left="940" w:right="760"/>
        <w:spacing w:after="0" w:line="244" w:lineRule="auto"/>
        <w:rPr>
          <w:sz w:val="20"/>
          <w:szCs w:val="20"/>
          <w:color w:val="auto"/>
        </w:rPr>
      </w:pPr>
      <w:r>
        <w:rPr>
          <w:rFonts w:ascii="Arial" w:cs="Arial" w:eastAsia="Arial" w:hAnsi="Arial"/>
          <w:sz w:val="17"/>
          <w:szCs w:val="17"/>
          <w:color w:val="003551"/>
        </w:rPr>
        <w:t>After careful consideration, the Board believes that submitting the advisory vote on executive compensation on an annual basis is appropriate for our company and its shareholders at this time. This determination by the Board was influenced by the fact that meaningful portions of the compensation of our NEOs are evaluated, adjusted and approved on an annual basis, even though our compensation policies and practices are designed to incentivize our NEOs to build long-term shareholder value. As part of the annual compensation review process, the Board believes that shareholder perspectives should be a factor that is taken into consideration by the Board and the Compensation Committee in making decisions with respect to executive compensation. By providing an advisory vote on executive compensation on an annual basis, our shareholders will be able to provide IREN with direct input on our compensation philosophy, policies and practices as disclosed in the Proxy Statement each year. We understand that our shareholders may have different views as to what is the best approach for IREN, and we look forward to hearing from our shareholders on this agenda item every year. Accordingly, the Board recommends that the advisory vote on executive compensation be held every year.</w:t>
      </w:r>
    </w:p>
    <w:p>
      <w:pPr>
        <w:spacing w:after="0" w:line="223"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Resolution</w:t>
      </w:r>
    </w:p>
    <w:p>
      <w:pPr>
        <w:spacing w:after="0" w:line="15" w:lineRule="exact"/>
        <w:rPr>
          <w:sz w:val="20"/>
          <w:szCs w:val="20"/>
          <w:color w:val="auto"/>
        </w:rPr>
      </w:pPr>
    </w:p>
    <w:p>
      <w:pPr>
        <w:ind w:left="940" w:right="940"/>
        <w:spacing w:after="0" w:line="263" w:lineRule="auto"/>
        <w:rPr>
          <w:sz w:val="20"/>
          <w:szCs w:val="20"/>
          <w:color w:val="auto"/>
        </w:rPr>
      </w:pPr>
      <w:r>
        <w:rPr>
          <w:rFonts w:ascii="Arial" w:cs="Arial" w:eastAsia="Arial" w:hAnsi="Arial"/>
          <w:sz w:val="17"/>
          <w:szCs w:val="17"/>
          <w:color w:val="003551"/>
        </w:rPr>
        <w:t>This advisory vote gives you as a shareholder the opportunity to vote on the frequency of advisory votes on executive compensation for IREN’s NEOs through the following ordinary resolution:</w:t>
      </w:r>
    </w:p>
    <w:p>
      <w:pPr>
        <w:spacing w:after="0" w:line="51" w:lineRule="exact"/>
        <w:rPr>
          <w:sz w:val="20"/>
          <w:szCs w:val="20"/>
          <w:color w:val="auto"/>
        </w:rPr>
      </w:pPr>
    </w:p>
    <w:p>
      <w:pPr>
        <w:ind w:left="940" w:right="840"/>
        <w:spacing w:after="0" w:line="286" w:lineRule="auto"/>
        <w:rPr>
          <w:sz w:val="20"/>
          <w:szCs w:val="20"/>
          <w:color w:val="auto"/>
        </w:rPr>
      </w:pPr>
      <w:r>
        <w:rPr>
          <w:rFonts w:ascii="Arial" w:cs="Arial" w:eastAsia="Arial" w:hAnsi="Arial"/>
          <w:sz w:val="17"/>
          <w:szCs w:val="17"/>
          <w:b w:val="1"/>
          <w:bCs w:val="1"/>
          <w:color w:val="003551"/>
        </w:rPr>
        <w:t xml:space="preserve">RESOLVED, </w:t>
      </w:r>
      <w:r>
        <w:rPr>
          <w:rFonts w:ascii="Arial" w:cs="Arial" w:eastAsia="Arial" w:hAnsi="Arial"/>
          <w:sz w:val="17"/>
          <w:szCs w:val="17"/>
          <w:color w:val="003551"/>
        </w:rPr>
        <w:t>that the shareholders wish IREN to include an advisory vote on the compensation of IREN’s</w:t>
      </w:r>
      <w:r>
        <w:rPr>
          <w:rFonts w:ascii="Arial" w:cs="Arial" w:eastAsia="Arial" w:hAnsi="Arial"/>
          <w:sz w:val="17"/>
          <w:szCs w:val="17"/>
          <w:b w:val="1"/>
          <w:bCs w:val="1"/>
          <w:color w:val="003551"/>
        </w:rPr>
        <w:t xml:space="preserve"> </w:t>
      </w:r>
      <w:r>
        <w:rPr>
          <w:rFonts w:ascii="Arial" w:cs="Arial" w:eastAsia="Arial" w:hAnsi="Arial"/>
          <w:sz w:val="17"/>
          <w:szCs w:val="17"/>
          <w:color w:val="003551"/>
        </w:rPr>
        <w:t>NEOs pursuant to Rule 14a-21(b) of the Exchange Act:</w:t>
      </w:r>
    </w:p>
    <w:p>
      <w:pPr>
        <w:spacing w:after="0" w:line="73" w:lineRule="exact"/>
        <w:rPr>
          <w:sz w:val="20"/>
          <w:szCs w:val="20"/>
          <w:color w:val="auto"/>
        </w:rPr>
      </w:pPr>
    </w:p>
    <w:p>
      <w:pPr>
        <w:ind w:left="1280" w:hanging="337"/>
        <w:spacing w:after="0"/>
        <w:tabs>
          <w:tab w:leader="none" w:pos="1280" w:val="left"/>
        </w:tabs>
        <w:numPr>
          <w:ilvl w:val="0"/>
          <w:numId w:val="63"/>
        </w:numPr>
        <w:rPr>
          <w:rFonts w:ascii="Arial" w:cs="Arial" w:eastAsia="Arial" w:hAnsi="Arial"/>
          <w:sz w:val="17"/>
          <w:szCs w:val="17"/>
          <w:color w:val="003551"/>
        </w:rPr>
      </w:pPr>
      <w:r>
        <w:rPr>
          <w:rFonts w:ascii="Arial" w:cs="Arial" w:eastAsia="Arial" w:hAnsi="Arial"/>
          <w:sz w:val="17"/>
          <w:szCs w:val="17"/>
          <w:color w:val="003551"/>
        </w:rPr>
        <w:t>Every Year;</w:t>
      </w:r>
    </w:p>
    <w:p>
      <w:pPr>
        <w:spacing w:after="0" w:line="131" w:lineRule="exact"/>
        <w:rPr>
          <w:rFonts w:ascii="Arial" w:cs="Arial" w:eastAsia="Arial" w:hAnsi="Arial"/>
          <w:sz w:val="17"/>
          <w:szCs w:val="17"/>
          <w:color w:val="003551"/>
        </w:rPr>
      </w:pPr>
    </w:p>
    <w:p>
      <w:pPr>
        <w:ind w:left="1280" w:hanging="337"/>
        <w:spacing w:after="0"/>
        <w:tabs>
          <w:tab w:leader="none" w:pos="1280" w:val="left"/>
        </w:tabs>
        <w:numPr>
          <w:ilvl w:val="0"/>
          <w:numId w:val="63"/>
        </w:numPr>
        <w:rPr>
          <w:rFonts w:ascii="Arial" w:cs="Arial" w:eastAsia="Arial" w:hAnsi="Arial"/>
          <w:sz w:val="17"/>
          <w:szCs w:val="17"/>
          <w:color w:val="003551"/>
        </w:rPr>
      </w:pPr>
      <w:r>
        <w:rPr>
          <w:rFonts w:ascii="Arial" w:cs="Arial" w:eastAsia="Arial" w:hAnsi="Arial"/>
          <w:sz w:val="17"/>
          <w:szCs w:val="17"/>
          <w:color w:val="003551"/>
        </w:rPr>
        <w:t>Every Two Years;</w:t>
      </w:r>
    </w:p>
    <w:p>
      <w:pPr>
        <w:spacing w:after="0" w:line="145" w:lineRule="exact"/>
        <w:rPr>
          <w:rFonts w:ascii="Arial" w:cs="Arial" w:eastAsia="Arial" w:hAnsi="Arial"/>
          <w:sz w:val="17"/>
          <w:szCs w:val="17"/>
          <w:color w:val="003551"/>
        </w:rPr>
      </w:pPr>
    </w:p>
    <w:p>
      <w:pPr>
        <w:ind w:left="1280" w:hanging="337"/>
        <w:spacing w:after="0"/>
        <w:tabs>
          <w:tab w:leader="none" w:pos="1280" w:val="left"/>
        </w:tabs>
        <w:numPr>
          <w:ilvl w:val="0"/>
          <w:numId w:val="63"/>
        </w:numPr>
        <w:rPr>
          <w:rFonts w:ascii="Arial" w:cs="Arial" w:eastAsia="Arial" w:hAnsi="Arial"/>
          <w:sz w:val="17"/>
          <w:szCs w:val="17"/>
          <w:color w:val="003551"/>
        </w:rPr>
      </w:pPr>
      <w:r>
        <w:rPr>
          <w:rFonts w:ascii="Arial" w:cs="Arial" w:eastAsia="Arial" w:hAnsi="Arial"/>
          <w:sz w:val="17"/>
          <w:szCs w:val="17"/>
          <w:color w:val="003551"/>
        </w:rPr>
        <w:t>Every Three Years; or</w:t>
      </w:r>
    </w:p>
    <w:p>
      <w:pPr>
        <w:spacing w:after="0" w:line="145" w:lineRule="exact"/>
        <w:rPr>
          <w:rFonts w:ascii="Arial" w:cs="Arial" w:eastAsia="Arial" w:hAnsi="Arial"/>
          <w:sz w:val="17"/>
          <w:szCs w:val="17"/>
          <w:color w:val="003551"/>
        </w:rPr>
      </w:pPr>
    </w:p>
    <w:p>
      <w:pPr>
        <w:ind w:left="1280" w:hanging="337"/>
        <w:spacing w:after="0"/>
        <w:tabs>
          <w:tab w:leader="none" w:pos="1280" w:val="left"/>
        </w:tabs>
        <w:numPr>
          <w:ilvl w:val="0"/>
          <w:numId w:val="63"/>
        </w:numPr>
        <w:rPr>
          <w:rFonts w:ascii="Arial" w:cs="Arial" w:eastAsia="Arial" w:hAnsi="Arial"/>
          <w:sz w:val="17"/>
          <w:szCs w:val="17"/>
          <w:color w:val="003551"/>
        </w:rPr>
      </w:pPr>
      <w:r>
        <w:rPr>
          <w:rFonts w:ascii="Arial" w:cs="Arial" w:eastAsia="Arial" w:hAnsi="Arial"/>
          <w:sz w:val="17"/>
          <w:szCs w:val="17"/>
          <w:color w:val="003551"/>
        </w:rPr>
        <w:t>Abstain.</w:t>
      </w:r>
    </w:p>
    <w:p>
      <w:pPr>
        <w:spacing w:after="0" w:line="253"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Vote Required</w:t>
      </w:r>
    </w:p>
    <w:p>
      <w:pPr>
        <w:spacing w:after="0" w:line="15" w:lineRule="exact"/>
        <w:rPr>
          <w:sz w:val="20"/>
          <w:szCs w:val="20"/>
          <w:color w:val="auto"/>
        </w:rPr>
      </w:pPr>
    </w:p>
    <w:p>
      <w:pPr>
        <w:ind w:left="940" w:right="900"/>
        <w:spacing w:after="0" w:line="252" w:lineRule="auto"/>
        <w:rPr>
          <w:sz w:val="20"/>
          <w:szCs w:val="20"/>
          <w:color w:val="auto"/>
        </w:rPr>
      </w:pPr>
      <w:r>
        <w:rPr>
          <w:rFonts w:ascii="Arial" w:cs="Arial" w:eastAsia="Arial" w:hAnsi="Arial"/>
          <w:sz w:val="17"/>
          <w:szCs w:val="17"/>
          <w:color w:val="003551"/>
        </w:rPr>
        <w:t>The affirmative vote of a majority of votes cast will be required to approve this proposal. If no option receives majority support, the frequency receiving the greatest number of votes will be deemed to be the frequency preferred by the shareholders.</w:t>
      </w:r>
    </w:p>
    <w:p>
      <w:pPr>
        <w:spacing w:after="0" w:line="62" w:lineRule="exact"/>
        <w:rPr>
          <w:sz w:val="20"/>
          <w:szCs w:val="20"/>
          <w:color w:val="auto"/>
        </w:rPr>
      </w:pPr>
    </w:p>
    <w:p>
      <w:pPr>
        <w:ind w:left="940" w:right="740"/>
        <w:spacing w:after="0" w:line="249" w:lineRule="auto"/>
        <w:rPr>
          <w:sz w:val="20"/>
          <w:szCs w:val="20"/>
          <w:color w:val="auto"/>
        </w:rPr>
      </w:pPr>
      <w:r>
        <w:rPr>
          <w:rFonts w:ascii="Arial" w:cs="Arial" w:eastAsia="Arial" w:hAnsi="Arial"/>
          <w:sz w:val="17"/>
          <w:szCs w:val="17"/>
          <w:color w:val="003551"/>
        </w:rPr>
        <w:t>Proposal 10 is a “non-routine” matter on which a broker, bank or other nominee is not entitled to vote shares held on behalf of a beneficial owner without receiving voting instructions from the beneficial owner. Consequently, if you hold your shares in street name (such as through a brokerage account) and you do not instruct your broker, bank or other nominee on how to vote on this Proposal 10, a “broker non-vote” will occur with respect to Proposal 10. Abstentions, if any, and broker non-votes with respect to Proposal 10 are not treated as votes cast and will not be counted in determining the outcome of Proposal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119380</wp:posOffset>
            </wp:positionV>
            <wp:extent cx="540385" cy="63182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228600</wp:posOffset>
            </wp:positionV>
            <wp:extent cx="6786880" cy="1651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40" w:right="860"/>
        <w:spacing w:after="0" w:line="262" w:lineRule="auto"/>
        <w:rPr>
          <w:sz w:val="20"/>
          <w:szCs w:val="20"/>
          <w:color w:val="auto"/>
        </w:rPr>
      </w:pPr>
      <w:r>
        <w:rPr>
          <w:rFonts w:ascii="Arial" w:cs="Arial" w:eastAsia="Arial" w:hAnsi="Arial"/>
          <w:sz w:val="17"/>
          <w:szCs w:val="17"/>
          <w:color w:val="003551"/>
        </w:rPr>
        <w:t>While we believe that a vote of every year is the best choice for us, you are not voting to approve or disapprove our recommendation of every year, but rather to make your own choice among a vote of once every year, every two years or every three years. You may also abstain from voting on this proposal.</w:t>
      </w:r>
    </w:p>
    <w:p>
      <w:pPr>
        <w:spacing w:after="0" w:line="54" w:lineRule="exact"/>
        <w:rPr>
          <w:sz w:val="20"/>
          <w:szCs w:val="20"/>
          <w:color w:val="auto"/>
        </w:rPr>
      </w:pPr>
    </w:p>
    <w:p>
      <w:pPr>
        <w:ind w:left="940" w:right="780"/>
        <w:spacing w:after="0" w:line="255" w:lineRule="auto"/>
        <w:rPr>
          <w:sz w:val="20"/>
          <w:szCs w:val="20"/>
          <w:color w:val="auto"/>
        </w:rPr>
      </w:pPr>
      <w:r>
        <w:rPr>
          <w:rFonts w:ascii="Arial" w:cs="Arial" w:eastAsia="Arial" w:hAnsi="Arial"/>
          <w:sz w:val="17"/>
          <w:szCs w:val="17"/>
          <w:color w:val="003551"/>
        </w:rPr>
        <w:t>This vote is advisory and therefore not binding on IREN, the Compensation Committee or the Board. The Board and the Compensation Committee value the opinions of our shareholders will consider the outcome of the vote when making future decisions regarding the frequency of holding future shareholder advisory votes on the compensation of our NEOs.</w:t>
      </w:r>
    </w:p>
    <w:p>
      <w:pPr>
        <w:spacing w:after="0" w:line="60" w:lineRule="exact"/>
        <w:rPr>
          <w:sz w:val="20"/>
          <w:szCs w:val="20"/>
          <w:color w:val="auto"/>
        </w:rPr>
      </w:pPr>
    </w:p>
    <w:p>
      <w:pPr>
        <w:ind w:left="940" w:right="880"/>
        <w:spacing w:after="0" w:line="251" w:lineRule="auto"/>
        <w:rPr>
          <w:sz w:val="20"/>
          <w:szCs w:val="20"/>
          <w:color w:val="auto"/>
        </w:rPr>
      </w:pPr>
      <w:r>
        <w:rPr>
          <w:rFonts w:ascii="Arial" w:cs="Arial" w:eastAsia="Arial" w:hAnsi="Arial"/>
          <w:sz w:val="17"/>
          <w:szCs w:val="17"/>
          <w:color w:val="003551"/>
        </w:rPr>
        <w:t>As Proposal 10 is connected directly or indirectly with the remuneration of members of IREN’s key management personnel, Australian law imposes additional restrictions on proxy voting by IREN’s key management personnel or their closely related parties if the proxy appointment does not specify the way the proxy is to vote this resolution. See “What are the Board’s recommendations on how to vote my shares?” in the section “General Information about the Annual General Meeting” below for further details.</w:t>
      </w:r>
    </w:p>
    <w:p>
      <w:pPr>
        <w:spacing w:after="0" w:line="63" w:lineRule="exact"/>
        <w:rPr>
          <w:sz w:val="20"/>
          <w:szCs w:val="20"/>
          <w:color w:val="auto"/>
        </w:rPr>
      </w:pPr>
    </w:p>
    <w:p>
      <w:pPr>
        <w:ind w:left="940" w:right="1140"/>
        <w:spacing w:after="0" w:line="295" w:lineRule="auto"/>
        <w:rPr>
          <w:sz w:val="20"/>
          <w:szCs w:val="20"/>
          <w:color w:val="auto"/>
        </w:rPr>
      </w:pPr>
      <w:r>
        <w:rPr>
          <w:rFonts w:ascii="Arial" w:cs="Arial" w:eastAsia="Arial" w:hAnsi="Arial"/>
          <w:sz w:val="17"/>
          <w:szCs w:val="17"/>
          <w:b w:val="1"/>
          <w:bCs w:val="1"/>
          <w:color w:val="003551"/>
        </w:rPr>
        <w:t>The Board unanimously recommends a vote for “EVERY YEAR” as to the advisory vote on the frequency of future advisory votes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89535</wp:posOffset>
            </wp:positionV>
            <wp:extent cx="540385" cy="63182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940"/>
        <w:spacing w:after="0"/>
        <w:rPr>
          <w:sz w:val="20"/>
          <w:szCs w:val="20"/>
          <w:color w:val="auto"/>
        </w:rPr>
      </w:pPr>
      <w:r>
        <w:rPr>
          <w:rFonts w:ascii="Arial" w:cs="Arial" w:eastAsia="Arial" w:hAnsi="Arial"/>
          <w:sz w:val="35"/>
          <w:szCs w:val="35"/>
          <w:color w:val="77C483"/>
        </w:rPr>
        <w:t>Audit and Risk Committee Matters</w:t>
      </w:r>
    </w:p>
    <w:p>
      <w:pPr>
        <w:spacing w:after="0" w:line="261"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Audit and Risk Committee Pre-Approval Policies and Procedures</w:t>
      </w:r>
    </w:p>
    <w:p>
      <w:pPr>
        <w:spacing w:after="0" w:line="15" w:lineRule="exact"/>
        <w:rPr>
          <w:sz w:val="20"/>
          <w:szCs w:val="20"/>
          <w:color w:val="auto"/>
        </w:rPr>
      </w:pPr>
    </w:p>
    <w:p>
      <w:pPr>
        <w:ind w:left="940" w:right="780"/>
        <w:spacing w:after="0" w:line="245" w:lineRule="auto"/>
        <w:rPr>
          <w:sz w:val="20"/>
          <w:szCs w:val="20"/>
          <w:color w:val="auto"/>
        </w:rPr>
      </w:pPr>
      <w:r>
        <w:rPr>
          <w:rFonts w:ascii="Arial" w:cs="Arial" w:eastAsia="Arial" w:hAnsi="Arial"/>
          <w:sz w:val="17"/>
          <w:szCs w:val="17"/>
          <w:color w:val="003551"/>
        </w:rPr>
        <w:t>IREN’s Audit and Risk Committee has established pre-approval policies and procedures applicable to all services provided by IREN’s independent registered public accounting firm, pursuant to which the Audit and Risk Committee reviewed for approval each particular service expected to be provided. In connection with that review, the Audit and Risk Committee is provided with detailed information so that it can make well-reasoned assessments of the impact of the services on the independence of the independent auditor. All the services shown in the table below were approved by the Audit and Risk Committee in accordance with these pre-approval policies and procedures.</w:t>
      </w:r>
    </w:p>
    <w:p>
      <w:pPr>
        <w:spacing w:after="0" w:line="215"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Audit and Non-Audit Services</w:t>
      </w:r>
    </w:p>
    <w:p>
      <w:pPr>
        <w:spacing w:after="0" w:line="15" w:lineRule="exact"/>
        <w:rPr>
          <w:sz w:val="20"/>
          <w:szCs w:val="20"/>
          <w:color w:val="auto"/>
        </w:rPr>
      </w:pPr>
    </w:p>
    <w:p>
      <w:pPr>
        <w:jc w:val="both"/>
        <w:ind w:left="940" w:right="820"/>
        <w:spacing w:after="0" w:line="248" w:lineRule="auto"/>
        <w:rPr>
          <w:sz w:val="20"/>
          <w:szCs w:val="20"/>
          <w:color w:val="auto"/>
        </w:rPr>
      </w:pPr>
      <w:r>
        <w:rPr>
          <w:rFonts w:ascii="Arial" w:cs="Arial" w:eastAsia="Arial" w:hAnsi="Arial"/>
          <w:sz w:val="17"/>
          <w:szCs w:val="17"/>
          <w:color w:val="003551"/>
        </w:rPr>
        <w:t>Raymond Chabot Grant Thornton (“</w:t>
      </w:r>
      <w:r>
        <w:rPr>
          <w:rFonts w:ascii="Arial" w:cs="Arial" w:eastAsia="Arial" w:hAnsi="Arial"/>
          <w:sz w:val="17"/>
          <w:szCs w:val="17"/>
          <w:b w:val="1"/>
          <w:bCs w:val="1"/>
          <w:color w:val="003551"/>
        </w:rPr>
        <w:t>RCGT</w:t>
      </w:r>
      <w:r>
        <w:rPr>
          <w:rFonts w:ascii="Arial" w:cs="Arial" w:eastAsia="Arial" w:hAnsi="Arial"/>
          <w:sz w:val="17"/>
          <w:szCs w:val="17"/>
          <w:color w:val="003551"/>
        </w:rPr>
        <w:t>”) was IREN’s independent registered public accounting firm for each of the fiscal years ended June 30, 2025 and 2024. Representatives from RCGT are not expected to be present at the AGM. Fees incurred by IREN and its subsidiaries for professional services rendered by RCGT with respect to the fiscal years ended June 30, 2025 and 2024 were as follows:</w:t>
      </w:r>
    </w:p>
    <w:p>
      <w:pPr>
        <w:spacing w:after="0" w:line="123" w:lineRule="exact"/>
        <w:rPr>
          <w:sz w:val="20"/>
          <w:szCs w:val="20"/>
          <w:color w:val="auto"/>
        </w:rPr>
      </w:pPr>
    </w:p>
    <w:tbl>
      <w:tblPr>
        <w:tblLayout w:type="fixed"/>
        <w:tblInd w:w="940" w:type="dxa"/>
        <w:tblCellMar>
          <w:top w:w="0" w:type="dxa"/>
          <w:left w:w="0" w:type="dxa"/>
          <w:bottom w:w="0" w:type="dxa"/>
          <w:right w:w="0" w:type="dxa"/>
        </w:tblCellMar>
      </w:tblPr>
      <w:tr>
        <w:trPr>
          <w:trHeight w:val="335"/>
        </w:trPr>
        <w:tc>
          <w:tcPr>
            <w:tcW w:w="3560" w:type="dxa"/>
            <w:vAlign w:val="bottom"/>
            <w:shd w:val="clear" w:color="auto" w:fill="77C483"/>
          </w:tcPr>
          <w:p>
            <w:pPr>
              <w:spacing w:after="0"/>
              <w:rPr>
                <w:sz w:val="24"/>
                <w:szCs w:val="24"/>
                <w:color w:val="auto"/>
              </w:rPr>
            </w:pPr>
          </w:p>
        </w:tc>
        <w:tc>
          <w:tcPr>
            <w:tcW w:w="3180" w:type="dxa"/>
            <w:vAlign w:val="bottom"/>
            <w:shd w:val="clear" w:color="auto" w:fill="77C483"/>
          </w:tcPr>
          <w:p>
            <w:pPr>
              <w:ind w:left="1820"/>
              <w:spacing w:after="0"/>
              <w:rPr>
                <w:sz w:val="20"/>
                <w:szCs w:val="20"/>
                <w:color w:val="auto"/>
              </w:rPr>
            </w:pPr>
            <w:r>
              <w:rPr>
                <w:rFonts w:ascii="Arial" w:cs="Arial" w:eastAsia="Arial" w:hAnsi="Arial"/>
                <w:sz w:val="17"/>
                <w:szCs w:val="17"/>
                <w:b w:val="1"/>
                <w:bCs w:val="1"/>
                <w:color w:val="003551"/>
              </w:rPr>
              <w:t>2025</w:t>
            </w:r>
          </w:p>
        </w:tc>
        <w:tc>
          <w:tcPr>
            <w:tcW w:w="1500" w:type="dxa"/>
            <w:vAlign w:val="bottom"/>
            <w:shd w:val="clear" w:color="auto" w:fill="77C483"/>
          </w:tcPr>
          <w:p>
            <w:pPr>
              <w:ind w:left="180"/>
              <w:spacing w:after="0"/>
              <w:rPr>
                <w:sz w:val="20"/>
                <w:szCs w:val="20"/>
                <w:color w:val="auto"/>
              </w:rPr>
            </w:pPr>
            <w:r>
              <w:rPr>
                <w:rFonts w:ascii="Arial" w:cs="Arial" w:eastAsia="Arial" w:hAnsi="Arial"/>
                <w:sz w:val="17"/>
                <w:szCs w:val="17"/>
                <w:b w:val="1"/>
                <w:bCs w:val="1"/>
                <w:color w:val="003551"/>
              </w:rPr>
              <w:t>2024</w:t>
            </w:r>
          </w:p>
        </w:tc>
      </w:tr>
      <w:tr>
        <w:trPr>
          <w:trHeight w:val="240"/>
        </w:trPr>
        <w:tc>
          <w:tcPr>
            <w:tcW w:w="3560" w:type="dxa"/>
            <w:vAlign w:val="bottom"/>
            <w:shd w:val="clear" w:color="auto" w:fill="77C483"/>
          </w:tcPr>
          <w:p>
            <w:pPr>
              <w:ind w:left="140"/>
              <w:spacing w:after="0"/>
              <w:rPr>
                <w:sz w:val="20"/>
                <w:szCs w:val="20"/>
                <w:color w:val="auto"/>
              </w:rPr>
            </w:pPr>
            <w:r>
              <w:rPr>
                <w:rFonts w:ascii="Arial" w:cs="Arial" w:eastAsia="Arial" w:hAnsi="Arial"/>
                <w:sz w:val="17"/>
                <w:szCs w:val="17"/>
                <w:b w:val="1"/>
                <w:bCs w:val="1"/>
                <w:color w:val="003551"/>
              </w:rPr>
              <w:t>Description</w:t>
            </w:r>
          </w:p>
        </w:tc>
        <w:tc>
          <w:tcPr>
            <w:tcW w:w="3180" w:type="dxa"/>
            <w:vAlign w:val="bottom"/>
            <w:shd w:val="clear" w:color="auto" w:fill="77C483"/>
          </w:tcPr>
          <w:p>
            <w:pPr>
              <w:ind w:left="1820"/>
              <w:spacing w:after="0"/>
              <w:rPr>
                <w:sz w:val="20"/>
                <w:szCs w:val="20"/>
                <w:color w:val="auto"/>
              </w:rPr>
            </w:pPr>
            <w:r>
              <w:rPr>
                <w:rFonts w:ascii="Arial" w:cs="Arial" w:eastAsia="Arial" w:hAnsi="Arial"/>
                <w:sz w:val="17"/>
                <w:szCs w:val="17"/>
                <w:b w:val="1"/>
                <w:bCs w:val="1"/>
                <w:color w:val="003551"/>
              </w:rPr>
              <w:t>(in thousands)</w:t>
            </w:r>
          </w:p>
        </w:tc>
        <w:tc>
          <w:tcPr>
            <w:tcW w:w="1500" w:type="dxa"/>
            <w:vAlign w:val="bottom"/>
            <w:shd w:val="clear" w:color="auto" w:fill="77C483"/>
          </w:tcPr>
          <w:p>
            <w:pPr>
              <w:ind w:left="180"/>
              <w:spacing w:after="0"/>
              <w:rPr>
                <w:sz w:val="20"/>
                <w:szCs w:val="20"/>
                <w:color w:val="auto"/>
              </w:rPr>
            </w:pPr>
            <w:r>
              <w:rPr>
                <w:rFonts w:ascii="Arial" w:cs="Arial" w:eastAsia="Arial" w:hAnsi="Arial"/>
                <w:sz w:val="17"/>
                <w:szCs w:val="17"/>
                <w:b w:val="1"/>
                <w:bCs w:val="1"/>
                <w:color w:val="003551"/>
              </w:rPr>
              <w:t>(in thousands)</w:t>
            </w:r>
          </w:p>
        </w:tc>
      </w:tr>
      <w:tr>
        <w:trPr>
          <w:trHeight w:val="93"/>
        </w:trPr>
        <w:tc>
          <w:tcPr>
            <w:tcW w:w="3560" w:type="dxa"/>
            <w:vAlign w:val="bottom"/>
            <w:tcBorders>
              <w:bottom w:val="single" w:sz="8" w:color="003551"/>
            </w:tcBorders>
            <w:shd w:val="clear" w:color="auto" w:fill="77C483"/>
          </w:tcPr>
          <w:p>
            <w:pPr>
              <w:spacing w:after="0"/>
              <w:rPr>
                <w:sz w:val="8"/>
                <w:szCs w:val="8"/>
                <w:color w:val="auto"/>
              </w:rPr>
            </w:pPr>
          </w:p>
        </w:tc>
        <w:tc>
          <w:tcPr>
            <w:tcW w:w="3180" w:type="dxa"/>
            <w:vAlign w:val="bottom"/>
            <w:tcBorders>
              <w:bottom w:val="single" w:sz="8" w:color="003551"/>
            </w:tcBorders>
            <w:shd w:val="clear" w:color="auto" w:fill="77C483"/>
          </w:tcPr>
          <w:p>
            <w:pPr>
              <w:spacing w:after="0"/>
              <w:rPr>
                <w:sz w:val="8"/>
                <w:szCs w:val="8"/>
                <w:color w:val="auto"/>
              </w:rPr>
            </w:pPr>
          </w:p>
        </w:tc>
        <w:tc>
          <w:tcPr>
            <w:tcW w:w="1500" w:type="dxa"/>
            <w:vAlign w:val="bottom"/>
            <w:tcBorders>
              <w:bottom w:val="single" w:sz="8" w:color="003551"/>
            </w:tcBorders>
            <w:shd w:val="clear" w:color="auto" w:fill="77C483"/>
          </w:tcPr>
          <w:p>
            <w:pPr>
              <w:spacing w:after="0"/>
              <w:rPr>
                <w:sz w:val="8"/>
                <w:szCs w:val="8"/>
                <w:color w:val="auto"/>
              </w:rPr>
            </w:pPr>
          </w:p>
        </w:tc>
      </w:tr>
      <w:tr>
        <w:trPr>
          <w:trHeight w:val="332"/>
        </w:trPr>
        <w:tc>
          <w:tcPr>
            <w:tcW w:w="3560" w:type="dxa"/>
            <w:vAlign w:val="bottom"/>
          </w:tcPr>
          <w:p>
            <w:pPr>
              <w:ind w:left="140"/>
              <w:spacing w:after="0"/>
              <w:rPr>
                <w:sz w:val="20"/>
                <w:szCs w:val="20"/>
                <w:color w:val="auto"/>
              </w:rPr>
            </w:pPr>
            <w:r>
              <w:rPr>
                <w:rFonts w:ascii="Arial" w:cs="Arial" w:eastAsia="Arial" w:hAnsi="Arial"/>
                <w:sz w:val="17"/>
                <w:szCs w:val="17"/>
                <w:b w:val="1"/>
                <w:bCs w:val="1"/>
                <w:color w:val="003551"/>
              </w:rPr>
              <w:t>Audit Fees</w:t>
            </w:r>
          </w:p>
        </w:tc>
        <w:tc>
          <w:tcPr>
            <w:tcW w:w="3180" w:type="dxa"/>
            <w:vAlign w:val="bottom"/>
          </w:tcPr>
          <w:p>
            <w:pPr>
              <w:ind w:left="1820"/>
              <w:spacing w:after="0"/>
              <w:rPr>
                <w:sz w:val="20"/>
                <w:szCs w:val="20"/>
                <w:color w:val="auto"/>
              </w:rPr>
            </w:pPr>
            <w:r>
              <w:rPr>
                <w:rFonts w:ascii="Arial" w:cs="Arial" w:eastAsia="Arial" w:hAnsi="Arial"/>
                <w:sz w:val="17"/>
                <w:szCs w:val="17"/>
                <w:color w:val="003551"/>
              </w:rPr>
              <w:t>2,688</w:t>
            </w:r>
          </w:p>
        </w:tc>
        <w:tc>
          <w:tcPr>
            <w:tcW w:w="1500" w:type="dxa"/>
            <w:vAlign w:val="bottom"/>
          </w:tcPr>
          <w:p>
            <w:pPr>
              <w:ind w:left="180"/>
              <w:spacing w:after="0"/>
              <w:rPr>
                <w:sz w:val="20"/>
                <w:szCs w:val="20"/>
                <w:color w:val="auto"/>
              </w:rPr>
            </w:pPr>
            <w:r>
              <w:rPr>
                <w:rFonts w:ascii="Arial" w:cs="Arial" w:eastAsia="Arial" w:hAnsi="Arial"/>
                <w:sz w:val="17"/>
                <w:szCs w:val="17"/>
                <w:color w:val="003551"/>
              </w:rPr>
              <w:t>912</w:t>
            </w:r>
          </w:p>
        </w:tc>
      </w:tr>
      <w:tr>
        <w:trPr>
          <w:trHeight w:val="432"/>
        </w:trPr>
        <w:tc>
          <w:tcPr>
            <w:tcW w:w="3560" w:type="dxa"/>
            <w:vAlign w:val="bottom"/>
          </w:tcPr>
          <w:p>
            <w:pPr>
              <w:ind w:left="140"/>
              <w:spacing w:after="0"/>
              <w:rPr>
                <w:sz w:val="20"/>
                <w:szCs w:val="20"/>
                <w:color w:val="auto"/>
              </w:rPr>
            </w:pPr>
            <w:r>
              <w:rPr>
                <w:rFonts w:ascii="Arial" w:cs="Arial" w:eastAsia="Arial" w:hAnsi="Arial"/>
                <w:sz w:val="17"/>
                <w:szCs w:val="17"/>
                <w:b w:val="1"/>
                <w:bCs w:val="1"/>
                <w:color w:val="003551"/>
              </w:rPr>
              <w:t>Audit-Related Fees</w:t>
            </w:r>
          </w:p>
        </w:tc>
        <w:tc>
          <w:tcPr>
            <w:tcW w:w="3180" w:type="dxa"/>
            <w:vAlign w:val="bottom"/>
          </w:tcPr>
          <w:p>
            <w:pPr>
              <w:ind w:left="1820"/>
              <w:spacing w:after="0"/>
              <w:rPr>
                <w:sz w:val="20"/>
                <w:szCs w:val="20"/>
                <w:color w:val="auto"/>
              </w:rPr>
            </w:pPr>
            <w:r>
              <w:rPr>
                <w:rFonts w:ascii="Arial" w:cs="Arial" w:eastAsia="Arial" w:hAnsi="Arial"/>
                <w:sz w:val="17"/>
                <w:szCs w:val="17"/>
                <w:color w:val="003551"/>
              </w:rPr>
              <w:t>86</w:t>
            </w:r>
          </w:p>
        </w:tc>
        <w:tc>
          <w:tcPr>
            <w:tcW w:w="1500" w:type="dxa"/>
            <w:vAlign w:val="bottom"/>
          </w:tcPr>
          <w:p>
            <w:pPr>
              <w:ind w:left="180"/>
              <w:spacing w:after="0"/>
              <w:rPr>
                <w:sz w:val="20"/>
                <w:szCs w:val="20"/>
                <w:color w:val="auto"/>
              </w:rPr>
            </w:pPr>
            <w:r>
              <w:rPr>
                <w:rFonts w:ascii="Arial" w:cs="Arial" w:eastAsia="Arial" w:hAnsi="Arial"/>
                <w:sz w:val="17"/>
                <w:szCs w:val="17"/>
                <w:color w:val="003551"/>
              </w:rPr>
              <w:t>102</w:t>
            </w:r>
          </w:p>
        </w:tc>
      </w:tr>
      <w:tr>
        <w:trPr>
          <w:trHeight w:val="432"/>
        </w:trPr>
        <w:tc>
          <w:tcPr>
            <w:tcW w:w="3560" w:type="dxa"/>
            <w:vAlign w:val="bottom"/>
          </w:tcPr>
          <w:p>
            <w:pPr>
              <w:ind w:left="140"/>
              <w:spacing w:after="0"/>
              <w:rPr>
                <w:sz w:val="20"/>
                <w:szCs w:val="20"/>
                <w:color w:val="auto"/>
              </w:rPr>
            </w:pPr>
            <w:r>
              <w:rPr>
                <w:rFonts w:ascii="Arial" w:cs="Arial" w:eastAsia="Arial" w:hAnsi="Arial"/>
                <w:sz w:val="17"/>
                <w:szCs w:val="17"/>
                <w:b w:val="1"/>
                <w:bCs w:val="1"/>
                <w:color w:val="003551"/>
              </w:rPr>
              <w:t>Tax Fees</w:t>
            </w:r>
          </w:p>
        </w:tc>
        <w:tc>
          <w:tcPr>
            <w:tcW w:w="3180" w:type="dxa"/>
            <w:vAlign w:val="bottom"/>
          </w:tcPr>
          <w:p>
            <w:pPr>
              <w:ind w:left="1820"/>
              <w:spacing w:after="0"/>
              <w:rPr>
                <w:sz w:val="20"/>
                <w:szCs w:val="20"/>
                <w:color w:val="auto"/>
              </w:rPr>
            </w:pPr>
            <w:r>
              <w:rPr>
                <w:rFonts w:ascii="Arial" w:cs="Arial" w:eastAsia="Arial" w:hAnsi="Arial"/>
                <w:sz w:val="17"/>
                <w:szCs w:val="17"/>
                <w:color w:val="003551"/>
              </w:rPr>
              <w:t>-</w:t>
            </w:r>
          </w:p>
        </w:tc>
        <w:tc>
          <w:tcPr>
            <w:tcW w:w="1500" w:type="dxa"/>
            <w:vAlign w:val="bottom"/>
          </w:tcPr>
          <w:p>
            <w:pPr>
              <w:ind w:left="180"/>
              <w:spacing w:after="0"/>
              <w:rPr>
                <w:sz w:val="20"/>
                <w:szCs w:val="20"/>
                <w:color w:val="auto"/>
              </w:rPr>
            </w:pPr>
            <w:r>
              <w:rPr>
                <w:rFonts w:ascii="Arial" w:cs="Arial" w:eastAsia="Arial" w:hAnsi="Arial"/>
                <w:sz w:val="17"/>
                <w:szCs w:val="17"/>
                <w:color w:val="003551"/>
              </w:rPr>
              <w:t>-</w:t>
            </w:r>
          </w:p>
        </w:tc>
      </w:tr>
      <w:tr>
        <w:trPr>
          <w:trHeight w:val="432"/>
        </w:trPr>
        <w:tc>
          <w:tcPr>
            <w:tcW w:w="3560" w:type="dxa"/>
            <w:vAlign w:val="bottom"/>
          </w:tcPr>
          <w:p>
            <w:pPr>
              <w:ind w:left="140"/>
              <w:spacing w:after="0"/>
              <w:rPr>
                <w:sz w:val="20"/>
                <w:szCs w:val="20"/>
                <w:color w:val="auto"/>
              </w:rPr>
            </w:pPr>
            <w:r>
              <w:rPr>
                <w:rFonts w:ascii="Arial" w:cs="Arial" w:eastAsia="Arial" w:hAnsi="Arial"/>
                <w:sz w:val="17"/>
                <w:szCs w:val="17"/>
                <w:b w:val="1"/>
                <w:bCs w:val="1"/>
                <w:color w:val="003551"/>
              </w:rPr>
              <w:t>All Other Fees</w:t>
            </w:r>
          </w:p>
        </w:tc>
        <w:tc>
          <w:tcPr>
            <w:tcW w:w="3180" w:type="dxa"/>
            <w:vAlign w:val="bottom"/>
          </w:tcPr>
          <w:p>
            <w:pPr>
              <w:ind w:left="1820"/>
              <w:spacing w:after="0"/>
              <w:rPr>
                <w:sz w:val="20"/>
                <w:szCs w:val="20"/>
                <w:color w:val="auto"/>
              </w:rPr>
            </w:pPr>
            <w:r>
              <w:rPr>
                <w:rFonts w:ascii="Arial" w:cs="Arial" w:eastAsia="Arial" w:hAnsi="Arial"/>
                <w:sz w:val="17"/>
                <w:szCs w:val="17"/>
                <w:color w:val="003551"/>
              </w:rPr>
              <w:t>-</w:t>
            </w:r>
          </w:p>
        </w:tc>
        <w:tc>
          <w:tcPr>
            <w:tcW w:w="1500" w:type="dxa"/>
            <w:vAlign w:val="bottom"/>
          </w:tcPr>
          <w:p>
            <w:pPr>
              <w:ind w:left="180"/>
              <w:spacing w:after="0"/>
              <w:rPr>
                <w:sz w:val="20"/>
                <w:szCs w:val="20"/>
                <w:color w:val="auto"/>
              </w:rPr>
            </w:pPr>
            <w:r>
              <w:rPr>
                <w:rFonts w:ascii="Arial" w:cs="Arial" w:eastAsia="Arial" w:hAnsi="Arial"/>
                <w:sz w:val="17"/>
                <w:szCs w:val="17"/>
                <w:color w:val="003551"/>
              </w:rPr>
              <w:t>-</w:t>
            </w:r>
          </w:p>
        </w:tc>
      </w:tr>
      <w:tr>
        <w:trPr>
          <w:trHeight w:val="432"/>
        </w:trPr>
        <w:tc>
          <w:tcPr>
            <w:tcW w:w="3560" w:type="dxa"/>
            <w:vAlign w:val="bottom"/>
          </w:tcPr>
          <w:p>
            <w:pPr>
              <w:ind w:left="140"/>
              <w:spacing w:after="0"/>
              <w:rPr>
                <w:sz w:val="20"/>
                <w:szCs w:val="20"/>
                <w:color w:val="auto"/>
              </w:rPr>
            </w:pPr>
            <w:r>
              <w:rPr>
                <w:rFonts w:ascii="Arial" w:cs="Arial" w:eastAsia="Arial" w:hAnsi="Arial"/>
                <w:sz w:val="17"/>
                <w:szCs w:val="17"/>
                <w:b w:val="1"/>
                <w:bCs w:val="1"/>
                <w:color w:val="003551"/>
              </w:rPr>
              <w:t>Total</w:t>
            </w:r>
          </w:p>
        </w:tc>
        <w:tc>
          <w:tcPr>
            <w:tcW w:w="3180" w:type="dxa"/>
            <w:vAlign w:val="bottom"/>
          </w:tcPr>
          <w:p>
            <w:pPr>
              <w:ind w:left="1820"/>
              <w:spacing w:after="0"/>
              <w:rPr>
                <w:sz w:val="20"/>
                <w:szCs w:val="20"/>
                <w:color w:val="auto"/>
              </w:rPr>
            </w:pPr>
            <w:r>
              <w:rPr>
                <w:rFonts w:ascii="Arial" w:cs="Arial" w:eastAsia="Arial" w:hAnsi="Arial"/>
                <w:sz w:val="17"/>
                <w:szCs w:val="17"/>
                <w:color w:val="003551"/>
              </w:rPr>
              <w:t>2,774</w:t>
            </w:r>
          </w:p>
        </w:tc>
        <w:tc>
          <w:tcPr>
            <w:tcW w:w="1500" w:type="dxa"/>
            <w:vAlign w:val="bottom"/>
          </w:tcPr>
          <w:p>
            <w:pPr>
              <w:ind w:left="180"/>
              <w:spacing w:after="0"/>
              <w:rPr>
                <w:sz w:val="20"/>
                <w:szCs w:val="20"/>
                <w:color w:val="auto"/>
              </w:rPr>
            </w:pPr>
            <w:r>
              <w:rPr>
                <w:rFonts w:ascii="Arial" w:cs="Arial" w:eastAsia="Arial" w:hAnsi="Arial"/>
                <w:sz w:val="17"/>
                <w:szCs w:val="17"/>
                <w:color w:val="003551"/>
              </w:rPr>
              <w:t>1,014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-1038225</wp:posOffset>
            </wp:positionV>
            <wp:extent cx="522351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223510"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-763905</wp:posOffset>
            </wp:positionV>
            <wp:extent cx="522351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223510"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-488950</wp:posOffset>
            </wp:positionV>
            <wp:extent cx="522351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223510"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-214630</wp:posOffset>
            </wp:positionV>
            <wp:extent cx="522351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223510" cy="8255"/>
                    </a:xfrm>
                    <a:prstGeom prst="rect">
                      <a:avLst/>
                    </a:prstGeom>
                    <a:noFill/>
                  </pic:spPr>
                </pic:pic>
              </a:graphicData>
            </a:graphic>
          </wp:anchor>
        </w:drawing>
      </w:r>
    </w:p>
    <w:p>
      <w:pPr>
        <w:spacing w:after="0" w:line="269"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Audit Services</w:t>
      </w:r>
    </w:p>
    <w:p>
      <w:pPr>
        <w:spacing w:after="0" w:line="15" w:lineRule="exact"/>
        <w:rPr>
          <w:sz w:val="20"/>
          <w:szCs w:val="20"/>
          <w:color w:val="auto"/>
        </w:rPr>
      </w:pPr>
    </w:p>
    <w:p>
      <w:pPr>
        <w:ind w:left="940" w:right="1180"/>
        <w:spacing w:after="0" w:line="248" w:lineRule="auto"/>
        <w:rPr>
          <w:sz w:val="20"/>
          <w:szCs w:val="20"/>
          <w:color w:val="auto"/>
        </w:rPr>
      </w:pPr>
      <w:r>
        <w:rPr>
          <w:rFonts w:ascii="Arial" w:cs="Arial" w:eastAsia="Arial" w:hAnsi="Arial"/>
          <w:sz w:val="17"/>
          <w:szCs w:val="17"/>
          <w:color w:val="003551"/>
        </w:rPr>
        <w:t>Audit fees for the fiscal years ended June 30, 2025, and 2024 include fees for the audit of our annual consolidated financial statements and review work. This category also includes services that the independent accountant generally provides, such as consents and assistance with and review of documents filed with the SEC.</w:t>
      </w:r>
    </w:p>
    <w:p>
      <w:pPr>
        <w:spacing w:after="0" w:line="201"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Audit Related Services</w:t>
      </w:r>
    </w:p>
    <w:p>
      <w:pPr>
        <w:spacing w:after="0" w:line="15" w:lineRule="exact"/>
        <w:rPr>
          <w:sz w:val="20"/>
          <w:szCs w:val="20"/>
          <w:color w:val="auto"/>
        </w:rPr>
      </w:pPr>
    </w:p>
    <w:p>
      <w:pPr>
        <w:ind w:left="940" w:right="740"/>
        <w:spacing w:after="0" w:line="252" w:lineRule="auto"/>
        <w:rPr>
          <w:sz w:val="20"/>
          <w:szCs w:val="20"/>
          <w:color w:val="auto"/>
        </w:rPr>
      </w:pPr>
      <w:r>
        <w:rPr>
          <w:rFonts w:ascii="Arial" w:cs="Arial" w:eastAsia="Arial" w:hAnsi="Arial"/>
          <w:sz w:val="17"/>
          <w:szCs w:val="17"/>
          <w:color w:val="003551"/>
        </w:rPr>
        <w:t>Audit related fees for the fiscal year ended June 30, 2025 and June 30, 2024 relate to professional services provided in connection with financing initiatives associated with at-the-market (ATM) offerings and convertible offerings.</w:t>
      </w:r>
    </w:p>
    <w:p>
      <w:pPr>
        <w:spacing w:after="0" w:line="210"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All Other Services</w:t>
      </w:r>
    </w:p>
    <w:p>
      <w:pPr>
        <w:spacing w:after="0" w:line="15" w:lineRule="exact"/>
        <w:rPr>
          <w:sz w:val="20"/>
          <w:szCs w:val="20"/>
          <w:color w:val="auto"/>
        </w:rPr>
      </w:pPr>
    </w:p>
    <w:p>
      <w:pPr>
        <w:ind w:left="940" w:right="780"/>
        <w:spacing w:after="0" w:line="263" w:lineRule="auto"/>
        <w:rPr>
          <w:sz w:val="20"/>
          <w:szCs w:val="20"/>
          <w:color w:val="auto"/>
        </w:rPr>
      </w:pPr>
      <w:r>
        <w:rPr>
          <w:rFonts w:ascii="Arial" w:cs="Arial" w:eastAsia="Arial" w:hAnsi="Arial"/>
          <w:sz w:val="17"/>
          <w:szCs w:val="17"/>
          <w:color w:val="003551"/>
        </w:rPr>
        <w:t>All other fees in the fiscal years ended June 30, 2025 and 2024 related to services in connection with non-audit compliance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111125</wp:posOffset>
            </wp:positionV>
            <wp:extent cx="540385" cy="63182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228600</wp:posOffset>
            </wp:positionV>
            <wp:extent cx="6786880" cy="1651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940"/>
        <w:spacing w:after="0"/>
        <w:rPr>
          <w:sz w:val="20"/>
          <w:szCs w:val="20"/>
          <w:color w:val="auto"/>
        </w:rPr>
      </w:pPr>
      <w:r>
        <w:rPr>
          <w:rFonts w:ascii="Arial" w:cs="Arial" w:eastAsia="Arial" w:hAnsi="Arial"/>
          <w:sz w:val="28"/>
          <w:szCs w:val="28"/>
          <w:color w:val="003551"/>
        </w:rPr>
        <w:t>Report of the Audit and Risk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15240</wp:posOffset>
            </wp:positionV>
            <wp:extent cx="522351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223510" cy="8255"/>
                    </a:xfrm>
                    <a:prstGeom prst="rect">
                      <a:avLst/>
                    </a:prstGeom>
                    <a:noFill/>
                  </pic:spPr>
                </pic:pic>
              </a:graphicData>
            </a:graphic>
          </wp:anchor>
        </w:drawing>
      </w:r>
    </w:p>
    <w:p>
      <w:pPr>
        <w:spacing w:after="0" w:line="92" w:lineRule="exact"/>
        <w:rPr>
          <w:sz w:val="20"/>
          <w:szCs w:val="20"/>
          <w:color w:val="auto"/>
        </w:rPr>
      </w:pPr>
    </w:p>
    <w:p>
      <w:pPr>
        <w:ind w:left="940" w:right="740"/>
        <w:spacing w:after="0" w:line="246" w:lineRule="auto"/>
        <w:rPr>
          <w:sz w:val="20"/>
          <w:szCs w:val="20"/>
          <w:color w:val="auto"/>
        </w:rPr>
      </w:pPr>
      <w:r>
        <w:rPr>
          <w:rFonts w:ascii="Arial" w:cs="Arial" w:eastAsia="Arial" w:hAnsi="Arial"/>
          <w:sz w:val="17"/>
          <w:szCs w:val="17"/>
          <w:color w:val="003551"/>
        </w:rPr>
        <w:t>The Audit and Risk Committee has reviewed and discussed our audited financial statements for the fiscal year ended June 30, 2025 with our management. In addition, the Audit and Risk Committee has discussed with RCGT, our independent registered public accounting firm, the matters required to be discussed by standards promulgated by the American Institute of Certified Public Accountants and the Public Company Accounting Oversight Board, or PCAOB, including PCAOB Auditing Standard No. 1301 “Communications with Audit and Risk Committee.” The Audit and Risk Committee also has received the written disclosures and the letter from RCGT as required by the applicable requirements of the PCAOB and SEC rules regarding the independent accountant’s communications with the audit committee concerning independence, and the Audit and Risk Committee has discussed with RCGT the independence of RCGT.</w:t>
      </w:r>
    </w:p>
    <w:p>
      <w:pPr>
        <w:spacing w:after="0" w:line="70" w:lineRule="exact"/>
        <w:rPr>
          <w:sz w:val="20"/>
          <w:szCs w:val="20"/>
          <w:color w:val="auto"/>
        </w:rPr>
      </w:pPr>
    </w:p>
    <w:p>
      <w:pPr>
        <w:ind w:left="940" w:right="880"/>
        <w:spacing w:after="0" w:line="262" w:lineRule="auto"/>
        <w:rPr>
          <w:sz w:val="20"/>
          <w:szCs w:val="20"/>
          <w:color w:val="auto"/>
        </w:rPr>
      </w:pPr>
      <w:r>
        <w:rPr>
          <w:rFonts w:ascii="Arial" w:cs="Arial" w:eastAsia="Arial" w:hAnsi="Arial"/>
          <w:sz w:val="17"/>
          <w:szCs w:val="17"/>
          <w:color w:val="003551"/>
        </w:rPr>
        <w:t>Based on the Audit and Risk Committee’s review of the matters noted above and its discussions with our independent accountants and our management, the Audit and Risk Committee recommended to the Board that the financial statements be included in our 2025 Annual Report on Form 10-K.</w:t>
      </w:r>
    </w:p>
    <w:p>
      <w:pPr>
        <w:spacing w:after="0" w:line="80"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Respectfully submitted by the members of the Audit and Risk Committee of the Board of Directors:</w:t>
      </w:r>
    </w:p>
    <w:p>
      <w:pPr>
        <w:spacing w:after="0" w:line="145" w:lineRule="exact"/>
        <w:rPr>
          <w:sz w:val="20"/>
          <w:szCs w:val="20"/>
          <w:color w:val="auto"/>
        </w:rPr>
      </w:pPr>
    </w:p>
    <w:p>
      <w:pPr>
        <w:ind w:left="1280" w:hanging="337"/>
        <w:spacing w:after="0"/>
        <w:tabs>
          <w:tab w:leader="none" w:pos="1280" w:val="left"/>
        </w:tabs>
        <w:numPr>
          <w:ilvl w:val="0"/>
          <w:numId w:val="64"/>
        </w:numPr>
        <w:rPr>
          <w:rFonts w:ascii="Arial" w:cs="Arial" w:eastAsia="Arial" w:hAnsi="Arial"/>
          <w:sz w:val="17"/>
          <w:szCs w:val="17"/>
          <w:color w:val="003551"/>
        </w:rPr>
      </w:pPr>
      <w:r>
        <w:rPr>
          <w:rFonts w:ascii="Arial" w:cs="Arial" w:eastAsia="Arial" w:hAnsi="Arial"/>
          <w:sz w:val="17"/>
          <w:szCs w:val="17"/>
          <w:color w:val="003551"/>
        </w:rPr>
        <w:t>Sunita Parasuraman, Chair</w:t>
      </w:r>
    </w:p>
    <w:p>
      <w:pPr>
        <w:spacing w:after="0" w:line="145" w:lineRule="exact"/>
        <w:rPr>
          <w:rFonts w:ascii="Arial" w:cs="Arial" w:eastAsia="Arial" w:hAnsi="Arial"/>
          <w:sz w:val="17"/>
          <w:szCs w:val="17"/>
          <w:color w:val="003551"/>
        </w:rPr>
      </w:pPr>
    </w:p>
    <w:p>
      <w:pPr>
        <w:ind w:left="1280" w:hanging="337"/>
        <w:spacing w:after="0"/>
        <w:tabs>
          <w:tab w:leader="none" w:pos="1280" w:val="left"/>
        </w:tabs>
        <w:numPr>
          <w:ilvl w:val="0"/>
          <w:numId w:val="64"/>
        </w:numPr>
        <w:rPr>
          <w:rFonts w:ascii="Arial" w:cs="Arial" w:eastAsia="Arial" w:hAnsi="Arial"/>
          <w:sz w:val="17"/>
          <w:szCs w:val="17"/>
          <w:color w:val="003551"/>
        </w:rPr>
      </w:pPr>
      <w:r>
        <w:rPr>
          <w:rFonts w:ascii="Arial" w:cs="Arial" w:eastAsia="Arial" w:hAnsi="Arial"/>
          <w:sz w:val="17"/>
          <w:szCs w:val="17"/>
          <w:color w:val="003551"/>
        </w:rPr>
        <w:t>Michael Alfred</w:t>
      </w:r>
    </w:p>
    <w:p>
      <w:pPr>
        <w:spacing w:after="0" w:line="131" w:lineRule="exact"/>
        <w:rPr>
          <w:rFonts w:ascii="Arial" w:cs="Arial" w:eastAsia="Arial" w:hAnsi="Arial"/>
          <w:sz w:val="17"/>
          <w:szCs w:val="17"/>
          <w:color w:val="003551"/>
        </w:rPr>
      </w:pPr>
    </w:p>
    <w:p>
      <w:pPr>
        <w:ind w:left="1280" w:hanging="337"/>
        <w:spacing w:after="0"/>
        <w:tabs>
          <w:tab w:leader="none" w:pos="1280" w:val="left"/>
        </w:tabs>
        <w:numPr>
          <w:ilvl w:val="0"/>
          <w:numId w:val="64"/>
        </w:numPr>
        <w:rPr>
          <w:rFonts w:ascii="Arial" w:cs="Arial" w:eastAsia="Arial" w:hAnsi="Arial"/>
          <w:sz w:val="17"/>
          <w:szCs w:val="17"/>
          <w:color w:val="003551"/>
        </w:rPr>
      </w:pPr>
      <w:r>
        <w:rPr>
          <w:rFonts w:ascii="Arial" w:cs="Arial" w:eastAsia="Arial" w:hAnsi="Arial"/>
          <w:sz w:val="17"/>
          <w:szCs w:val="17"/>
          <w:color w:val="003551"/>
        </w:rPr>
        <w:t>David Bartholomew</w:t>
      </w:r>
    </w:p>
    <w:p>
      <w:pPr>
        <w:spacing w:after="0" w:line="145" w:lineRule="exact"/>
        <w:rPr>
          <w:rFonts w:ascii="Arial" w:cs="Arial" w:eastAsia="Arial" w:hAnsi="Arial"/>
          <w:sz w:val="17"/>
          <w:szCs w:val="17"/>
          <w:color w:val="003551"/>
        </w:rPr>
      </w:pPr>
    </w:p>
    <w:p>
      <w:pPr>
        <w:ind w:left="1280" w:hanging="337"/>
        <w:spacing w:after="0"/>
        <w:tabs>
          <w:tab w:leader="none" w:pos="1280" w:val="left"/>
        </w:tabs>
        <w:numPr>
          <w:ilvl w:val="0"/>
          <w:numId w:val="64"/>
        </w:numPr>
        <w:rPr>
          <w:rFonts w:ascii="Arial" w:cs="Arial" w:eastAsia="Arial" w:hAnsi="Arial"/>
          <w:sz w:val="17"/>
          <w:szCs w:val="17"/>
          <w:color w:val="003551"/>
        </w:rPr>
      </w:pPr>
      <w:r>
        <w:rPr>
          <w:rFonts w:ascii="Arial" w:cs="Arial" w:eastAsia="Arial" w:hAnsi="Arial"/>
          <w:sz w:val="17"/>
          <w:szCs w:val="17"/>
          <w:color w:val="003551"/>
        </w:rPr>
        <w:t>Christopher Guzowski</w:t>
      </w:r>
    </w:p>
    <w:p>
      <w:pPr>
        <w:spacing w:after="0" w:line="253"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Australian Statutory Auditor</w:t>
      </w:r>
    </w:p>
    <w:p>
      <w:pPr>
        <w:spacing w:after="0" w:line="15" w:lineRule="exact"/>
        <w:rPr>
          <w:sz w:val="20"/>
          <w:szCs w:val="20"/>
          <w:color w:val="auto"/>
        </w:rPr>
      </w:pPr>
    </w:p>
    <w:p>
      <w:pPr>
        <w:ind w:left="940" w:right="760"/>
        <w:spacing w:after="0" w:line="245" w:lineRule="auto"/>
        <w:rPr>
          <w:sz w:val="20"/>
          <w:szCs w:val="20"/>
          <w:color w:val="auto"/>
        </w:rPr>
      </w:pPr>
      <w:r>
        <w:rPr>
          <w:rFonts w:ascii="Arial" w:cs="Arial" w:eastAsia="Arial" w:hAnsi="Arial"/>
          <w:sz w:val="17"/>
          <w:szCs w:val="17"/>
          <w:color w:val="003551"/>
        </w:rPr>
        <w:t>Section 327B of the Corporations Act 2001 (Cth) requires that any public company incorporated under the laws of Australia must appoint a statutory auditor, registered with the Australian Securities and Investments Commission, at its first annual general meeting. IREN appointed Byrons Audit as its Australian statutory auditor at its first annual general meeting in 2022 and Byrons Audit continues to act as IREN’s Australian statutory auditor that is responsible for auditing IREN’s Australian audited financial statements. Representatives from Byrons Audit are expected to be in attendance at the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121920</wp:posOffset>
            </wp:positionV>
            <wp:extent cx="540385" cy="63182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940" w:right="1760"/>
        <w:spacing w:after="0" w:line="258" w:lineRule="auto"/>
        <w:rPr>
          <w:sz w:val="20"/>
          <w:szCs w:val="20"/>
          <w:color w:val="auto"/>
        </w:rPr>
      </w:pPr>
      <w:r>
        <w:rPr>
          <w:rFonts w:ascii="Arial" w:cs="Arial" w:eastAsia="Arial" w:hAnsi="Arial"/>
          <w:sz w:val="35"/>
          <w:szCs w:val="35"/>
          <w:color w:val="77C483"/>
        </w:rPr>
        <w:t>General Information About the Annual General Meeting</w:t>
      </w:r>
    </w:p>
    <w:p>
      <w:pPr>
        <w:spacing w:after="0" w:line="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Questions and Answers About Voting</w:t>
      </w:r>
    </w:p>
    <w:p>
      <w:pPr>
        <w:spacing w:after="0" w:line="155"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Why am I receiving these materials?</w:t>
      </w:r>
    </w:p>
    <w:p>
      <w:pPr>
        <w:spacing w:after="0" w:line="15" w:lineRule="exact"/>
        <w:rPr>
          <w:sz w:val="20"/>
          <w:szCs w:val="20"/>
          <w:color w:val="auto"/>
        </w:rPr>
      </w:pPr>
    </w:p>
    <w:p>
      <w:pPr>
        <w:jc w:val="both"/>
        <w:ind w:left="940" w:right="900"/>
        <w:spacing w:after="0" w:line="252" w:lineRule="auto"/>
        <w:rPr>
          <w:sz w:val="20"/>
          <w:szCs w:val="20"/>
          <w:color w:val="auto"/>
        </w:rPr>
      </w:pPr>
      <w:r>
        <w:rPr>
          <w:rFonts w:ascii="Arial" w:cs="Arial" w:eastAsia="Arial" w:hAnsi="Arial"/>
          <w:sz w:val="17"/>
          <w:szCs w:val="17"/>
          <w:color w:val="003551"/>
        </w:rPr>
        <w:t>IREN’s Board is soliciting your vote by proxy at the AGM. This Proxy Statement includes information that we are required to provide to you under the rules of the SEC and is designed to assist you in voting your shares.</w:t>
      </w:r>
    </w:p>
    <w:p>
      <w:pPr>
        <w:spacing w:after="0" w:line="170" w:lineRule="exact"/>
        <w:rPr>
          <w:sz w:val="20"/>
          <w:szCs w:val="20"/>
          <w:color w:val="auto"/>
        </w:rPr>
      </w:pPr>
    </w:p>
    <w:p>
      <w:pPr>
        <w:ind w:left="940" w:right="1240"/>
        <w:spacing w:after="0" w:line="250" w:lineRule="auto"/>
        <w:rPr>
          <w:sz w:val="20"/>
          <w:szCs w:val="20"/>
          <w:color w:val="auto"/>
        </w:rPr>
      </w:pPr>
      <w:r>
        <w:rPr>
          <w:rFonts w:ascii="Arial" w:cs="Arial" w:eastAsia="Arial" w:hAnsi="Arial"/>
          <w:sz w:val="18"/>
          <w:szCs w:val="18"/>
          <w:b w:val="1"/>
          <w:bCs w:val="1"/>
          <w:color w:val="003551"/>
        </w:rPr>
        <w:t>Why did I receive a notice in the mail regarding the notice of internet availability of proxy materials instead of a full set of proxy materials?</w:t>
      </w:r>
    </w:p>
    <w:p>
      <w:pPr>
        <w:spacing w:after="0" w:line="1" w:lineRule="exact"/>
        <w:rPr>
          <w:sz w:val="20"/>
          <w:szCs w:val="20"/>
          <w:color w:val="auto"/>
        </w:rPr>
      </w:pPr>
    </w:p>
    <w:p>
      <w:pPr>
        <w:ind w:left="940" w:right="740"/>
        <w:spacing w:after="0" w:line="246" w:lineRule="auto"/>
        <w:rPr>
          <w:sz w:val="20"/>
          <w:szCs w:val="20"/>
          <w:color w:val="auto"/>
        </w:rPr>
      </w:pPr>
      <w:r>
        <w:rPr>
          <w:rFonts w:ascii="Arial" w:cs="Arial" w:eastAsia="Arial" w:hAnsi="Arial"/>
          <w:sz w:val="17"/>
          <w:szCs w:val="17"/>
          <w:color w:val="003551"/>
        </w:rPr>
        <w:t>In accordance with the SEC rules, we may furnish proxy materials, including this Proxy Statement and our 2025 Annual Report, to our shareholders by providing access to such documents on the internet instead of mailing printed copies. Accordingly, we are sending the Notice of Internet Availability to our shareholders of record and beneficial shareholders as of the close of business on September 29, 2025, which is the record date for the AGM.</w:t>
      </w:r>
    </w:p>
    <w:p>
      <w:pPr>
        <w:spacing w:after="0" w:line="230"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Can I access IREN’s proxy materials and Annual Report electronically?</w:t>
      </w:r>
    </w:p>
    <w:p>
      <w:pPr>
        <w:spacing w:after="0" w:line="15" w:lineRule="exact"/>
        <w:rPr>
          <w:sz w:val="20"/>
          <w:szCs w:val="20"/>
          <w:color w:val="auto"/>
        </w:rPr>
      </w:pPr>
    </w:p>
    <w:p>
      <w:pPr>
        <w:ind w:left="940" w:right="960"/>
        <w:spacing w:after="0" w:line="252" w:lineRule="auto"/>
        <w:rPr>
          <w:sz w:val="20"/>
          <w:szCs w:val="20"/>
          <w:color w:val="auto"/>
        </w:rPr>
      </w:pPr>
      <w:r>
        <w:rPr>
          <w:rFonts w:ascii="Arial" w:cs="Arial" w:eastAsia="Arial" w:hAnsi="Arial"/>
          <w:sz w:val="17"/>
          <w:szCs w:val="17"/>
          <w:color w:val="003551"/>
        </w:rPr>
        <w:t>The Notice of Internet Availability and proxy card or voting instruction form you received will contain instructions to view the proxy materials and 2025 Annual Report on the internet. Electronic copies of the Proxy Statement and the 2025 Annual Report are available at www.proxyvote.com.</w:t>
      </w:r>
    </w:p>
    <w:p>
      <w:pPr>
        <w:spacing w:after="0" w:line="210"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How can I sign up for the electronic proxy delivery service?</w:t>
      </w:r>
    </w:p>
    <w:p>
      <w:pPr>
        <w:spacing w:after="0" w:line="15" w:lineRule="exact"/>
        <w:rPr>
          <w:sz w:val="20"/>
          <w:szCs w:val="20"/>
          <w:color w:val="auto"/>
        </w:rPr>
      </w:pPr>
    </w:p>
    <w:p>
      <w:pPr>
        <w:ind w:left="940" w:right="780"/>
        <w:spacing w:after="0" w:line="245" w:lineRule="auto"/>
        <w:rPr>
          <w:sz w:val="20"/>
          <w:szCs w:val="20"/>
          <w:color w:val="auto"/>
        </w:rPr>
      </w:pPr>
      <w:r>
        <w:rPr>
          <w:rFonts w:ascii="Arial" w:cs="Arial" w:eastAsia="Arial" w:hAnsi="Arial"/>
          <w:sz w:val="17"/>
          <w:szCs w:val="17"/>
          <w:color w:val="003551"/>
        </w:rPr>
        <w:t>The Notice of Internet Availability and proxy card or voting instruction form included with the proxy materials will contain instructions on how to request electronic delivery of future proxy materials. Choosing to receive your future proxy materials by email will eliminate the cost of printing and mailing documents and will reduce the associated environmental impact. If you choose to receive future proxy materials by email, you will receive an email next year with instructions containing a link to those materials and a link to the proxy voting site. Your election to receive proxy materials by email will remain in effect until you terminate it.</w:t>
      </w:r>
    </w:p>
    <w:p>
      <w:pPr>
        <w:spacing w:after="0" w:line="200" w:lineRule="exact"/>
        <w:rPr>
          <w:sz w:val="20"/>
          <w:szCs w:val="20"/>
          <w:color w:val="auto"/>
        </w:rPr>
      </w:pPr>
    </w:p>
    <w:p>
      <w:pPr>
        <w:spacing w:after="0" w:line="214"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What is the record date for the AGM?</w:t>
      </w:r>
    </w:p>
    <w:p>
      <w:pPr>
        <w:spacing w:after="0" w:line="15" w:lineRule="exact"/>
        <w:rPr>
          <w:sz w:val="20"/>
          <w:szCs w:val="20"/>
          <w:color w:val="auto"/>
        </w:rPr>
      </w:pPr>
    </w:p>
    <w:p>
      <w:pPr>
        <w:ind w:left="940" w:right="900"/>
        <w:spacing w:after="0" w:line="245" w:lineRule="auto"/>
        <w:rPr>
          <w:sz w:val="20"/>
          <w:szCs w:val="20"/>
          <w:color w:val="auto"/>
        </w:rPr>
      </w:pPr>
      <w:r>
        <w:rPr>
          <w:rFonts w:ascii="Arial" w:cs="Arial" w:eastAsia="Arial" w:hAnsi="Arial"/>
          <w:sz w:val="17"/>
          <w:szCs w:val="17"/>
          <w:color w:val="003551"/>
        </w:rPr>
        <w:t>The Board has determined that the persons entitled to receive notice of the AGM are those who are registered shareholders of IREN at 5:00pm (ET) on September 29, 2025. In accordance with Regulation 7.11.37 of the Corporations Regulations 2001 (Cth) (Australia) those who are registered shareholders on the transfer books of IREN at 9:00am (AEDT) on November 18, 2025, being 5:00pm (ET) on November 17, 2025, are also eligible to vote. Accordingly, transfers by such registered shareholders that are registered after that time will be disregarded in determining entitlements to attend and vote at the AGM.</w:t>
      </w:r>
    </w:p>
    <w:p>
      <w:pPr>
        <w:spacing w:after="0" w:line="231"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Can I vote at the AGM?</w:t>
      </w:r>
    </w:p>
    <w:p>
      <w:pPr>
        <w:spacing w:after="0" w:line="15" w:lineRule="exact"/>
        <w:rPr>
          <w:sz w:val="20"/>
          <w:szCs w:val="20"/>
          <w:color w:val="auto"/>
        </w:rPr>
      </w:pPr>
    </w:p>
    <w:p>
      <w:pPr>
        <w:ind w:left="940" w:right="740"/>
        <w:spacing w:after="0" w:line="248" w:lineRule="auto"/>
        <w:rPr>
          <w:sz w:val="20"/>
          <w:szCs w:val="20"/>
          <w:color w:val="auto"/>
        </w:rPr>
      </w:pPr>
      <w:r>
        <w:rPr>
          <w:rFonts w:ascii="Arial" w:cs="Arial" w:eastAsia="Arial" w:hAnsi="Arial"/>
          <w:sz w:val="17"/>
          <w:szCs w:val="17"/>
          <w:color w:val="003551"/>
        </w:rPr>
        <w:t>You may vote your shares electronically at the AGM by using the control number on your Notice of Internet Availability, proxy card, or voting instruction form and following the instructions at www.virtualshareholdermeeting.com/IREN2025. If you have already voted previously by telephone or internet, there is no need to vote again at the AGM unless you wish to revoke and change your vote.</w:t>
      </w:r>
    </w:p>
    <w:p>
      <w:pPr>
        <w:spacing w:after="0" w:line="214"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Can I vote by telephone or internet?</w:t>
      </w:r>
    </w:p>
    <w:p>
      <w:pPr>
        <w:spacing w:after="0" w:line="15" w:lineRule="exact"/>
        <w:rPr>
          <w:sz w:val="20"/>
          <w:szCs w:val="20"/>
          <w:color w:val="auto"/>
        </w:rPr>
      </w:pPr>
    </w:p>
    <w:p>
      <w:pPr>
        <w:ind w:left="940" w:right="760"/>
        <w:spacing w:after="0" w:line="246" w:lineRule="auto"/>
        <w:rPr>
          <w:sz w:val="20"/>
          <w:szCs w:val="20"/>
          <w:color w:val="auto"/>
        </w:rPr>
      </w:pPr>
      <w:r>
        <w:rPr>
          <w:rFonts w:ascii="Arial" w:cs="Arial" w:eastAsia="Arial" w:hAnsi="Arial"/>
          <w:sz w:val="17"/>
          <w:szCs w:val="17"/>
          <w:color w:val="003551"/>
        </w:rPr>
        <w:t>For beneficial shareholders with shares registered in the name of a brokerage firm or bank, a number of brokerage firms and banks offer telephone and internet voting options. Shareholders should refer to the voting instruction form provided by their brokerage firm or bank for instructions on the voting methods they offer. Registered shareholders with shares registered directly in their names with our transfer agent will also be able to vote by telephone and internet. Submitting a telephonic or internet proxy will not affect your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245745</wp:posOffset>
            </wp:positionV>
            <wp:extent cx="540385" cy="63182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228600</wp:posOffset>
            </wp:positionV>
            <wp:extent cx="6786880" cy="1651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940" w:right="780"/>
        <w:spacing w:after="0" w:line="262" w:lineRule="auto"/>
        <w:rPr>
          <w:sz w:val="20"/>
          <w:szCs w:val="20"/>
          <w:color w:val="auto"/>
        </w:rPr>
      </w:pPr>
      <w:r>
        <w:rPr>
          <w:rFonts w:ascii="Arial" w:cs="Arial" w:eastAsia="Arial" w:hAnsi="Arial"/>
          <w:sz w:val="17"/>
          <w:szCs w:val="17"/>
          <w:color w:val="003551"/>
        </w:rPr>
        <w:t>to vote electronically at the AGM should you decide to attend the AGM. The telephone and internet voting procedures are designed to authenticate shareholders’ identities, to allow shareholders to give their voting instructions, and to confirm that shareholders’ instructions have been recorded properly.</w:t>
      </w:r>
    </w:p>
    <w:p>
      <w:pPr>
        <w:spacing w:after="0" w:line="54" w:lineRule="exact"/>
        <w:rPr>
          <w:sz w:val="20"/>
          <w:szCs w:val="20"/>
          <w:color w:val="auto"/>
        </w:rPr>
      </w:pPr>
    </w:p>
    <w:p>
      <w:pPr>
        <w:ind w:left="940" w:right="1280"/>
        <w:spacing w:after="0" w:line="283" w:lineRule="auto"/>
        <w:rPr>
          <w:sz w:val="20"/>
          <w:szCs w:val="20"/>
          <w:color w:val="auto"/>
        </w:rPr>
      </w:pPr>
      <w:r>
        <w:rPr>
          <w:rFonts w:ascii="Arial" w:cs="Arial" w:eastAsia="Arial" w:hAnsi="Arial"/>
          <w:sz w:val="17"/>
          <w:szCs w:val="17"/>
          <w:color w:val="003551"/>
        </w:rPr>
        <w:t>The accompanying proxy card or voting instruction form provides instructions on how to vote via the internet or by telephone.</w:t>
      </w:r>
    </w:p>
    <w:p>
      <w:pPr>
        <w:spacing w:after="0" w:line="184"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How will my proxy be voted?</w:t>
      </w:r>
    </w:p>
    <w:p>
      <w:pPr>
        <w:spacing w:after="0" w:line="15" w:lineRule="exact"/>
        <w:rPr>
          <w:sz w:val="20"/>
          <w:szCs w:val="20"/>
          <w:color w:val="auto"/>
        </w:rPr>
      </w:pPr>
    </w:p>
    <w:p>
      <w:pPr>
        <w:ind w:left="940" w:right="800"/>
        <w:spacing w:after="0" w:line="243" w:lineRule="auto"/>
        <w:rPr>
          <w:sz w:val="20"/>
          <w:szCs w:val="20"/>
          <w:color w:val="auto"/>
        </w:rPr>
      </w:pPr>
      <w:r>
        <w:rPr>
          <w:rFonts w:ascii="Arial" w:cs="Arial" w:eastAsia="Arial" w:hAnsi="Arial"/>
          <w:sz w:val="17"/>
          <w:szCs w:val="17"/>
          <w:color w:val="003551"/>
        </w:rPr>
        <w:t>The proxy accompanying this Proxy Statement is solicited on behalf of the Board for use at the AGM. Shareholders are requested to vote via the internet or by telephone, or, if you received printed proxy materials, by completing, dating, and signing the accompanying proxy and promptly returning it in the enclosed envelope. All signed, returned proxies that are not revoked will be voted in accordance with the instructions contained therein. Signed proxies that give no instructions as to how they should be voted on a particular proposal at the AGM will be voted (subject to the next paragraph) in accordance with the recommendation of the Board set forth in this Proxy Statement: in the case of each amendment to the Constitution, as a vote “FOR” the approval of each amendment; in the case of the new Omnibus Incentive Plan, as a vote “FOR” the approval of such plan; in the case of each share repurchase, as a vote “FOR” the approval of each repurchase; in the case of the advisory vote on the compensation program for our NEOs, as a vote “FOR” the approval of the program; in the case of the advisory vote on the frequency of the NEO compensation vote, as a vote for a frequency of “EVERY YEAR”.</w:t>
      </w:r>
    </w:p>
    <w:p>
      <w:pPr>
        <w:spacing w:after="0" w:line="71" w:lineRule="exact"/>
        <w:rPr>
          <w:sz w:val="20"/>
          <w:szCs w:val="20"/>
          <w:color w:val="auto"/>
        </w:rPr>
      </w:pPr>
    </w:p>
    <w:p>
      <w:pPr>
        <w:ind w:left="940" w:right="860"/>
        <w:spacing w:after="0" w:line="255" w:lineRule="auto"/>
        <w:rPr>
          <w:sz w:val="20"/>
          <w:szCs w:val="20"/>
          <w:color w:val="auto"/>
        </w:rPr>
      </w:pPr>
      <w:r>
        <w:rPr>
          <w:rFonts w:ascii="Arial" w:cs="Arial" w:eastAsia="Arial" w:hAnsi="Arial"/>
          <w:sz w:val="17"/>
          <w:szCs w:val="17"/>
          <w:color w:val="003551"/>
        </w:rPr>
        <w:t>Key management personnel of IREN and their closely related parties are not permitted to vote as a proxy on: the IREN Limited 2025 Omnibus Incentive Plan (Proposal 6); the advisory vote on executive compensation (Proposal 9); or the advisory vote on the frequency of future advisory votes on executive compensation (Proposal 10) unless:</w:t>
      </w:r>
    </w:p>
    <w:p>
      <w:pPr>
        <w:spacing w:after="0" w:line="99" w:lineRule="exact"/>
        <w:rPr>
          <w:sz w:val="20"/>
          <w:szCs w:val="20"/>
          <w:color w:val="auto"/>
        </w:rPr>
      </w:pPr>
    </w:p>
    <w:p>
      <w:pPr>
        <w:ind w:left="1280" w:hanging="337"/>
        <w:spacing w:after="0"/>
        <w:tabs>
          <w:tab w:leader="none" w:pos="1280" w:val="left"/>
        </w:tabs>
        <w:numPr>
          <w:ilvl w:val="0"/>
          <w:numId w:val="65"/>
        </w:numPr>
        <w:rPr>
          <w:rFonts w:ascii="Arial" w:cs="Arial" w:eastAsia="Arial" w:hAnsi="Arial"/>
          <w:sz w:val="17"/>
          <w:szCs w:val="17"/>
          <w:color w:val="003551"/>
        </w:rPr>
      </w:pPr>
      <w:r>
        <w:rPr>
          <w:rFonts w:ascii="Arial" w:cs="Arial" w:eastAsia="Arial" w:hAnsi="Arial"/>
          <w:sz w:val="17"/>
          <w:szCs w:val="17"/>
          <w:color w:val="003551"/>
        </w:rPr>
        <w:t>the proxy is voted in accordance with a direction given to them specifying how to vote; or</w:t>
      </w:r>
    </w:p>
    <w:p>
      <w:pPr>
        <w:spacing w:after="0" w:line="131" w:lineRule="exact"/>
        <w:rPr>
          <w:rFonts w:ascii="Arial" w:cs="Arial" w:eastAsia="Arial" w:hAnsi="Arial"/>
          <w:sz w:val="17"/>
          <w:szCs w:val="17"/>
          <w:color w:val="003551"/>
        </w:rPr>
      </w:pPr>
    </w:p>
    <w:p>
      <w:pPr>
        <w:ind w:left="1280" w:right="920" w:hanging="337"/>
        <w:spacing w:after="0" w:line="262" w:lineRule="auto"/>
        <w:tabs>
          <w:tab w:leader="none" w:pos="1280" w:val="left"/>
        </w:tabs>
        <w:numPr>
          <w:ilvl w:val="0"/>
          <w:numId w:val="65"/>
        </w:numPr>
        <w:rPr>
          <w:rFonts w:ascii="Arial" w:cs="Arial" w:eastAsia="Arial" w:hAnsi="Arial"/>
          <w:sz w:val="17"/>
          <w:szCs w:val="17"/>
          <w:color w:val="003551"/>
        </w:rPr>
      </w:pPr>
      <w:r>
        <w:rPr>
          <w:rFonts w:ascii="Arial" w:cs="Arial" w:eastAsia="Arial" w:hAnsi="Arial"/>
          <w:sz w:val="17"/>
          <w:szCs w:val="17"/>
          <w:color w:val="003551"/>
        </w:rPr>
        <w:t>the proxy is given to the Chair under an express authorisation in the proxy appointment to exercise the proxy as the Chair decides, even though Proposal 6, Proposal 9 and Proposal 10 are connected with the remuneration of IREN's key management personnel.</w:t>
      </w:r>
    </w:p>
    <w:p>
      <w:pPr>
        <w:spacing w:after="0" w:line="214"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What are the Board’s recommendations on how to vote my shares?</w:t>
      </w:r>
    </w:p>
    <w:p>
      <w:pPr>
        <w:spacing w:after="0" w:line="45"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The Board recommends a vote FOR the following Proposals:</w:t>
      </w:r>
    </w:p>
    <w:p>
      <w:pPr>
        <w:spacing w:after="0" w:line="137" w:lineRule="exact"/>
        <w:rPr>
          <w:sz w:val="20"/>
          <w:szCs w:val="20"/>
          <w:color w:val="auto"/>
        </w:rPr>
      </w:pPr>
    </w:p>
    <w:p>
      <w:pPr>
        <w:ind w:left="1280" w:right="1320" w:hanging="337"/>
        <w:spacing w:after="0" w:line="286" w:lineRule="auto"/>
        <w:tabs>
          <w:tab w:leader="none" w:pos="1280" w:val="left"/>
        </w:tabs>
        <w:numPr>
          <w:ilvl w:val="0"/>
          <w:numId w:val="66"/>
        </w:numPr>
        <w:rPr>
          <w:rFonts w:ascii="Arial" w:cs="Arial" w:eastAsia="Arial" w:hAnsi="Arial"/>
          <w:sz w:val="17"/>
          <w:szCs w:val="17"/>
          <w:color w:val="003551"/>
        </w:rPr>
      </w:pPr>
      <w:r>
        <w:rPr>
          <w:rFonts w:ascii="Arial" w:cs="Arial" w:eastAsia="Arial" w:hAnsi="Arial"/>
          <w:sz w:val="17"/>
          <w:szCs w:val="17"/>
          <w:b w:val="1"/>
          <w:bCs w:val="1"/>
          <w:color w:val="003551"/>
        </w:rPr>
        <w:t xml:space="preserve">Proposal 1: </w:t>
      </w:r>
      <w:r>
        <w:rPr>
          <w:rFonts w:ascii="Arial" w:cs="Arial" w:eastAsia="Arial" w:hAnsi="Arial"/>
          <w:sz w:val="17"/>
          <w:szCs w:val="17"/>
          <w:color w:val="003551"/>
        </w:rPr>
        <w:t>Approve an amendment to IREN’s constitution to align the quorum requirement to</w:t>
      </w:r>
      <w:r>
        <w:rPr>
          <w:rFonts w:ascii="Arial" w:cs="Arial" w:eastAsia="Arial" w:hAnsi="Arial"/>
          <w:sz w:val="17"/>
          <w:szCs w:val="17"/>
          <w:b w:val="1"/>
          <w:bCs w:val="1"/>
          <w:color w:val="003551"/>
        </w:rPr>
        <w:t xml:space="preserve"> </w:t>
      </w:r>
      <w:r>
        <w:rPr>
          <w:rFonts w:ascii="Arial" w:cs="Arial" w:eastAsia="Arial" w:hAnsi="Arial"/>
          <w:sz w:val="17"/>
          <w:szCs w:val="17"/>
          <w:color w:val="003551"/>
        </w:rPr>
        <w:t>conduct shareholder meetings with Nasdaq rules</w:t>
      </w:r>
    </w:p>
    <w:p>
      <w:pPr>
        <w:spacing w:after="0" w:line="58" w:lineRule="exact"/>
        <w:rPr>
          <w:rFonts w:ascii="Arial" w:cs="Arial" w:eastAsia="Arial" w:hAnsi="Arial"/>
          <w:sz w:val="17"/>
          <w:szCs w:val="17"/>
          <w:color w:val="003551"/>
        </w:rPr>
      </w:pPr>
    </w:p>
    <w:p>
      <w:pPr>
        <w:ind w:left="1280" w:right="980" w:hanging="337"/>
        <w:spacing w:after="0" w:line="286" w:lineRule="auto"/>
        <w:tabs>
          <w:tab w:leader="none" w:pos="1280" w:val="left"/>
        </w:tabs>
        <w:numPr>
          <w:ilvl w:val="0"/>
          <w:numId w:val="66"/>
        </w:numPr>
        <w:rPr>
          <w:rFonts w:ascii="Arial" w:cs="Arial" w:eastAsia="Arial" w:hAnsi="Arial"/>
          <w:sz w:val="17"/>
          <w:szCs w:val="17"/>
          <w:color w:val="003551"/>
        </w:rPr>
      </w:pPr>
      <w:r>
        <w:rPr>
          <w:rFonts w:ascii="Arial" w:cs="Arial" w:eastAsia="Arial" w:hAnsi="Arial"/>
          <w:sz w:val="17"/>
          <w:szCs w:val="17"/>
          <w:b w:val="1"/>
          <w:bCs w:val="1"/>
          <w:color w:val="003551"/>
        </w:rPr>
        <w:t xml:space="preserve">Proposal 2: </w:t>
      </w:r>
      <w:r>
        <w:rPr>
          <w:rFonts w:ascii="Arial" w:cs="Arial" w:eastAsia="Arial" w:hAnsi="Arial"/>
          <w:sz w:val="17"/>
          <w:szCs w:val="17"/>
          <w:color w:val="003551"/>
        </w:rPr>
        <w:t>Approve an amendment to IREN’s constitution to provide for director elections at each</w:t>
      </w:r>
      <w:r>
        <w:rPr>
          <w:rFonts w:ascii="Arial" w:cs="Arial" w:eastAsia="Arial" w:hAnsi="Arial"/>
          <w:sz w:val="17"/>
          <w:szCs w:val="17"/>
          <w:b w:val="1"/>
          <w:bCs w:val="1"/>
          <w:color w:val="003551"/>
        </w:rPr>
        <w:t xml:space="preserve"> </w:t>
      </w:r>
      <w:r>
        <w:rPr>
          <w:rFonts w:ascii="Arial" w:cs="Arial" w:eastAsia="Arial" w:hAnsi="Arial"/>
          <w:sz w:val="17"/>
          <w:szCs w:val="17"/>
          <w:color w:val="003551"/>
        </w:rPr>
        <w:t>annual general meeting</w:t>
      </w:r>
    </w:p>
    <w:p>
      <w:pPr>
        <w:spacing w:after="0" w:line="71" w:lineRule="exact"/>
        <w:rPr>
          <w:rFonts w:ascii="Arial" w:cs="Arial" w:eastAsia="Arial" w:hAnsi="Arial"/>
          <w:sz w:val="17"/>
          <w:szCs w:val="17"/>
          <w:color w:val="003551"/>
        </w:rPr>
      </w:pPr>
    </w:p>
    <w:p>
      <w:pPr>
        <w:ind w:left="1280" w:hanging="337"/>
        <w:spacing w:after="0"/>
        <w:tabs>
          <w:tab w:leader="none" w:pos="1280" w:val="left"/>
        </w:tabs>
        <w:numPr>
          <w:ilvl w:val="0"/>
          <w:numId w:val="66"/>
        </w:numPr>
        <w:rPr>
          <w:rFonts w:ascii="Arial" w:cs="Arial" w:eastAsia="Arial" w:hAnsi="Arial"/>
          <w:sz w:val="17"/>
          <w:szCs w:val="17"/>
          <w:color w:val="003551"/>
        </w:rPr>
      </w:pPr>
      <w:r>
        <w:rPr>
          <w:rFonts w:ascii="Arial" w:cs="Arial" w:eastAsia="Arial" w:hAnsi="Arial"/>
          <w:sz w:val="17"/>
          <w:szCs w:val="17"/>
          <w:b w:val="1"/>
          <w:bCs w:val="1"/>
          <w:color w:val="003551"/>
        </w:rPr>
        <w:t xml:space="preserve">Proposal 3: </w:t>
      </w:r>
      <w:r>
        <w:rPr>
          <w:rFonts w:ascii="Arial" w:cs="Arial" w:eastAsia="Arial" w:hAnsi="Arial"/>
          <w:sz w:val="17"/>
          <w:szCs w:val="17"/>
          <w:color w:val="003551"/>
        </w:rPr>
        <w:t>Approve an amendment to IREN’s constitution to add a forum selection provision</w:t>
      </w:r>
    </w:p>
    <w:p>
      <w:pPr>
        <w:spacing w:after="0" w:line="145" w:lineRule="exact"/>
        <w:rPr>
          <w:rFonts w:ascii="Arial" w:cs="Arial" w:eastAsia="Arial" w:hAnsi="Arial"/>
          <w:sz w:val="17"/>
          <w:szCs w:val="17"/>
          <w:color w:val="003551"/>
        </w:rPr>
      </w:pPr>
    </w:p>
    <w:p>
      <w:pPr>
        <w:ind w:left="1280" w:right="920" w:hanging="337"/>
        <w:spacing w:after="0" w:line="286" w:lineRule="auto"/>
        <w:tabs>
          <w:tab w:leader="none" w:pos="1280" w:val="left"/>
        </w:tabs>
        <w:numPr>
          <w:ilvl w:val="0"/>
          <w:numId w:val="66"/>
        </w:numPr>
        <w:rPr>
          <w:rFonts w:ascii="Arial" w:cs="Arial" w:eastAsia="Arial" w:hAnsi="Arial"/>
          <w:sz w:val="17"/>
          <w:szCs w:val="17"/>
          <w:color w:val="003551"/>
        </w:rPr>
      </w:pPr>
      <w:r>
        <w:rPr>
          <w:rFonts w:ascii="Arial" w:cs="Arial" w:eastAsia="Arial" w:hAnsi="Arial"/>
          <w:sz w:val="17"/>
          <w:szCs w:val="17"/>
          <w:b w:val="1"/>
          <w:bCs w:val="1"/>
          <w:color w:val="003551"/>
        </w:rPr>
        <w:t xml:space="preserve">Proposal 4: </w:t>
      </w:r>
      <w:r>
        <w:rPr>
          <w:rFonts w:ascii="Arial" w:cs="Arial" w:eastAsia="Arial" w:hAnsi="Arial"/>
          <w:sz w:val="17"/>
          <w:szCs w:val="17"/>
          <w:color w:val="003551"/>
        </w:rPr>
        <w:t>Approve an amendment to IREN’s constitution to update the advance notice provisions</w:t>
      </w:r>
      <w:r>
        <w:rPr>
          <w:rFonts w:ascii="Arial" w:cs="Arial" w:eastAsia="Arial" w:hAnsi="Arial"/>
          <w:sz w:val="17"/>
          <w:szCs w:val="17"/>
          <w:b w:val="1"/>
          <w:bCs w:val="1"/>
          <w:color w:val="003551"/>
        </w:rPr>
        <w:t xml:space="preserve"> </w:t>
      </w:r>
      <w:r>
        <w:rPr>
          <w:rFonts w:ascii="Arial" w:cs="Arial" w:eastAsia="Arial" w:hAnsi="Arial"/>
          <w:sz w:val="17"/>
          <w:szCs w:val="17"/>
          <w:color w:val="003551"/>
        </w:rPr>
        <w:t>for universal proxies</w:t>
      </w:r>
    </w:p>
    <w:p>
      <w:pPr>
        <w:spacing w:after="0" w:line="58" w:lineRule="exact"/>
        <w:rPr>
          <w:rFonts w:ascii="Arial" w:cs="Arial" w:eastAsia="Arial" w:hAnsi="Arial"/>
          <w:sz w:val="17"/>
          <w:szCs w:val="17"/>
          <w:color w:val="003551"/>
        </w:rPr>
      </w:pPr>
    </w:p>
    <w:p>
      <w:pPr>
        <w:ind w:left="1280" w:hanging="337"/>
        <w:spacing w:after="0"/>
        <w:tabs>
          <w:tab w:leader="none" w:pos="1280" w:val="left"/>
        </w:tabs>
        <w:numPr>
          <w:ilvl w:val="0"/>
          <w:numId w:val="66"/>
        </w:numPr>
        <w:rPr>
          <w:rFonts w:ascii="Arial" w:cs="Arial" w:eastAsia="Arial" w:hAnsi="Arial"/>
          <w:sz w:val="17"/>
          <w:szCs w:val="17"/>
          <w:color w:val="003551"/>
        </w:rPr>
      </w:pPr>
      <w:r>
        <w:rPr>
          <w:rFonts w:ascii="Arial" w:cs="Arial" w:eastAsia="Arial" w:hAnsi="Arial"/>
          <w:sz w:val="17"/>
          <w:szCs w:val="17"/>
          <w:b w:val="1"/>
          <w:bCs w:val="1"/>
          <w:color w:val="003551"/>
        </w:rPr>
        <w:t xml:space="preserve">Proposal 5: </w:t>
      </w:r>
      <w:r>
        <w:rPr>
          <w:rFonts w:ascii="Arial" w:cs="Arial" w:eastAsia="Arial" w:hAnsi="Arial"/>
          <w:sz w:val="17"/>
          <w:szCs w:val="17"/>
          <w:color w:val="003551"/>
        </w:rPr>
        <w:t>Approve amendments to IREN’s constitution to implement miscellaneous changes</w:t>
      </w:r>
    </w:p>
    <w:p>
      <w:pPr>
        <w:spacing w:after="0" w:line="145" w:lineRule="exact"/>
        <w:rPr>
          <w:rFonts w:ascii="Arial" w:cs="Arial" w:eastAsia="Arial" w:hAnsi="Arial"/>
          <w:sz w:val="17"/>
          <w:szCs w:val="17"/>
          <w:color w:val="003551"/>
        </w:rPr>
      </w:pPr>
    </w:p>
    <w:p>
      <w:pPr>
        <w:ind w:left="1280" w:hanging="337"/>
        <w:spacing w:after="0"/>
        <w:tabs>
          <w:tab w:leader="none" w:pos="1280" w:val="left"/>
        </w:tabs>
        <w:numPr>
          <w:ilvl w:val="0"/>
          <w:numId w:val="66"/>
        </w:numPr>
        <w:rPr>
          <w:rFonts w:ascii="Arial" w:cs="Arial" w:eastAsia="Arial" w:hAnsi="Arial"/>
          <w:sz w:val="17"/>
          <w:szCs w:val="17"/>
          <w:color w:val="003551"/>
        </w:rPr>
      </w:pPr>
      <w:r>
        <w:rPr>
          <w:rFonts w:ascii="Arial" w:cs="Arial" w:eastAsia="Arial" w:hAnsi="Arial"/>
          <w:sz w:val="17"/>
          <w:szCs w:val="17"/>
          <w:b w:val="1"/>
          <w:bCs w:val="1"/>
          <w:color w:val="003551"/>
        </w:rPr>
        <w:t xml:space="preserve">Proposal 6: </w:t>
      </w:r>
      <w:r>
        <w:rPr>
          <w:rFonts w:ascii="Arial" w:cs="Arial" w:eastAsia="Arial" w:hAnsi="Arial"/>
          <w:sz w:val="17"/>
          <w:szCs w:val="17"/>
          <w:color w:val="003551"/>
        </w:rPr>
        <w:t>Approve IREN’s 2025 Omnibus Incentive Plan</w:t>
      </w:r>
    </w:p>
    <w:p>
      <w:pPr>
        <w:spacing w:after="0" w:line="145" w:lineRule="exact"/>
        <w:rPr>
          <w:rFonts w:ascii="Arial" w:cs="Arial" w:eastAsia="Arial" w:hAnsi="Arial"/>
          <w:sz w:val="17"/>
          <w:szCs w:val="17"/>
          <w:color w:val="003551"/>
        </w:rPr>
      </w:pPr>
    </w:p>
    <w:p>
      <w:pPr>
        <w:ind w:left="1280" w:right="840" w:hanging="337"/>
        <w:spacing w:after="0" w:line="286" w:lineRule="auto"/>
        <w:tabs>
          <w:tab w:leader="none" w:pos="1280" w:val="left"/>
        </w:tabs>
        <w:numPr>
          <w:ilvl w:val="0"/>
          <w:numId w:val="66"/>
        </w:numPr>
        <w:rPr>
          <w:rFonts w:ascii="Arial" w:cs="Arial" w:eastAsia="Arial" w:hAnsi="Arial"/>
          <w:sz w:val="17"/>
          <w:szCs w:val="17"/>
          <w:color w:val="003551"/>
        </w:rPr>
      </w:pPr>
      <w:r>
        <w:rPr>
          <w:rFonts w:ascii="Arial" w:cs="Arial" w:eastAsia="Arial" w:hAnsi="Arial"/>
          <w:sz w:val="17"/>
          <w:szCs w:val="17"/>
          <w:b w:val="1"/>
          <w:bCs w:val="1"/>
          <w:color w:val="003551"/>
        </w:rPr>
        <w:t xml:space="preserve">Proposal 7: </w:t>
      </w:r>
      <w:r>
        <w:rPr>
          <w:rFonts w:ascii="Arial" w:cs="Arial" w:eastAsia="Arial" w:hAnsi="Arial"/>
          <w:sz w:val="17"/>
          <w:szCs w:val="17"/>
          <w:color w:val="003551"/>
        </w:rPr>
        <w:t>Approve the repurchase by IREN of its ordinary shares pursuant to the Prepaid Forward</w:t>
      </w:r>
      <w:r>
        <w:rPr>
          <w:rFonts w:ascii="Arial" w:cs="Arial" w:eastAsia="Arial" w:hAnsi="Arial"/>
          <w:sz w:val="17"/>
          <w:szCs w:val="17"/>
          <w:b w:val="1"/>
          <w:bCs w:val="1"/>
          <w:color w:val="003551"/>
        </w:rPr>
        <w:t xml:space="preserve"> </w:t>
      </w:r>
      <w:r>
        <w:rPr>
          <w:rFonts w:ascii="Arial" w:cs="Arial" w:eastAsia="Arial" w:hAnsi="Arial"/>
          <w:sz w:val="17"/>
          <w:szCs w:val="17"/>
          <w:color w:val="003551"/>
        </w:rPr>
        <w:t>Transactions</w:t>
      </w:r>
    </w:p>
    <w:p>
      <w:pPr>
        <w:spacing w:after="0" w:line="58" w:lineRule="exact"/>
        <w:rPr>
          <w:rFonts w:ascii="Arial" w:cs="Arial" w:eastAsia="Arial" w:hAnsi="Arial"/>
          <w:sz w:val="17"/>
          <w:szCs w:val="17"/>
          <w:color w:val="003551"/>
        </w:rPr>
      </w:pPr>
    </w:p>
    <w:p>
      <w:pPr>
        <w:ind w:left="1280" w:right="1160" w:hanging="337"/>
        <w:spacing w:after="0" w:line="286" w:lineRule="auto"/>
        <w:tabs>
          <w:tab w:leader="none" w:pos="1280" w:val="left"/>
        </w:tabs>
        <w:numPr>
          <w:ilvl w:val="0"/>
          <w:numId w:val="66"/>
        </w:numPr>
        <w:rPr>
          <w:rFonts w:ascii="Arial" w:cs="Arial" w:eastAsia="Arial" w:hAnsi="Arial"/>
          <w:sz w:val="17"/>
          <w:szCs w:val="17"/>
          <w:color w:val="003551"/>
        </w:rPr>
      </w:pPr>
      <w:r>
        <w:rPr>
          <w:rFonts w:ascii="Arial" w:cs="Arial" w:eastAsia="Arial" w:hAnsi="Arial"/>
          <w:sz w:val="17"/>
          <w:szCs w:val="17"/>
          <w:b w:val="1"/>
          <w:bCs w:val="1"/>
          <w:color w:val="003551"/>
        </w:rPr>
        <w:t xml:space="preserve">Proposal 8: </w:t>
      </w:r>
      <w:r>
        <w:rPr>
          <w:rFonts w:ascii="Arial" w:cs="Arial" w:eastAsia="Arial" w:hAnsi="Arial"/>
          <w:sz w:val="17"/>
          <w:szCs w:val="17"/>
          <w:color w:val="003551"/>
        </w:rPr>
        <w:t>Approve the repurchase by IREN of its ordinary shares pursuant to the Capped Call</w:t>
      </w:r>
      <w:r>
        <w:rPr>
          <w:rFonts w:ascii="Arial" w:cs="Arial" w:eastAsia="Arial" w:hAnsi="Arial"/>
          <w:sz w:val="17"/>
          <w:szCs w:val="17"/>
          <w:b w:val="1"/>
          <w:bCs w:val="1"/>
          <w:color w:val="003551"/>
        </w:rPr>
        <w:t xml:space="preserve"> </w:t>
      </w:r>
      <w:r>
        <w:rPr>
          <w:rFonts w:ascii="Arial" w:cs="Arial" w:eastAsia="Arial" w:hAnsi="Arial"/>
          <w:sz w:val="17"/>
          <w:szCs w:val="17"/>
          <w:color w:val="003551"/>
        </w:rPr>
        <w:t>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98425</wp:posOffset>
            </wp:positionV>
            <wp:extent cx="540385" cy="63182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80" w:hanging="337"/>
        <w:spacing w:after="0"/>
        <w:tabs>
          <w:tab w:leader="none" w:pos="1280" w:val="left"/>
        </w:tabs>
        <w:numPr>
          <w:ilvl w:val="0"/>
          <w:numId w:val="67"/>
        </w:numPr>
        <w:rPr>
          <w:rFonts w:ascii="Arial" w:cs="Arial" w:eastAsia="Arial" w:hAnsi="Arial"/>
          <w:sz w:val="17"/>
          <w:szCs w:val="17"/>
          <w:color w:val="003551"/>
        </w:rPr>
      </w:pPr>
      <w:r>
        <w:rPr>
          <w:rFonts w:ascii="Arial" w:cs="Arial" w:eastAsia="Arial" w:hAnsi="Arial"/>
          <w:sz w:val="17"/>
          <w:szCs w:val="17"/>
          <w:b w:val="1"/>
          <w:bCs w:val="1"/>
          <w:color w:val="003551"/>
        </w:rPr>
        <w:t xml:space="preserve">Proposal 9: </w:t>
      </w:r>
      <w:r>
        <w:rPr>
          <w:rFonts w:ascii="Arial" w:cs="Arial" w:eastAsia="Arial" w:hAnsi="Arial"/>
          <w:sz w:val="17"/>
          <w:szCs w:val="17"/>
          <w:color w:val="003551"/>
        </w:rPr>
        <w:t>Approve an advisory vote on executive compensation (the “say-on-pay” vote)</w:t>
      </w:r>
    </w:p>
    <w:p>
      <w:pPr>
        <w:spacing w:after="0" w:line="131" w:lineRule="exact"/>
        <w:rPr>
          <w:rFonts w:ascii="Arial" w:cs="Arial" w:eastAsia="Arial" w:hAnsi="Arial"/>
          <w:sz w:val="17"/>
          <w:szCs w:val="17"/>
          <w:color w:val="003551"/>
        </w:rPr>
      </w:pPr>
    </w:p>
    <w:p>
      <w:pPr>
        <w:ind w:left="1280" w:hanging="337"/>
        <w:spacing w:after="0"/>
        <w:tabs>
          <w:tab w:leader="none" w:pos="1280" w:val="left"/>
        </w:tabs>
        <w:numPr>
          <w:ilvl w:val="0"/>
          <w:numId w:val="67"/>
        </w:numPr>
        <w:rPr>
          <w:rFonts w:ascii="Arial" w:cs="Arial" w:eastAsia="Arial" w:hAnsi="Arial"/>
          <w:sz w:val="17"/>
          <w:szCs w:val="17"/>
          <w:color w:val="003551"/>
        </w:rPr>
      </w:pPr>
      <w:r>
        <w:rPr>
          <w:rFonts w:ascii="Arial" w:cs="Arial" w:eastAsia="Arial" w:hAnsi="Arial"/>
          <w:sz w:val="17"/>
          <w:szCs w:val="17"/>
          <w:b w:val="1"/>
          <w:bCs w:val="1"/>
          <w:color w:val="003551"/>
        </w:rPr>
        <w:t xml:space="preserve">Proposal 10: </w:t>
      </w:r>
      <w:r>
        <w:rPr>
          <w:rFonts w:ascii="Arial" w:cs="Arial" w:eastAsia="Arial" w:hAnsi="Arial"/>
          <w:sz w:val="17"/>
          <w:szCs w:val="17"/>
          <w:color w:val="003551"/>
        </w:rPr>
        <w:t>Approve an advisory vote on the frequency of future advisory votes on executive</w:t>
      </w:r>
    </w:p>
    <w:p>
      <w:pPr>
        <w:spacing w:after="0" w:line="19" w:lineRule="exact"/>
        <w:rPr>
          <w:sz w:val="20"/>
          <w:szCs w:val="20"/>
          <w:color w:val="auto"/>
        </w:rPr>
      </w:pPr>
    </w:p>
    <w:p>
      <w:pPr>
        <w:ind w:left="1280"/>
        <w:spacing w:after="0"/>
        <w:rPr>
          <w:sz w:val="20"/>
          <w:szCs w:val="20"/>
          <w:color w:val="auto"/>
        </w:rPr>
      </w:pPr>
      <w:r>
        <w:rPr>
          <w:rFonts w:ascii="Arial" w:cs="Arial" w:eastAsia="Arial" w:hAnsi="Arial"/>
          <w:sz w:val="17"/>
          <w:szCs w:val="17"/>
          <w:color w:val="003551"/>
        </w:rPr>
        <w:t>compensation</w:t>
      </w:r>
    </w:p>
    <w:p>
      <w:pPr>
        <w:spacing w:after="0" w:line="1" w:lineRule="exact"/>
        <w:rPr>
          <w:sz w:val="20"/>
          <w:szCs w:val="20"/>
          <w:color w:val="auto"/>
        </w:rPr>
      </w:pPr>
    </w:p>
    <w:p>
      <w:pPr>
        <w:ind w:left="940" w:right="1120"/>
        <w:spacing w:after="0" w:line="263" w:lineRule="auto"/>
        <w:rPr>
          <w:sz w:val="20"/>
          <w:szCs w:val="20"/>
          <w:color w:val="auto"/>
        </w:rPr>
      </w:pPr>
      <w:r>
        <w:rPr>
          <w:rFonts w:ascii="Arial" w:cs="Arial" w:eastAsia="Arial" w:hAnsi="Arial"/>
          <w:sz w:val="17"/>
          <w:szCs w:val="17"/>
          <w:color w:val="003551"/>
        </w:rPr>
        <w:t>Additionally, if other matters are presented at the AGM, the persons named in the proxy card or voting instruction form as proxy holders are authorized to vote on the additional matters as they determine.</w:t>
      </w:r>
    </w:p>
    <w:p>
      <w:pPr>
        <w:spacing w:after="0" w:line="214"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Who pays the cost for soliciting proxies by IREN?</w:t>
      </w:r>
    </w:p>
    <w:p>
      <w:pPr>
        <w:spacing w:after="0" w:line="15" w:lineRule="exact"/>
        <w:rPr>
          <w:sz w:val="20"/>
          <w:szCs w:val="20"/>
          <w:color w:val="auto"/>
        </w:rPr>
      </w:pPr>
    </w:p>
    <w:p>
      <w:pPr>
        <w:ind w:left="940" w:right="920"/>
        <w:spacing w:after="0" w:line="246" w:lineRule="auto"/>
        <w:rPr>
          <w:sz w:val="20"/>
          <w:szCs w:val="20"/>
          <w:color w:val="auto"/>
        </w:rPr>
      </w:pPr>
      <w:r>
        <w:rPr>
          <w:rFonts w:ascii="Arial" w:cs="Arial" w:eastAsia="Arial" w:hAnsi="Arial"/>
          <w:sz w:val="17"/>
          <w:szCs w:val="17"/>
          <w:color w:val="003551"/>
        </w:rPr>
        <w:t>Proxy materials are being distributed to shareholders beginning October 6, 2025. Certain officers, directors, employees and agents of IREN, may solicit proxies by telephone, emails, or other personal contact. We will bear the cost for the solicitation of the proxies, including postage, printing, and handling, and will reimburse the reasonable expenses of brokerage firms and others for forwarding material to beneficial owners of ordinary shares.</w:t>
      </w:r>
    </w:p>
    <w:p>
      <w:pPr>
        <w:spacing w:after="0" w:line="217"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What is householding?</w:t>
      </w:r>
    </w:p>
    <w:p>
      <w:pPr>
        <w:spacing w:after="0" w:line="15" w:lineRule="exact"/>
        <w:rPr>
          <w:sz w:val="20"/>
          <w:szCs w:val="20"/>
          <w:color w:val="auto"/>
        </w:rPr>
      </w:pPr>
    </w:p>
    <w:p>
      <w:pPr>
        <w:ind w:left="940" w:right="760"/>
        <w:spacing w:after="0" w:line="245" w:lineRule="auto"/>
        <w:rPr>
          <w:sz w:val="20"/>
          <w:szCs w:val="20"/>
          <w:color w:val="auto"/>
        </w:rPr>
      </w:pPr>
      <w:r>
        <w:rPr>
          <w:rFonts w:ascii="Arial" w:cs="Arial" w:eastAsia="Arial" w:hAnsi="Arial"/>
          <w:sz w:val="17"/>
          <w:szCs w:val="17"/>
          <w:color w:val="003551"/>
        </w:rPr>
        <w:t>Some banks, brokers and other nominee record holders may be “householding” our proxy statements, annual reports and related materials. “</w:t>
      </w:r>
      <w:r>
        <w:rPr>
          <w:rFonts w:ascii="Arial" w:cs="Arial" w:eastAsia="Arial" w:hAnsi="Arial"/>
          <w:sz w:val="17"/>
          <w:szCs w:val="17"/>
          <w:b w:val="1"/>
          <w:bCs w:val="1"/>
          <w:color w:val="003551"/>
        </w:rPr>
        <w:t>Householding</w:t>
      </w:r>
      <w:r>
        <w:rPr>
          <w:rFonts w:ascii="Arial" w:cs="Arial" w:eastAsia="Arial" w:hAnsi="Arial"/>
          <w:sz w:val="17"/>
          <w:szCs w:val="17"/>
          <w:color w:val="003551"/>
        </w:rPr>
        <w:t>” means that only one copy of these documents may have been sent to multiple shareholders in one household. If you would like to receive your own set of IREN’s proxy statements, annual reports and related materials, or if you share an address with another IREN shareholder and together both of you would like to receive only a single set of these documents, you may (1) notify your bank, broker or other nominee, or (2) direct your written request to our Investor Relations Department at ir@iren.com.</w:t>
      </w:r>
    </w:p>
    <w:p>
      <w:pPr>
        <w:spacing w:after="0" w:line="215"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May I change my vote?</w:t>
      </w:r>
    </w:p>
    <w:p>
      <w:pPr>
        <w:spacing w:after="0" w:line="15" w:lineRule="exact"/>
        <w:rPr>
          <w:sz w:val="20"/>
          <w:szCs w:val="20"/>
          <w:color w:val="auto"/>
        </w:rPr>
      </w:pPr>
    </w:p>
    <w:p>
      <w:pPr>
        <w:ind w:left="940" w:right="760"/>
        <w:spacing w:after="0" w:line="246" w:lineRule="auto"/>
        <w:rPr>
          <w:sz w:val="20"/>
          <w:szCs w:val="20"/>
          <w:color w:val="auto"/>
        </w:rPr>
      </w:pPr>
      <w:r>
        <w:rPr>
          <w:rFonts w:ascii="Arial" w:cs="Arial" w:eastAsia="Arial" w:hAnsi="Arial"/>
          <w:sz w:val="17"/>
          <w:szCs w:val="17"/>
          <w:color w:val="003551"/>
        </w:rPr>
        <w:t>If you are a registered shareholder, you may change your vote or revoke your proxy at any time before it is voted by notifying the Secretary in writing, by returning a signed proxy with a later date, by submitting an electronic proxy as of a later date or by virtually attending the AGM and voting online during the AGM. If your shares are held in “street name,” you must follow the instructions from your bank, broker or other nominee for instructions on changing your vote.</w:t>
      </w:r>
    </w:p>
    <w:p>
      <w:pPr>
        <w:spacing w:after="0" w:line="230"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What constitutes a quorum?</w:t>
      </w:r>
    </w:p>
    <w:p>
      <w:pPr>
        <w:spacing w:after="0" w:line="15" w:lineRule="exact"/>
        <w:rPr>
          <w:sz w:val="20"/>
          <w:szCs w:val="20"/>
          <w:color w:val="auto"/>
        </w:rPr>
      </w:pPr>
    </w:p>
    <w:p>
      <w:pPr>
        <w:ind w:left="940" w:right="1080"/>
        <w:spacing w:after="0" w:line="263" w:lineRule="auto"/>
        <w:rPr>
          <w:sz w:val="20"/>
          <w:szCs w:val="20"/>
          <w:color w:val="auto"/>
        </w:rPr>
      </w:pPr>
      <w:r>
        <w:rPr>
          <w:rFonts w:ascii="Arial" w:cs="Arial" w:eastAsia="Arial" w:hAnsi="Arial"/>
          <w:sz w:val="17"/>
          <w:szCs w:val="17"/>
          <w:color w:val="003551"/>
        </w:rPr>
        <w:t>Under the Constitution, the AGM will be properly convened if at least two members are present (which must include each holder of a B Class share, to the extent such holder is entitled to vote</w:t>
      </w:r>
    </w:p>
    <w:p>
      <w:pPr>
        <w:spacing w:after="0" w:line="53" w:lineRule="exact"/>
        <w:rPr>
          <w:sz w:val="20"/>
          <w:szCs w:val="20"/>
          <w:color w:val="auto"/>
        </w:rPr>
      </w:pPr>
    </w:p>
    <w:p>
      <w:pPr>
        <w:ind w:left="940" w:right="780"/>
        <w:spacing w:after="0" w:line="248" w:lineRule="auto"/>
        <w:rPr>
          <w:sz w:val="20"/>
          <w:szCs w:val="20"/>
          <w:color w:val="auto"/>
        </w:rPr>
      </w:pPr>
      <w:r>
        <w:rPr>
          <w:rFonts w:ascii="Arial" w:cs="Arial" w:eastAsia="Arial" w:hAnsi="Arial"/>
          <w:sz w:val="17"/>
          <w:szCs w:val="17"/>
          <w:color w:val="003551"/>
        </w:rPr>
        <w:t>on one or more resolutions at the relevant meeting) and entitled to vote. In addition, under Nasdaq Rule 5620(c), shareholders holding not less than 33 1/3% of the voting power of the shares issued and outstanding and entitled to vote at a company’s annual meeting must be present in order to proceed. The Constitution also provides that, if a provision of the Constitution is not consistent with the listing rules of a stock exchange upon which IREN is listed, then the Constitution is deemed not to contain that provision to the extent of the inconsistency. Accordingly, the quorum requirements in both the Constitution and Rule 5620(c) of the Nasdaq rules must be satisfied in order for the AGM to be properly convened.</w:t>
      </w:r>
    </w:p>
    <w:p>
      <w:pPr>
        <w:spacing w:after="0" w:line="66" w:lineRule="exact"/>
        <w:rPr>
          <w:sz w:val="20"/>
          <w:szCs w:val="20"/>
          <w:color w:val="auto"/>
        </w:rPr>
      </w:pPr>
    </w:p>
    <w:p>
      <w:pPr>
        <w:ind w:left="940" w:right="1100"/>
        <w:spacing w:after="0" w:line="262" w:lineRule="auto"/>
        <w:rPr>
          <w:sz w:val="20"/>
          <w:szCs w:val="20"/>
          <w:color w:val="auto"/>
        </w:rPr>
      </w:pPr>
      <w:r>
        <w:rPr>
          <w:rFonts w:ascii="Arial" w:cs="Arial" w:eastAsia="Arial" w:hAnsi="Arial"/>
          <w:sz w:val="17"/>
          <w:szCs w:val="17"/>
          <w:color w:val="003551"/>
        </w:rPr>
        <w:t>In determining whether a quorum is present, an individual attending in more than one capacity is to be counted only once and if a member has appointed more than one corporate representative, proxy or attorney, only one is to be counted.</w:t>
      </w:r>
    </w:p>
    <w:p>
      <w:pPr>
        <w:spacing w:after="0" w:line="93"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Abstentions and broker non-votes will qualify for determining whether there is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144145</wp:posOffset>
            </wp:positionV>
            <wp:extent cx="540385" cy="63182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228600</wp:posOffset>
            </wp:positionV>
            <wp:extent cx="6786880" cy="1651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What vote is required to approve each item?</w:t>
      </w:r>
    </w:p>
    <w:p>
      <w:pPr>
        <w:spacing w:after="0" w:line="160" w:lineRule="exact"/>
        <w:rPr>
          <w:sz w:val="20"/>
          <w:szCs w:val="20"/>
          <w:color w:val="auto"/>
        </w:rPr>
      </w:pPr>
    </w:p>
    <w:tbl>
      <w:tblPr>
        <w:tblLayout w:type="fixed"/>
        <w:tblInd w:w="940" w:type="dxa"/>
        <w:tblCellMar>
          <w:top w:w="0" w:type="dxa"/>
          <w:left w:w="0" w:type="dxa"/>
          <w:bottom w:w="0" w:type="dxa"/>
          <w:right w:w="0" w:type="dxa"/>
        </w:tblCellMar>
      </w:tblPr>
      <w:tr>
        <w:trPr>
          <w:trHeight w:val="335"/>
        </w:trPr>
        <w:tc>
          <w:tcPr>
            <w:tcW w:w="2060" w:type="dxa"/>
            <w:vAlign w:val="bottom"/>
            <w:shd w:val="clear" w:color="auto" w:fill="77C483"/>
          </w:tcPr>
          <w:p>
            <w:pPr>
              <w:spacing w:after="0"/>
              <w:rPr>
                <w:sz w:val="24"/>
                <w:szCs w:val="24"/>
                <w:color w:val="auto"/>
              </w:rPr>
            </w:pPr>
          </w:p>
        </w:tc>
        <w:tc>
          <w:tcPr>
            <w:tcW w:w="3360" w:type="dxa"/>
            <w:vAlign w:val="bottom"/>
            <w:shd w:val="clear" w:color="auto" w:fill="77C483"/>
          </w:tcPr>
          <w:p>
            <w:pPr>
              <w:spacing w:after="0"/>
              <w:rPr>
                <w:sz w:val="24"/>
                <w:szCs w:val="24"/>
                <w:color w:val="auto"/>
              </w:rPr>
            </w:pPr>
          </w:p>
        </w:tc>
        <w:tc>
          <w:tcPr>
            <w:tcW w:w="1680" w:type="dxa"/>
            <w:vAlign w:val="bottom"/>
            <w:shd w:val="clear" w:color="auto" w:fill="77C483"/>
          </w:tcPr>
          <w:p>
            <w:pPr>
              <w:spacing w:after="0"/>
              <w:rPr>
                <w:sz w:val="24"/>
                <w:szCs w:val="24"/>
                <w:color w:val="auto"/>
              </w:rPr>
            </w:pPr>
          </w:p>
        </w:tc>
        <w:tc>
          <w:tcPr>
            <w:tcW w:w="1140" w:type="dxa"/>
            <w:vAlign w:val="bottom"/>
            <w:shd w:val="clear" w:color="auto" w:fill="77C483"/>
          </w:tcPr>
          <w:p>
            <w:pPr>
              <w:ind w:left="100"/>
              <w:spacing w:after="0"/>
              <w:rPr>
                <w:sz w:val="20"/>
                <w:szCs w:val="20"/>
                <w:color w:val="auto"/>
              </w:rPr>
            </w:pPr>
            <w:r>
              <w:rPr>
                <w:rFonts w:ascii="Arial" w:cs="Arial" w:eastAsia="Arial" w:hAnsi="Arial"/>
                <w:sz w:val="17"/>
                <w:szCs w:val="17"/>
                <w:b w:val="1"/>
                <w:bCs w:val="1"/>
                <w:color w:val="003551"/>
              </w:rPr>
              <w:t>Effect of</w:t>
            </w:r>
          </w:p>
        </w:tc>
      </w:tr>
      <w:tr>
        <w:trPr>
          <w:trHeight w:val="196"/>
        </w:trPr>
        <w:tc>
          <w:tcPr>
            <w:tcW w:w="2060" w:type="dxa"/>
            <w:vAlign w:val="bottom"/>
            <w:shd w:val="clear" w:color="auto" w:fill="77C483"/>
          </w:tcPr>
          <w:p>
            <w:pPr>
              <w:spacing w:after="0"/>
              <w:rPr>
                <w:sz w:val="17"/>
                <w:szCs w:val="17"/>
                <w:color w:val="auto"/>
              </w:rPr>
            </w:pPr>
          </w:p>
        </w:tc>
        <w:tc>
          <w:tcPr>
            <w:tcW w:w="3360" w:type="dxa"/>
            <w:vAlign w:val="bottom"/>
            <w:shd w:val="clear" w:color="auto" w:fill="77C483"/>
          </w:tcPr>
          <w:p>
            <w:pPr>
              <w:spacing w:after="0"/>
              <w:rPr>
                <w:sz w:val="17"/>
                <w:szCs w:val="17"/>
                <w:color w:val="auto"/>
              </w:rPr>
            </w:pPr>
          </w:p>
        </w:tc>
        <w:tc>
          <w:tcPr>
            <w:tcW w:w="1680" w:type="dxa"/>
            <w:vAlign w:val="bottom"/>
            <w:shd w:val="clear" w:color="auto" w:fill="77C483"/>
          </w:tcPr>
          <w:p>
            <w:pPr>
              <w:ind w:left="600"/>
              <w:spacing w:after="0"/>
              <w:rPr>
                <w:sz w:val="20"/>
                <w:szCs w:val="20"/>
                <w:color w:val="auto"/>
              </w:rPr>
            </w:pPr>
            <w:r>
              <w:rPr>
                <w:rFonts w:ascii="Arial" w:cs="Arial" w:eastAsia="Arial" w:hAnsi="Arial"/>
                <w:sz w:val="17"/>
                <w:szCs w:val="17"/>
                <w:b w:val="1"/>
                <w:bCs w:val="1"/>
                <w:color w:val="003551"/>
              </w:rPr>
              <w:t>Effect of</w:t>
            </w:r>
          </w:p>
        </w:tc>
        <w:tc>
          <w:tcPr>
            <w:tcW w:w="1140" w:type="dxa"/>
            <w:vAlign w:val="bottom"/>
            <w:shd w:val="clear" w:color="auto" w:fill="77C483"/>
          </w:tcPr>
          <w:p>
            <w:pPr>
              <w:ind w:left="100"/>
              <w:spacing w:after="0"/>
              <w:rPr>
                <w:sz w:val="20"/>
                <w:szCs w:val="20"/>
                <w:color w:val="auto"/>
              </w:rPr>
            </w:pPr>
            <w:r>
              <w:rPr>
                <w:rFonts w:ascii="Arial" w:cs="Arial" w:eastAsia="Arial" w:hAnsi="Arial"/>
                <w:sz w:val="17"/>
                <w:szCs w:val="17"/>
                <w:b w:val="1"/>
                <w:bCs w:val="1"/>
                <w:color w:val="003551"/>
              </w:rPr>
              <w:t>broker</w:t>
            </w:r>
          </w:p>
        </w:tc>
      </w:tr>
      <w:tr>
        <w:trPr>
          <w:trHeight w:val="240"/>
        </w:trPr>
        <w:tc>
          <w:tcPr>
            <w:tcW w:w="2060" w:type="dxa"/>
            <w:vAlign w:val="bottom"/>
            <w:shd w:val="clear" w:color="auto" w:fill="77C483"/>
          </w:tcPr>
          <w:p>
            <w:pPr>
              <w:ind w:left="140"/>
              <w:spacing w:after="0"/>
              <w:rPr>
                <w:sz w:val="20"/>
                <w:szCs w:val="20"/>
                <w:color w:val="auto"/>
              </w:rPr>
            </w:pPr>
            <w:r>
              <w:rPr>
                <w:rFonts w:ascii="Arial" w:cs="Arial" w:eastAsia="Arial" w:hAnsi="Arial"/>
                <w:sz w:val="17"/>
                <w:szCs w:val="17"/>
                <w:b w:val="1"/>
                <w:bCs w:val="1"/>
                <w:color w:val="003551"/>
              </w:rPr>
              <w:t>Proposal</w:t>
            </w:r>
          </w:p>
        </w:tc>
        <w:tc>
          <w:tcPr>
            <w:tcW w:w="3360" w:type="dxa"/>
            <w:vAlign w:val="bottom"/>
            <w:shd w:val="clear" w:color="auto" w:fill="77C483"/>
          </w:tcPr>
          <w:p>
            <w:pPr>
              <w:ind w:left="1160"/>
              <w:spacing w:after="0"/>
              <w:rPr>
                <w:sz w:val="20"/>
                <w:szCs w:val="20"/>
                <w:color w:val="auto"/>
              </w:rPr>
            </w:pPr>
            <w:r>
              <w:rPr>
                <w:rFonts w:ascii="Arial" w:cs="Arial" w:eastAsia="Arial" w:hAnsi="Arial"/>
                <w:sz w:val="17"/>
                <w:szCs w:val="17"/>
                <w:b w:val="1"/>
                <w:bCs w:val="1"/>
                <w:color w:val="003551"/>
              </w:rPr>
              <w:t>Voting requirement</w:t>
            </w:r>
          </w:p>
        </w:tc>
        <w:tc>
          <w:tcPr>
            <w:tcW w:w="1680" w:type="dxa"/>
            <w:vAlign w:val="bottom"/>
            <w:shd w:val="clear" w:color="auto" w:fill="77C483"/>
          </w:tcPr>
          <w:p>
            <w:pPr>
              <w:ind w:left="600"/>
              <w:spacing w:after="0"/>
              <w:rPr>
                <w:sz w:val="20"/>
                <w:szCs w:val="20"/>
                <w:color w:val="auto"/>
              </w:rPr>
            </w:pPr>
            <w:r>
              <w:rPr>
                <w:rFonts w:ascii="Arial" w:cs="Arial" w:eastAsia="Arial" w:hAnsi="Arial"/>
                <w:sz w:val="17"/>
                <w:szCs w:val="17"/>
                <w:b w:val="1"/>
                <w:bCs w:val="1"/>
                <w:color w:val="003551"/>
              </w:rPr>
              <w:t>abstentions</w:t>
            </w:r>
          </w:p>
        </w:tc>
        <w:tc>
          <w:tcPr>
            <w:tcW w:w="1140" w:type="dxa"/>
            <w:vAlign w:val="bottom"/>
            <w:shd w:val="clear" w:color="auto" w:fill="77C483"/>
          </w:tcPr>
          <w:p>
            <w:pPr>
              <w:ind w:left="100"/>
              <w:spacing w:after="0"/>
              <w:rPr>
                <w:sz w:val="20"/>
                <w:szCs w:val="20"/>
                <w:color w:val="auto"/>
              </w:rPr>
            </w:pPr>
            <w:r>
              <w:rPr>
                <w:rFonts w:ascii="Arial" w:cs="Arial" w:eastAsia="Arial" w:hAnsi="Arial"/>
                <w:sz w:val="17"/>
                <w:szCs w:val="17"/>
                <w:b w:val="1"/>
                <w:bCs w:val="1"/>
                <w:color w:val="003551"/>
              </w:rPr>
              <w:t>non-votes</w:t>
            </w:r>
          </w:p>
        </w:tc>
      </w:tr>
      <w:tr>
        <w:trPr>
          <w:trHeight w:val="93"/>
        </w:trPr>
        <w:tc>
          <w:tcPr>
            <w:tcW w:w="2060" w:type="dxa"/>
            <w:vAlign w:val="bottom"/>
            <w:tcBorders>
              <w:bottom w:val="single" w:sz="8" w:color="003551"/>
            </w:tcBorders>
            <w:shd w:val="clear" w:color="auto" w:fill="77C483"/>
          </w:tcPr>
          <w:p>
            <w:pPr>
              <w:spacing w:after="0"/>
              <w:rPr>
                <w:sz w:val="8"/>
                <w:szCs w:val="8"/>
                <w:color w:val="auto"/>
              </w:rPr>
            </w:pPr>
          </w:p>
        </w:tc>
        <w:tc>
          <w:tcPr>
            <w:tcW w:w="3360" w:type="dxa"/>
            <w:vAlign w:val="bottom"/>
            <w:tcBorders>
              <w:bottom w:val="single" w:sz="8" w:color="003551"/>
            </w:tcBorders>
            <w:shd w:val="clear" w:color="auto" w:fill="77C483"/>
          </w:tcPr>
          <w:p>
            <w:pPr>
              <w:spacing w:after="0"/>
              <w:rPr>
                <w:sz w:val="8"/>
                <w:szCs w:val="8"/>
                <w:color w:val="auto"/>
              </w:rPr>
            </w:pPr>
          </w:p>
        </w:tc>
        <w:tc>
          <w:tcPr>
            <w:tcW w:w="1680" w:type="dxa"/>
            <w:vAlign w:val="bottom"/>
            <w:tcBorders>
              <w:bottom w:val="single" w:sz="8" w:color="003551"/>
            </w:tcBorders>
            <w:shd w:val="clear" w:color="auto" w:fill="77C483"/>
          </w:tcPr>
          <w:p>
            <w:pPr>
              <w:spacing w:after="0"/>
              <w:rPr>
                <w:sz w:val="8"/>
                <w:szCs w:val="8"/>
                <w:color w:val="auto"/>
              </w:rPr>
            </w:pPr>
          </w:p>
        </w:tc>
        <w:tc>
          <w:tcPr>
            <w:tcW w:w="1140" w:type="dxa"/>
            <w:vAlign w:val="bottom"/>
            <w:tcBorders>
              <w:bottom w:val="single" w:sz="8" w:color="003551"/>
            </w:tcBorders>
            <w:shd w:val="clear" w:color="auto" w:fill="77C483"/>
          </w:tcPr>
          <w:p>
            <w:pPr>
              <w:spacing w:after="0"/>
              <w:rPr>
                <w:sz w:val="8"/>
                <w:szCs w:val="8"/>
                <w:color w:val="auto"/>
              </w:rPr>
            </w:pPr>
          </w:p>
        </w:tc>
      </w:tr>
    </w:tbl>
    <w:p>
      <w:pPr>
        <w:spacing w:after="0" w:line="99" w:lineRule="exact"/>
        <w:rPr>
          <w:sz w:val="20"/>
          <w:szCs w:val="20"/>
          <w:color w:val="auto"/>
        </w:rPr>
      </w:pPr>
    </w:p>
    <w:p>
      <w:pPr>
        <w:sectPr>
          <w:pgSz w:w="11900" w:h="16838" w:orient="portrait"/>
          <w:cols w:equalWidth="0" w:num="1">
            <w:col w:w="9900"/>
          </w:cols>
          <w:pgMar w:left="740" w:top="115" w:right="1259" w:bottom="1440" w:gutter="0" w:footer="0" w:header="0"/>
        </w:sectPr>
      </w:pPr>
    </w:p>
    <w:p>
      <w:pPr>
        <w:ind w:left="1080"/>
        <w:spacing w:after="0" w:line="254" w:lineRule="auto"/>
        <w:rPr>
          <w:sz w:val="20"/>
          <w:szCs w:val="20"/>
          <w:color w:val="auto"/>
        </w:rPr>
      </w:pPr>
      <w:r>
        <w:rPr>
          <w:rFonts w:ascii="Arial" w:cs="Arial" w:eastAsia="Arial" w:hAnsi="Arial"/>
          <w:sz w:val="17"/>
          <w:szCs w:val="17"/>
          <w:b w:val="1"/>
          <w:bCs w:val="1"/>
          <w:color w:val="003551"/>
        </w:rPr>
        <w:t>Proposal 1: Approve an amendment to IREN’s constitution to align the quorum requirement to conduct shareholder meetings with Nasdaq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53975</wp:posOffset>
            </wp:positionV>
            <wp:extent cx="197929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9792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2780" w:val="left"/>
          <w:tab w:leader="none" w:pos="3960" w:val="left"/>
        </w:tabs>
        <w:rPr>
          <w:sz w:val="20"/>
          <w:szCs w:val="20"/>
          <w:color w:val="auto"/>
        </w:rPr>
      </w:pPr>
      <w:r>
        <w:rPr>
          <w:rFonts w:ascii="Arial" w:cs="Arial" w:eastAsia="Arial" w:hAnsi="Arial"/>
          <w:sz w:val="17"/>
          <w:szCs w:val="17"/>
          <w:color w:val="003551"/>
        </w:rPr>
        <w:t>75% of the votes cast are in</w:t>
      </w:r>
      <w:r>
        <w:rPr>
          <w:sz w:val="20"/>
          <w:szCs w:val="20"/>
          <w:color w:val="auto"/>
        </w:rPr>
        <w:tab/>
      </w:r>
      <w:r>
        <w:rPr>
          <w:rFonts w:ascii="Arial" w:cs="Arial" w:eastAsia="Arial" w:hAnsi="Arial"/>
          <w:sz w:val="17"/>
          <w:szCs w:val="17"/>
          <w:color w:val="003551"/>
        </w:rPr>
        <w:t>No effect on</w:t>
        <w:tab/>
        <w:t>No effect</w:t>
      </w:r>
    </w:p>
    <w:p>
      <w:pPr>
        <w:spacing w:after="0" w:line="17" w:lineRule="exact"/>
        <w:rPr>
          <w:sz w:val="20"/>
          <w:szCs w:val="20"/>
          <w:color w:val="auto"/>
        </w:rPr>
      </w:pPr>
    </w:p>
    <w:p>
      <w:pPr>
        <w:spacing w:after="0"/>
        <w:tabs>
          <w:tab w:leader="none" w:pos="2780" w:val="left"/>
          <w:tab w:leader="none" w:pos="3960" w:val="left"/>
        </w:tabs>
        <w:rPr>
          <w:sz w:val="20"/>
          <w:szCs w:val="20"/>
          <w:color w:val="auto"/>
        </w:rPr>
      </w:pPr>
      <w:r>
        <w:rPr>
          <w:rFonts w:ascii="Arial" w:cs="Arial" w:eastAsia="Arial" w:hAnsi="Arial"/>
          <w:sz w:val="17"/>
          <w:szCs w:val="17"/>
          <w:color w:val="003551"/>
        </w:rPr>
        <w:t>favor of the resolution</w:t>
      </w:r>
      <w:r>
        <w:rPr>
          <w:sz w:val="20"/>
          <w:szCs w:val="20"/>
          <w:color w:val="auto"/>
        </w:rPr>
        <w:tab/>
      </w:r>
      <w:r>
        <w:rPr>
          <w:rFonts w:ascii="Arial" w:cs="Arial" w:eastAsia="Arial" w:hAnsi="Arial"/>
          <w:sz w:val="17"/>
          <w:szCs w:val="17"/>
          <w:color w:val="003551"/>
        </w:rPr>
        <w:t>outcome</w:t>
      </w:r>
      <w:r>
        <w:rPr>
          <w:sz w:val="20"/>
          <w:szCs w:val="20"/>
          <w:color w:val="auto"/>
        </w:rPr>
        <w:tab/>
      </w:r>
      <w:r>
        <w:rPr>
          <w:rFonts w:ascii="Arial" w:cs="Arial" w:eastAsia="Arial" w:hAnsi="Arial"/>
          <w:sz w:val="17"/>
          <w:szCs w:val="17"/>
          <w:color w:val="003551"/>
        </w:rPr>
        <w:t>on outcome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450215</wp:posOffset>
            </wp:positionV>
            <wp:extent cx="3243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243580" cy="8255"/>
                    </a:xfrm>
                    <a:prstGeom prst="rect">
                      <a:avLst/>
                    </a:prstGeom>
                    <a:noFill/>
                  </pic:spPr>
                </pic:pic>
              </a:graphicData>
            </a:graphic>
          </wp:anchor>
        </w:drawing>
      </w:r>
    </w:p>
    <w:p>
      <w:pPr>
        <w:spacing w:after="0" w:line="808" w:lineRule="exact"/>
        <w:rPr>
          <w:sz w:val="20"/>
          <w:szCs w:val="20"/>
          <w:color w:val="auto"/>
        </w:rPr>
      </w:pPr>
    </w:p>
    <w:p>
      <w:pPr>
        <w:sectPr>
          <w:pgSz w:w="11900" w:h="16838" w:orient="portrait"/>
          <w:cols w:equalWidth="0" w:num="2">
            <w:col w:w="3940" w:space="220"/>
            <w:col w:w="5740"/>
          </w:cols>
          <w:pgMar w:left="740" w:top="115" w:right="1259" w:bottom="1440" w:gutter="0" w:footer="0" w:header="0"/>
          <w:type w:val="continuous"/>
        </w:sectPr>
      </w:pPr>
    </w:p>
    <w:p>
      <w:pPr>
        <w:ind w:left="1080"/>
        <w:spacing w:after="0" w:line="259" w:lineRule="auto"/>
        <w:rPr>
          <w:sz w:val="20"/>
          <w:szCs w:val="20"/>
          <w:color w:val="auto"/>
        </w:rPr>
      </w:pPr>
      <w:r>
        <w:rPr>
          <w:rFonts w:ascii="Arial" w:cs="Arial" w:eastAsia="Arial" w:hAnsi="Arial"/>
          <w:sz w:val="17"/>
          <w:szCs w:val="17"/>
          <w:b w:val="1"/>
          <w:bCs w:val="1"/>
          <w:color w:val="003551"/>
        </w:rPr>
        <w:t>Proposal 2: Approve an amendment to IREN’s constitution to provide for director elections at each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50165</wp:posOffset>
            </wp:positionV>
            <wp:extent cx="197929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9792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2780" w:val="left"/>
          <w:tab w:leader="none" w:pos="3960" w:val="left"/>
        </w:tabs>
        <w:rPr>
          <w:sz w:val="20"/>
          <w:szCs w:val="20"/>
          <w:color w:val="auto"/>
        </w:rPr>
      </w:pPr>
      <w:r>
        <w:rPr>
          <w:rFonts w:ascii="Arial" w:cs="Arial" w:eastAsia="Arial" w:hAnsi="Arial"/>
          <w:sz w:val="17"/>
          <w:szCs w:val="17"/>
          <w:color w:val="003551"/>
        </w:rPr>
        <w:t>75% of the votes cast are in</w:t>
      </w:r>
      <w:r>
        <w:rPr>
          <w:sz w:val="20"/>
          <w:szCs w:val="20"/>
          <w:color w:val="auto"/>
        </w:rPr>
        <w:tab/>
      </w:r>
      <w:r>
        <w:rPr>
          <w:rFonts w:ascii="Arial" w:cs="Arial" w:eastAsia="Arial" w:hAnsi="Arial"/>
          <w:sz w:val="17"/>
          <w:szCs w:val="17"/>
          <w:color w:val="003551"/>
        </w:rPr>
        <w:t>No effect on</w:t>
        <w:tab/>
        <w:t>No effect</w:t>
      </w:r>
    </w:p>
    <w:p>
      <w:pPr>
        <w:spacing w:after="0" w:line="17" w:lineRule="exact"/>
        <w:rPr>
          <w:sz w:val="20"/>
          <w:szCs w:val="20"/>
          <w:color w:val="auto"/>
        </w:rPr>
      </w:pPr>
    </w:p>
    <w:p>
      <w:pPr>
        <w:spacing w:after="0"/>
        <w:tabs>
          <w:tab w:leader="none" w:pos="2780" w:val="left"/>
          <w:tab w:leader="none" w:pos="3960" w:val="left"/>
        </w:tabs>
        <w:rPr>
          <w:sz w:val="20"/>
          <w:szCs w:val="20"/>
          <w:color w:val="auto"/>
        </w:rPr>
      </w:pPr>
      <w:r>
        <w:rPr>
          <w:rFonts w:ascii="Arial" w:cs="Arial" w:eastAsia="Arial" w:hAnsi="Arial"/>
          <w:sz w:val="17"/>
          <w:szCs w:val="17"/>
          <w:color w:val="003551"/>
        </w:rPr>
        <w:t>favor of the resolution</w:t>
      </w:r>
      <w:r>
        <w:rPr>
          <w:sz w:val="20"/>
          <w:szCs w:val="20"/>
          <w:color w:val="auto"/>
        </w:rPr>
        <w:tab/>
      </w:r>
      <w:r>
        <w:rPr>
          <w:rFonts w:ascii="Arial" w:cs="Arial" w:eastAsia="Arial" w:hAnsi="Arial"/>
          <w:sz w:val="17"/>
          <w:szCs w:val="17"/>
          <w:color w:val="003551"/>
        </w:rPr>
        <w:t>outcome</w:t>
      </w:r>
      <w:r>
        <w:rPr>
          <w:sz w:val="20"/>
          <w:szCs w:val="20"/>
          <w:color w:val="auto"/>
        </w:rPr>
        <w:tab/>
      </w:r>
      <w:r>
        <w:rPr>
          <w:rFonts w:ascii="Arial" w:cs="Arial" w:eastAsia="Arial" w:hAnsi="Arial"/>
          <w:sz w:val="17"/>
          <w:szCs w:val="17"/>
          <w:color w:val="003551"/>
        </w:rPr>
        <w:t>on outcome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325755</wp:posOffset>
            </wp:positionV>
            <wp:extent cx="3243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243580" cy="8255"/>
                    </a:xfrm>
                    <a:prstGeom prst="rect">
                      <a:avLst/>
                    </a:prstGeom>
                    <a:noFill/>
                  </pic:spPr>
                </pic:pic>
              </a:graphicData>
            </a:graphic>
          </wp:anchor>
        </w:drawing>
      </w:r>
    </w:p>
    <w:p>
      <w:pPr>
        <w:spacing w:after="0" w:line="611" w:lineRule="exact"/>
        <w:rPr>
          <w:sz w:val="20"/>
          <w:szCs w:val="20"/>
          <w:color w:val="auto"/>
        </w:rPr>
      </w:pPr>
    </w:p>
    <w:p>
      <w:pPr>
        <w:sectPr>
          <w:pgSz w:w="11900" w:h="16838" w:orient="portrait"/>
          <w:cols w:equalWidth="0" w:num="2">
            <w:col w:w="3940" w:space="220"/>
            <w:col w:w="5740"/>
          </w:cols>
          <w:pgMar w:left="740" w:top="115" w:right="1259" w:bottom="1440" w:gutter="0" w:footer="0" w:header="0"/>
          <w:type w:val="continuous"/>
        </w:sectPr>
      </w:pPr>
    </w:p>
    <w:p>
      <w:pPr>
        <w:ind w:left="1080"/>
        <w:spacing w:after="0" w:line="268" w:lineRule="auto"/>
        <w:rPr>
          <w:sz w:val="20"/>
          <w:szCs w:val="20"/>
          <w:color w:val="auto"/>
        </w:rPr>
      </w:pPr>
      <w:r>
        <w:rPr>
          <w:rFonts w:ascii="Arial" w:cs="Arial" w:eastAsia="Arial" w:hAnsi="Arial"/>
          <w:sz w:val="17"/>
          <w:szCs w:val="17"/>
          <w:b w:val="1"/>
          <w:bCs w:val="1"/>
          <w:color w:val="003551"/>
        </w:rPr>
        <w:t>Proposal 3: Approve an amendment to IREN’s constitution to add a forum selection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45085</wp:posOffset>
            </wp:positionV>
            <wp:extent cx="197929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979295" cy="8255"/>
                    </a:xfrm>
                    <a:prstGeom prst="rect">
                      <a:avLst/>
                    </a:prstGeom>
                    <a:noFill/>
                  </pic:spPr>
                </pic:pic>
              </a:graphicData>
            </a:graphic>
          </wp:anchor>
        </w:drawing>
      </w:r>
    </w:p>
    <w:p>
      <w:pPr>
        <w:spacing w:after="0" w:line="150" w:lineRule="exact"/>
        <w:rPr>
          <w:sz w:val="20"/>
          <w:szCs w:val="20"/>
          <w:color w:val="auto"/>
        </w:rPr>
      </w:pPr>
    </w:p>
    <w:p>
      <w:pPr>
        <w:ind w:left="1080"/>
        <w:spacing w:after="0" w:line="259" w:lineRule="auto"/>
        <w:rPr>
          <w:sz w:val="20"/>
          <w:szCs w:val="20"/>
          <w:color w:val="auto"/>
        </w:rPr>
      </w:pPr>
      <w:r>
        <w:rPr>
          <w:rFonts w:ascii="Arial" w:cs="Arial" w:eastAsia="Arial" w:hAnsi="Arial"/>
          <w:sz w:val="17"/>
          <w:szCs w:val="17"/>
          <w:b w:val="1"/>
          <w:bCs w:val="1"/>
          <w:color w:val="003551"/>
        </w:rPr>
        <w:t>Proposal 4: Approve an amendment to IREN’s constitution to update the advance notice provisions for universal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50165</wp:posOffset>
            </wp:positionV>
            <wp:extent cx="197929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9792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2480" w:type="dxa"/>
            <w:vAlign w:val="bottom"/>
          </w:tcPr>
          <w:p>
            <w:pPr>
              <w:spacing w:after="0"/>
              <w:rPr>
                <w:sz w:val="20"/>
                <w:szCs w:val="20"/>
                <w:color w:val="auto"/>
              </w:rPr>
            </w:pPr>
            <w:r>
              <w:rPr>
                <w:rFonts w:ascii="Arial" w:cs="Arial" w:eastAsia="Arial" w:hAnsi="Arial"/>
                <w:sz w:val="17"/>
                <w:szCs w:val="17"/>
                <w:color w:val="003551"/>
              </w:rPr>
              <w:t>75% of the votes cast are in</w:t>
            </w:r>
          </w:p>
        </w:tc>
        <w:tc>
          <w:tcPr>
            <w:tcW w:w="1380" w:type="dxa"/>
            <w:vAlign w:val="bottom"/>
          </w:tcPr>
          <w:p>
            <w:pPr>
              <w:ind w:left="320"/>
              <w:spacing w:after="0"/>
              <w:rPr>
                <w:sz w:val="20"/>
                <w:szCs w:val="20"/>
                <w:color w:val="auto"/>
              </w:rPr>
            </w:pPr>
            <w:r>
              <w:rPr>
                <w:rFonts w:ascii="Arial" w:cs="Arial" w:eastAsia="Arial" w:hAnsi="Arial"/>
                <w:sz w:val="17"/>
                <w:szCs w:val="17"/>
                <w:color w:val="003551"/>
              </w:rPr>
              <w:t>No effect on</w:t>
            </w:r>
          </w:p>
        </w:tc>
        <w:tc>
          <w:tcPr>
            <w:tcW w:w="1040" w:type="dxa"/>
            <w:vAlign w:val="bottom"/>
          </w:tcPr>
          <w:p>
            <w:pPr>
              <w:ind w:left="120"/>
              <w:spacing w:after="0"/>
              <w:rPr>
                <w:sz w:val="20"/>
                <w:szCs w:val="20"/>
                <w:color w:val="auto"/>
              </w:rPr>
            </w:pPr>
            <w:r>
              <w:rPr>
                <w:rFonts w:ascii="Arial" w:cs="Arial" w:eastAsia="Arial" w:hAnsi="Arial"/>
                <w:sz w:val="17"/>
                <w:szCs w:val="17"/>
                <w:color w:val="003551"/>
              </w:rPr>
              <w:t>No effect</w:t>
            </w:r>
          </w:p>
        </w:tc>
      </w:tr>
      <w:tr>
        <w:trPr>
          <w:trHeight w:val="230"/>
        </w:trPr>
        <w:tc>
          <w:tcPr>
            <w:tcW w:w="2480" w:type="dxa"/>
            <w:vAlign w:val="bottom"/>
          </w:tcPr>
          <w:p>
            <w:pPr>
              <w:spacing w:after="0"/>
              <w:rPr>
                <w:sz w:val="20"/>
                <w:szCs w:val="20"/>
                <w:color w:val="auto"/>
              </w:rPr>
            </w:pPr>
            <w:r>
              <w:rPr>
                <w:rFonts w:ascii="Arial" w:cs="Arial" w:eastAsia="Arial" w:hAnsi="Arial"/>
                <w:sz w:val="17"/>
                <w:szCs w:val="17"/>
                <w:color w:val="003551"/>
              </w:rPr>
              <w:t>favor of the resolution</w:t>
            </w:r>
          </w:p>
        </w:tc>
        <w:tc>
          <w:tcPr>
            <w:tcW w:w="1380" w:type="dxa"/>
            <w:vAlign w:val="bottom"/>
          </w:tcPr>
          <w:p>
            <w:pPr>
              <w:ind w:left="320"/>
              <w:spacing w:after="0"/>
              <w:rPr>
                <w:sz w:val="20"/>
                <w:szCs w:val="20"/>
                <w:color w:val="auto"/>
              </w:rPr>
            </w:pPr>
            <w:r>
              <w:rPr>
                <w:rFonts w:ascii="Arial" w:cs="Arial" w:eastAsia="Arial" w:hAnsi="Arial"/>
                <w:sz w:val="17"/>
                <w:szCs w:val="17"/>
                <w:color w:val="003551"/>
              </w:rPr>
              <w:t>outcome</w:t>
            </w:r>
          </w:p>
        </w:tc>
        <w:tc>
          <w:tcPr>
            <w:tcW w:w="1040" w:type="dxa"/>
            <w:vAlign w:val="bottom"/>
          </w:tcPr>
          <w:p>
            <w:pPr>
              <w:ind w:left="120"/>
              <w:spacing w:after="0"/>
              <w:rPr>
                <w:sz w:val="20"/>
                <w:szCs w:val="20"/>
                <w:color w:val="auto"/>
              </w:rPr>
            </w:pPr>
            <w:r>
              <w:rPr>
                <w:rFonts w:ascii="Arial" w:cs="Arial" w:eastAsia="Arial" w:hAnsi="Arial"/>
                <w:sz w:val="17"/>
                <w:szCs w:val="17"/>
                <w:color w:val="003551"/>
              </w:rPr>
              <w:t>on outcome</w:t>
            </w:r>
          </w:p>
        </w:tc>
      </w:tr>
      <w:tr>
        <w:trPr>
          <w:trHeight w:val="595"/>
        </w:trPr>
        <w:tc>
          <w:tcPr>
            <w:tcW w:w="2480" w:type="dxa"/>
            <w:vAlign w:val="bottom"/>
          </w:tcPr>
          <w:p>
            <w:pPr>
              <w:spacing w:after="0"/>
              <w:rPr>
                <w:sz w:val="20"/>
                <w:szCs w:val="20"/>
                <w:color w:val="auto"/>
              </w:rPr>
            </w:pPr>
            <w:r>
              <w:rPr>
                <w:rFonts w:ascii="Arial" w:cs="Arial" w:eastAsia="Arial" w:hAnsi="Arial"/>
                <w:sz w:val="17"/>
                <w:szCs w:val="17"/>
                <w:color w:val="003551"/>
              </w:rPr>
              <w:t>75% of the votes cast are in</w:t>
            </w:r>
          </w:p>
        </w:tc>
        <w:tc>
          <w:tcPr>
            <w:tcW w:w="1380" w:type="dxa"/>
            <w:vAlign w:val="bottom"/>
          </w:tcPr>
          <w:p>
            <w:pPr>
              <w:ind w:left="320"/>
              <w:spacing w:after="0"/>
              <w:rPr>
                <w:sz w:val="20"/>
                <w:szCs w:val="20"/>
                <w:color w:val="auto"/>
              </w:rPr>
            </w:pPr>
            <w:r>
              <w:rPr>
                <w:rFonts w:ascii="Arial" w:cs="Arial" w:eastAsia="Arial" w:hAnsi="Arial"/>
                <w:sz w:val="17"/>
                <w:szCs w:val="17"/>
                <w:color w:val="003551"/>
              </w:rPr>
              <w:t>No effect on</w:t>
            </w:r>
          </w:p>
        </w:tc>
        <w:tc>
          <w:tcPr>
            <w:tcW w:w="1040" w:type="dxa"/>
            <w:vAlign w:val="bottom"/>
          </w:tcPr>
          <w:p>
            <w:pPr>
              <w:ind w:left="120"/>
              <w:spacing w:after="0"/>
              <w:rPr>
                <w:sz w:val="20"/>
                <w:szCs w:val="20"/>
                <w:color w:val="auto"/>
              </w:rPr>
            </w:pPr>
            <w:r>
              <w:rPr>
                <w:rFonts w:ascii="Arial" w:cs="Arial" w:eastAsia="Arial" w:hAnsi="Arial"/>
                <w:sz w:val="17"/>
                <w:szCs w:val="17"/>
                <w:color w:val="003551"/>
              </w:rPr>
              <w:t>No effect</w:t>
            </w:r>
          </w:p>
        </w:tc>
      </w:tr>
      <w:tr>
        <w:trPr>
          <w:trHeight w:val="230"/>
        </w:trPr>
        <w:tc>
          <w:tcPr>
            <w:tcW w:w="2480" w:type="dxa"/>
            <w:vAlign w:val="bottom"/>
          </w:tcPr>
          <w:p>
            <w:pPr>
              <w:spacing w:after="0"/>
              <w:rPr>
                <w:sz w:val="20"/>
                <w:szCs w:val="20"/>
                <w:color w:val="auto"/>
              </w:rPr>
            </w:pPr>
            <w:r>
              <w:rPr>
                <w:rFonts w:ascii="Arial" w:cs="Arial" w:eastAsia="Arial" w:hAnsi="Arial"/>
                <w:sz w:val="17"/>
                <w:szCs w:val="17"/>
                <w:color w:val="003551"/>
              </w:rPr>
              <w:t>favor of the resolution</w:t>
            </w:r>
          </w:p>
        </w:tc>
        <w:tc>
          <w:tcPr>
            <w:tcW w:w="1380" w:type="dxa"/>
            <w:vAlign w:val="bottom"/>
          </w:tcPr>
          <w:p>
            <w:pPr>
              <w:ind w:left="320"/>
              <w:spacing w:after="0"/>
              <w:rPr>
                <w:sz w:val="20"/>
                <w:szCs w:val="20"/>
                <w:color w:val="auto"/>
              </w:rPr>
            </w:pPr>
            <w:r>
              <w:rPr>
                <w:rFonts w:ascii="Arial" w:cs="Arial" w:eastAsia="Arial" w:hAnsi="Arial"/>
                <w:sz w:val="17"/>
                <w:szCs w:val="17"/>
                <w:color w:val="003551"/>
              </w:rPr>
              <w:t>outcome</w:t>
            </w:r>
          </w:p>
        </w:tc>
        <w:tc>
          <w:tcPr>
            <w:tcW w:w="1040" w:type="dxa"/>
            <w:vAlign w:val="bottom"/>
          </w:tcPr>
          <w:p>
            <w:pPr>
              <w:ind w:left="120"/>
              <w:spacing w:after="0"/>
              <w:rPr>
                <w:sz w:val="20"/>
                <w:szCs w:val="20"/>
                <w:color w:val="auto"/>
              </w:rPr>
            </w:pPr>
            <w:r>
              <w:rPr>
                <w:rFonts w:ascii="Arial" w:cs="Arial" w:eastAsia="Arial" w:hAnsi="Arial"/>
                <w:sz w:val="17"/>
                <w:szCs w:val="17"/>
                <w:color w:val="003551"/>
              </w:rPr>
              <w:t>on outcome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-334645</wp:posOffset>
            </wp:positionV>
            <wp:extent cx="3243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243580" cy="8255"/>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313690</wp:posOffset>
            </wp:positionV>
            <wp:extent cx="3243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243580" cy="8255"/>
                    </a:xfrm>
                    <a:prstGeom prst="rect">
                      <a:avLst/>
                    </a:prstGeom>
                    <a:noFill/>
                  </pic:spPr>
                </pic:pic>
              </a:graphicData>
            </a:graphic>
          </wp:anchor>
        </w:drawing>
      </w:r>
    </w:p>
    <w:p>
      <w:pPr>
        <w:spacing w:after="0" w:line="593" w:lineRule="exact"/>
        <w:rPr>
          <w:sz w:val="20"/>
          <w:szCs w:val="20"/>
          <w:color w:val="auto"/>
        </w:rPr>
      </w:pPr>
    </w:p>
    <w:p>
      <w:pPr>
        <w:sectPr>
          <w:pgSz w:w="11900" w:h="16838" w:orient="portrait"/>
          <w:cols w:equalWidth="0" w:num="2">
            <w:col w:w="3940" w:space="220"/>
            <w:col w:w="5740"/>
          </w:cols>
          <w:pgMar w:left="740" w:top="115" w:right="1259" w:bottom="1440" w:gutter="0" w:footer="0" w:header="0"/>
          <w:type w:val="continuous"/>
        </w:sectPr>
      </w:pPr>
    </w:p>
    <w:p>
      <w:pPr>
        <w:ind w:left="1080"/>
        <w:spacing w:after="0"/>
        <w:tabs>
          <w:tab w:leader="none" w:pos="4140" w:val="left"/>
          <w:tab w:leader="none" w:pos="6940" w:val="left"/>
          <w:tab w:leader="none" w:pos="8120" w:val="left"/>
        </w:tabs>
        <w:rPr>
          <w:sz w:val="20"/>
          <w:szCs w:val="20"/>
          <w:color w:val="auto"/>
        </w:rPr>
      </w:pPr>
      <w:r>
        <w:rPr>
          <w:rFonts w:ascii="Arial" w:cs="Arial" w:eastAsia="Arial" w:hAnsi="Arial"/>
          <w:sz w:val="17"/>
          <w:szCs w:val="17"/>
          <w:b w:val="1"/>
          <w:bCs w:val="1"/>
          <w:color w:val="003551"/>
        </w:rPr>
        <w:t>Proposal 5: Approve amendments</w:t>
      </w:r>
      <w:r>
        <w:rPr>
          <w:sz w:val="20"/>
          <w:szCs w:val="20"/>
          <w:color w:val="auto"/>
        </w:rPr>
        <w:tab/>
      </w:r>
      <w:r>
        <w:rPr>
          <w:rFonts w:ascii="Arial" w:cs="Arial" w:eastAsia="Arial" w:hAnsi="Arial"/>
          <w:sz w:val="17"/>
          <w:szCs w:val="17"/>
          <w:color w:val="003551"/>
        </w:rPr>
        <w:t>75% of the votes cast are in</w:t>
      </w:r>
      <w:r>
        <w:rPr>
          <w:sz w:val="20"/>
          <w:szCs w:val="20"/>
          <w:color w:val="auto"/>
        </w:rPr>
        <w:tab/>
      </w:r>
      <w:r>
        <w:rPr>
          <w:rFonts w:ascii="Arial" w:cs="Arial" w:eastAsia="Arial" w:hAnsi="Arial"/>
          <w:sz w:val="17"/>
          <w:szCs w:val="17"/>
          <w:color w:val="003551"/>
        </w:rPr>
        <w:t>No effect on</w:t>
        <w:tab/>
        <w:t>No effect</w:t>
      </w:r>
    </w:p>
    <w:p>
      <w:pPr>
        <w:spacing w:after="0" w:line="19" w:lineRule="exact"/>
        <w:rPr>
          <w:sz w:val="20"/>
          <w:szCs w:val="20"/>
          <w:color w:val="auto"/>
        </w:rPr>
      </w:pPr>
    </w:p>
    <w:p>
      <w:pPr>
        <w:ind w:left="1080"/>
        <w:spacing w:after="0"/>
        <w:tabs>
          <w:tab w:leader="none" w:pos="4140" w:val="left"/>
          <w:tab w:leader="none" w:pos="6940" w:val="left"/>
          <w:tab w:leader="none" w:pos="8120" w:val="left"/>
        </w:tabs>
        <w:rPr>
          <w:sz w:val="20"/>
          <w:szCs w:val="20"/>
          <w:color w:val="auto"/>
        </w:rPr>
      </w:pPr>
      <w:r>
        <w:rPr>
          <w:rFonts w:ascii="Arial" w:cs="Arial" w:eastAsia="Arial" w:hAnsi="Arial"/>
          <w:sz w:val="17"/>
          <w:szCs w:val="17"/>
          <w:b w:val="1"/>
          <w:bCs w:val="1"/>
          <w:color w:val="003551"/>
        </w:rPr>
        <w:t>to IREN’s constitution to</w:t>
      </w:r>
      <w:r>
        <w:rPr>
          <w:sz w:val="20"/>
          <w:szCs w:val="20"/>
          <w:color w:val="auto"/>
        </w:rPr>
        <w:tab/>
      </w:r>
      <w:r>
        <w:rPr>
          <w:rFonts w:ascii="Arial" w:cs="Arial" w:eastAsia="Arial" w:hAnsi="Arial"/>
          <w:sz w:val="17"/>
          <w:szCs w:val="17"/>
          <w:color w:val="003551"/>
        </w:rPr>
        <w:t>favor of the resolution</w:t>
      </w:r>
      <w:r>
        <w:rPr>
          <w:sz w:val="20"/>
          <w:szCs w:val="20"/>
          <w:color w:val="auto"/>
        </w:rPr>
        <w:tab/>
      </w:r>
      <w:r>
        <w:rPr>
          <w:rFonts w:ascii="Arial" w:cs="Arial" w:eastAsia="Arial" w:hAnsi="Arial"/>
          <w:sz w:val="17"/>
          <w:szCs w:val="17"/>
          <w:color w:val="003551"/>
        </w:rPr>
        <w:t>outcome</w:t>
      </w:r>
      <w:r>
        <w:rPr>
          <w:sz w:val="20"/>
          <w:szCs w:val="20"/>
          <w:color w:val="auto"/>
        </w:rPr>
        <w:tab/>
      </w:r>
      <w:r>
        <w:rPr>
          <w:rFonts w:ascii="Arial" w:cs="Arial" w:eastAsia="Arial" w:hAnsi="Arial"/>
          <w:sz w:val="17"/>
          <w:szCs w:val="17"/>
          <w:color w:val="003551"/>
        </w:rPr>
        <w:t>on outcome</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003551"/>
        </w:rPr>
        <w:t>implement miscellaneous</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003551"/>
        </w:rPr>
        <w:t>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76200</wp:posOffset>
            </wp:positionV>
            <wp:extent cx="522351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223510" cy="8255"/>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type w:val="continuous"/>
        </w:sectPr>
      </w:pPr>
    </w:p>
    <w:p>
      <w:pPr>
        <w:spacing w:after="0" w:line="219" w:lineRule="exact"/>
        <w:rPr>
          <w:sz w:val="20"/>
          <w:szCs w:val="20"/>
          <w:color w:val="auto"/>
        </w:rPr>
      </w:pPr>
    </w:p>
    <w:p>
      <w:pPr>
        <w:ind w:left="1080"/>
        <w:spacing w:after="0" w:line="295" w:lineRule="auto"/>
        <w:rPr>
          <w:sz w:val="20"/>
          <w:szCs w:val="20"/>
          <w:color w:val="auto"/>
        </w:rPr>
      </w:pPr>
      <w:r>
        <w:rPr>
          <w:rFonts w:ascii="Arial" w:cs="Arial" w:eastAsia="Arial" w:hAnsi="Arial"/>
          <w:sz w:val="17"/>
          <w:szCs w:val="17"/>
          <w:b w:val="1"/>
          <w:bCs w:val="1"/>
          <w:color w:val="003551"/>
        </w:rPr>
        <w:t>Proposal 6: Approve IREN’s 2025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31115</wp:posOffset>
            </wp:positionV>
            <wp:extent cx="19132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913255" cy="8255"/>
                    </a:xfrm>
                    <a:prstGeom prst="rect">
                      <a:avLst/>
                    </a:prstGeom>
                    <a:noFill/>
                  </pic:spPr>
                </pic:pic>
              </a:graphicData>
            </a:graphic>
          </wp:anchor>
        </w:drawing>
      </w:r>
    </w:p>
    <w:p>
      <w:pPr>
        <w:spacing w:after="0" w:line="128" w:lineRule="exact"/>
        <w:rPr>
          <w:sz w:val="20"/>
          <w:szCs w:val="20"/>
          <w:color w:val="auto"/>
        </w:rPr>
      </w:pPr>
    </w:p>
    <w:p>
      <w:pPr>
        <w:ind w:left="1080" w:right="120"/>
        <w:spacing w:after="0" w:line="259" w:lineRule="auto"/>
        <w:rPr>
          <w:sz w:val="20"/>
          <w:szCs w:val="20"/>
          <w:color w:val="auto"/>
        </w:rPr>
      </w:pPr>
      <w:r>
        <w:rPr>
          <w:rFonts w:ascii="Arial" w:cs="Arial" w:eastAsia="Arial" w:hAnsi="Arial"/>
          <w:sz w:val="17"/>
          <w:szCs w:val="17"/>
          <w:b w:val="1"/>
          <w:bCs w:val="1"/>
          <w:color w:val="003551"/>
        </w:rPr>
        <w:t>Proposal 7: Approve the repurchase by IREN of its ordinary shares pursuant to the Prepaid Forward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174625</wp:posOffset>
            </wp:positionV>
            <wp:extent cx="19132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913255" cy="8255"/>
                    </a:xfrm>
                    <a:prstGeom prst="rect">
                      <a:avLst/>
                    </a:prstGeom>
                    <a:noFill/>
                  </pic:spPr>
                </pic:pic>
              </a:graphicData>
            </a:graphic>
          </wp:anchor>
        </w:drawing>
      </w:r>
    </w:p>
    <w:p>
      <w:pPr>
        <w:spacing w:after="0" w:line="354" w:lineRule="exact"/>
        <w:rPr>
          <w:sz w:val="20"/>
          <w:szCs w:val="20"/>
          <w:color w:val="auto"/>
        </w:rPr>
      </w:pPr>
    </w:p>
    <w:p>
      <w:pPr>
        <w:ind w:left="1080" w:right="120"/>
        <w:spacing w:after="0" w:line="259" w:lineRule="auto"/>
        <w:rPr>
          <w:sz w:val="20"/>
          <w:szCs w:val="20"/>
          <w:color w:val="auto"/>
        </w:rPr>
      </w:pPr>
      <w:r>
        <w:rPr>
          <w:rFonts w:ascii="Arial" w:cs="Arial" w:eastAsia="Arial" w:hAnsi="Arial"/>
          <w:sz w:val="17"/>
          <w:szCs w:val="17"/>
          <w:b w:val="1"/>
          <w:bCs w:val="1"/>
          <w:color w:val="003551"/>
        </w:rPr>
        <w:t>Proposal 8: Approve the repurchase by IREN of its ordinary shares pursuant to the Capped Call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174625</wp:posOffset>
            </wp:positionV>
            <wp:extent cx="191325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913255" cy="8255"/>
                    </a:xfrm>
                    <a:prstGeom prst="rect">
                      <a:avLst/>
                    </a:prstGeom>
                    <a:noFill/>
                  </pic:spPr>
                </pic:pic>
              </a:graphicData>
            </a:graphic>
          </wp:anchor>
        </w:drawing>
      </w:r>
    </w:p>
    <w:p>
      <w:pPr>
        <w:spacing w:after="0" w:line="354" w:lineRule="exact"/>
        <w:rPr>
          <w:sz w:val="20"/>
          <w:szCs w:val="20"/>
          <w:color w:val="auto"/>
        </w:rPr>
      </w:pPr>
    </w:p>
    <w:p>
      <w:pPr>
        <w:jc w:val="both"/>
        <w:ind w:left="1080" w:right="20"/>
        <w:spacing w:after="0" w:line="268" w:lineRule="auto"/>
        <w:rPr>
          <w:sz w:val="20"/>
          <w:szCs w:val="20"/>
          <w:color w:val="auto"/>
        </w:rPr>
      </w:pPr>
      <w:r>
        <w:rPr>
          <w:rFonts w:ascii="Arial" w:cs="Arial" w:eastAsia="Arial" w:hAnsi="Arial"/>
          <w:sz w:val="17"/>
          <w:szCs w:val="17"/>
          <w:b w:val="1"/>
          <w:bCs w:val="1"/>
          <w:color w:val="003551"/>
        </w:rPr>
        <w:t>Proposal 9: Approve an advisory vote on executive compensation (the “say-on-pay” vote)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2680" w:type="dxa"/>
            <w:vAlign w:val="bottom"/>
          </w:tcPr>
          <w:p>
            <w:pPr>
              <w:spacing w:after="0"/>
              <w:rPr>
                <w:sz w:val="20"/>
                <w:szCs w:val="20"/>
                <w:color w:val="auto"/>
              </w:rPr>
            </w:pPr>
            <w:r>
              <w:rPr>
                <w:rFonts w:ascii="Arial" w:cs="Arial" w:eastAsia="Arial" w:hAnsi="Arial"/>
                <w:sz w:val="17"/>
                <w:szCs w:val="17"/>
                <w:color w:val="003551"/>
              </w:rPr>
              <w:t>Majority of the votes cast are in</w:t>
            </w:r>
          </w:p>
        </w:tc>
        <w:tc>
          <w:tcPr>
            <w:tcW w:w="1180" w:type="dxa"/>
            <w:vAlign w:val="bottom"/>
          </w:tcPr>
          <w:p>
            <w:pPr>
              <w:ind w:left="120"/>
              <w:spacing w:after="0"/>
              <w:rPr>
                <w:sz w:val="20"/>
                <w:szCs w:val="20"/>
                <w:color w:val="auto"/>
              </w:rPr>
            </w:pPr>
            <w:r>
              <w:rPr>
                <w:rFonts w:ascii="Arial" w:cs="Arial" w:eastAsia="Arial" w:hAnsi="Arial"/>
                <w:sz w:val="17"/>
                <w:szCs w:val="17"/>
                <w:color w:val="003551"/>
              </w:rPr>
              <w:t>No effect on</w:t>
            </w:r>
          </w:p>
        </w:tc>
        <w:tc>
          <w:tcPr>
            <w:tcW w:w="1040" w:type="dxa"/>
            <w:vAlign w:val="bottom"/>
          </w:tcPr>
          <w:p>
            <w:pPr>
              <w:ind w:left="120"/>
              <w:spacing w:after="0"/>
              <w:rPr>
                <w:sz w:val="20"/>
                <w:szCs w:val="20"/>
                <w:color w:val="auto"/>
              </w:rPr>
            </w:pPr>
            <w:r>
              <w:rPr>
                <w:rFonts w:ascii="Arial" w:cs="Arial" w:eastAsia="Arial" w:hAnsi="Arial"/>
                <w:sz w:val="17"/>
                <w:szCs w:val="17"/>
                <w:color w:val="003551"/>
              </w:rPr>
              <w:t>No effect</w:t>
            </w:r>
          </w:p>
        </w:tc>
      </w:tr>
      <w:tr>
        <w:trPr>
          <w:trHeight w:val="230"/>
        </w:trPr>
        <w:tc>
          <w:tcPr>
            <w:tcW w:w="2680" w:type="dxa"/>
            <w:vAlign w:val="bottom"/>
          </w:tcPr>
          <w:p>
            <w:pPr>
              <w:spacing w:after="0"/>
              <w:rPr>
                <w:sz w:val="20"/>
                <w:szCs w:val="20"/>
                <w:color w:val="auto"/>
              </w:rPr>
            </w:pPr>
            <w:r>
              <w:rPr>
                <w:rFonts w:ascii="Arial" w:cs="Arial" w:eastAsia="Arial" w:hAnsi="Arial"/>
                <w:sz w:val="17"/>
                <w:szCs w:val="17"/>
                <w:color w:val="003551"/>
              </w:rPr>
              <w:t>favor of the resolution</w:t>
            </w:r>
          </w:p>
        </w:tc>
        <w:tc>
          <w:tcPr>
            <w:tcW w:w="1180" w:type="dxa"/>
            <w:vAlign w:val="bottom"/>
          </w:tcPr>
          <w:p>
            <w:pPr>
              <w:ind w:left="120"/>
              <w:spacing w:after="0"/>
              <w:rPr>
                <w:sz w:val="20"/>
                <w:szCs w:val="20"/>
                <w:color w:val="auto"/>
              </w:rPr>
            </w:pPr>
            <w:r>
              <w:rPr>
                <w:rFonts w:ascii="Arial" w:cs="Arial" w:eastAsia="Arial" w:hAnsi="Arial"/>
                <w:sz w:val="17"/>
                <w:szCs w:val="17"/>
                <w:color w:val="003551"/>
              </w:rPr>
              <w:t>outcome</w:t>
            </w:r>
          </w:p>
        </w:tc>
        <w:tc>
          <w:tcPr>
            <w:tcW w:w="1040" w:type="dxa"/>
            <w:vAlign w:val="bottom"/>
          </w:tcPr>
          <w:p>
            <w:pPr>
              <w:ind w:left="120"/>
              <w:spacing w:after="0"/>
              <w:rPr>
                <w:sz w:val="20"/>
                <w:szCs w:val="20"/>
                <w:color w:val="auto"/>
              </w:rPr>
            </w:pPr>
            <w:r>
              <w:rPr>
                <w:rFonts w:ascii="Arial" w:cs="Arial" w:eastAsia="Arial" w:hAnsi="Arial"/>
                <w:sz w:val="17"/>
                <w:szCs w:val="17"/>
                <w:color w:val="003551"/>
              </w:rPr>
              <w:t>on outcome</w:t>
            </w:r>
          </w:p>
        </w:tc>
      </w:tr>
      <w:tr>
        <w:trPr>
          <w:trHeight w:val="399"/>
        </w:trPr>
        <w:tc>
          <w:tcPr>
            <w:tcW w:w="2680" w:type="dxa"/>
            <w:vAlign w:val="bottom"/>
          </w:tcPr>
          <w:p>
            <w:pPr>
              <w:spacing w:after="0"/>
              <w:rPr>
                <w:sz w:val="20"/>
                <w:szCs w:val="20"/>
                <w:color w:val="auto"/>
              </w:rPr>
            </w:pPr>
            <w:r>
              <w:rPr>
                <w:rFonts w:ascii="Arial" w:cs="Arial" w:eastAsia="Arial" w:hAnsi="Arial"/>
                <w:sz w:val="17"/>
                <w:szCs w:val="17"/>
                <w:color w:val="003551"/>
              </w:rPr>
              <w:t>75% of the votes cast are in</w:t>
            </w:r>
          </w:p>
        </w:tc>
        <w:tc>
          <w:tcPr>
            <w:tcW w:w="1180" w:type="dxa"/>
            <w:vAlign w:val="bottom"/>
          </w:tcPr>
          <w:p>
            <w:pPr>
              <w:ind w:left="120"/>
              <w:spacing w:after="0"/>
              <w:rPr>
                <w:sz w:val="20"/>
                <w:szCs w:val="20"/>
                <w:color w:val="auto"/>
              </w:rPr>
            </w:pPr>
            <w:r>
              <w:rPr>
                <w:rFonts w:ascii="Arial" w:cs="Arial" w:eastAsia="Arial" w:hAnsi="Arial"/>
                <w:sz w:val="17"/>
                <w:szCs w:val="17"/>
                <w:color w:val="003551"/>
              </w:rPr>
              <w:t>No effect on</w:t>
            </w:r>
          </w:p>
        </w:tc>
        <w:tc>
          <w:tcPr>
            <w:tcW w:w="1040" w:type="dxa"/>
            <w:vAlign w:val="bottom"/>
          </w:tcPr>
          <w:p>
            <w:pPr>
              <w:ind w:left="120"/>
              <w:spacing w:after="0"/>
              <w:rPr>
                <w:sz w:val="20"/>
                <w:szCs w:val="20"/>
                <w:color w:val="auto"/>
              </w:rPr>
            </w:pPr>
            <w:r>
              <w:rPr>
                <w:rFonts w:ascii="Arial" w:cs="Arial" w:eastAsia="Arial" w:hAnsi="Arial"/>
                <w:sz w:val="17"/>
                <w:szCs w:val="17"/>
                <w:color w:val="003551"/>
              </w:rPr>
              <w:t>No effect</w:t>
            </w:r>
          </w:p>
        </w:tc>
      </w:tr>
      <w:tr>
        <w:trPr>
          <w:trHeight w:val="196"/>
        </w:trPr>
        <w:tc>
          <w:tcPr>
            <w:tcW w:w="2680" w:type="dxa"/>
            <w:vAlign w:val="bottom"/>
          </w:tcPr>
          <w:p>
            <w:pPr>
              <w:spacing w:after="0"/>
              <w:rPr>
                <w:sz w:val="20"/>
                <w:szCs w:val="20"/>
                <w:color w:val="auto"/>
              </w:rPr>
            </w:pPr>
            <w:r>
              <w:rPr>
                <w:rFonts w:ascii="Arial" w:cs="Arial" w:eastAsia="Arial" w:hAnsi="Arial"/>
                <w:sz w:val="17"/>
                <w:szCs w:val="17"/>
                <w:color w:val="003551"/>
              </w:rPr>
              <w:t>favor of the resolution; certain</w:t>
            </w:r>
          </w:p>
        </w:tc>
        <w:tc>
          <w:tcPr>
            <w:tcW w:w="1180" w:type="dxa"/>
            <w:vAlign w:val="bottom"/>
          </w:tcPr>
          <w:p>
            <w:pPr>
              <w:ind w:left="120"/>
              <w:spacing w:after="0"/>
              <w:rPr>
                <w:sz w:val="20"/>
                <w:szCs w:val="20"/>
                <w:color w:val="auto"/>
              </w:rPr>
            </w:pPr>
            <w:r>
              <w:rPr>
                <w:rFonts w:ascii="Arial" w:cs="Arial" w:eastAsia="Arial" w:hAnsi="Arial"/>
                <w:sz w:val="17"/>
                <w:szCs w:val="17"/>
                <w:color w:val="003551"/>
              </w:rPr>
              <w:t>outcome</w:t>
            </w:r>
          </w:p>
        </w:tc>
        <w:tc>
          <w:tcPr>
            <w:tcW w:w="1040" w:type="dxa"/>
            <w:vAlign w:val="bottom"/>
          </w:tcPr>
          <w:p>
            <w:pPr>
              <w:ind w:left="120"/>
              <w:spacing w:after="0"/>
              <w:rPr>
                <w:sz w:val="20"/>
                <w:szCs w:val="20"/>
                <w:color w:val="auto"/>
              </w:rPr>
            </w:pPr>
            <w:r>
              <w:rPr>
                <w:rFonts w:ascii="Arial" w:cs="Arial" w:eastAsia="Arial" w:hAnsi="Arial"/>
                <w:sz w:val="17"/>
                <w:szCs w:val="17"/>
                <w:color w:val="003551"/>
              </w:rPr>
              <w:t>on outcome</w:t>
            </w:r>
          </w:p>
        </w:tc>
      </w:tr>
      <w:tr>
        <w:trPr>
          <w:trHeight w:val="196"/>
        </w:trPr>
        <w:tc>
          <w:tcPr>
            <w:tcW w:w="2680" w:type="dxa"/>
            <w:vAlign w:val="bottom"/>
          </w:tcPr>
          <w:p>
            <w:pPr>
              <w:spacing w:after="0"/>
              <w:rPr>
                <w:sz w:val="20"/>
                <w:szCs w:val="20"/>
                <w:color w:val="auto"/>
              </w:rPr>
            </w:pPr>
            <w:r>
              <w:rPr>
                <w:rFonts w:ascii="Arial" w:cs="Arial" w:eastAsia="Arial" w:hAnsi="Arial"/>
                <w:sz w:val="17"/>
                <w:szCs w:val="17"/>
                <w:color w:val="003551"/>
              </w:rPr>
              <w:t>“excluded shareholders” as</w:t>
            </w: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2680" w:type="dxa"/>
            <w:vAlign w:val="bottom"/>
          </w:tcPr>
          <w:p>
            <w:pPr>
              <w:spacing w:after="0"/>
              <w:rPr>
                <w:sz w:val="20"/>
                <w:szCs w:val="20"/>
                <w:color w:val="auto"/>
              </w:rPr>
            </w:pPr>
            <w:r>
              <w:rPr>
                <w:rFonts w:ascii="Arial" w:cs="Arial" w:eastAsia="Arial" w:hAnsi="Arial"/>
                <w:sz w:val="17"/>
                <w:szCs w:val="17"/>
                <w:color w:val="003551"/>
              </w:rPr>
              <w:t>described under “Proposal 7” are</w:t>
            </w: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7"/>
                <w:szCs w:val="17"/>
                <w:color w:val="003551"/>
              </w:rPr>
              <w:t>not permitted to vote</w:t>
            </w:r>
          </w:p>
        </w:tc>
        <w:tc>
          <w:tcPr>
            <w:tcW w:w="11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99"/>
        </w:trPr>
        <w:tc>
          <w:tcPr>
            <w:tcW w:w="2680" w:type="dxa"/>
            <w:vAlign w:val="bottom"/>
          </w:tcPr>
          <w:p>
            <w:pPr>
              <w:spacing w:after="0"/>
              <w:rPr>
                <w:sz w:val="20"/>
                <w:szCs w:val="20"/>
                <w:color w:val="auto"/>
              </w:rPr>
            </w:pPr>
            <w:r>
              <w:rPr>
                <w:rFonts w:ascii="Arial" w:cs="Arial" w:eastAsia="Arial" w:hAnsi="Arial"/>
                <w:sz w:val="17"/>
                <w:szCs w:val="17"/>
                <w:color w:val="003551"/>
              </w:rPr>
              <w:t>75% of the votes cast are in</w:t>
            </w:r>
          </w:p>
        </w:tc>
        <w:tc>
          <w:tcPr>
            <w:tcW w:w="1180" w:type="dxa"/>
            <w:vAlign w:val="bottom"/>
          </w:tcPr>
          <w:p>
            <w:pPr>
              <w:ind w:left="120"/>
              <w:spacing w:after="0"/>
              <w:rPr>
                <w:sz w:val="20"/>
                <w:szCs w:val="20"/>
                <w:color w:val="auto"/>
              </w:rPr>
            </w:pPr>
            <w:r>
              <w:rPr>
                <w:rFonts w:ascii="Arial" w:cs="Arial" w:eastAsia="Arial" w:hAnsi="Arial"/>
                <w:sz w:val="17"/>
                <w:szCs w:val="17"/>
                <w:color w:val="003551"/>
              </w:rPr>
              <w:t>No effect on</w:t>
            </w:r>
          </w:p>
        </w:tc>
        <w:tc>
          <w:tcPr>
            <w:tcW w:w="1040" w:type="dxa"/>
            <w:vAlign w:val="bottom"/>
          </w:tcPr>
          <w:p>
            <w:pPr>
              <w:ind w:left="120"/>
              <w:spacing w:after="0"/>
              <w:rPr>
                <w:sz w:val="20"/>
                <w:szCs w:val="20"/>
                <w:color w:val="auto"/>
              </w:rPr>
            </w:pPr>
            <w:r>
              <w:rPr>
                <w:rFonts w:ascii="Arial" w:cs="Arial" w:eastAsia="Arial" w:hAnsi="Arial"/>
                <w:sz w:val="17"/>
                <w:szCs w:val="17"/>
                <w:color w:val="003551"/>
              </w:rPr>
              <w:t>No effect</w:t>
            </w:r>
          </w:p>
        </w:tc>
      </w:tr>
      <w:tr>
        <w:trPr>
          <w:trHeight w:val="196"/>
        </w:trPr>
        <w:tc>
          <w:tcPr>
            <w:tcW w:w="2680" w:type="dxa"/>
            <w:vAlign w:val="bottom"/>
          </w:tcPr>
          <w:p>
            <w:pPr>
              <w:spacing w:after="0"/>
              <w:rPr>
                <w:sz w:val="20"/>
                <w:szCs w:val="20"/>
                <w:color w:val="auto"/>
              </w:rPr>
            </w:pPr>
            <w:r>
              <w:rPr>
                <w:rFonts w:ascii="Arial" w:cs="Arial" w:eastAsia="Arial" w:hAnsi="Arial"/>
                <w:sz w:val="17"/>
                <w:szCs w:val="17"/>
                <w:color w:val="003551"/>
              </w:rPr>
              <w:t>favor of the resolution; certain</w:t>
            </w:r>
          </w:p>
        </w:tc>
        <w:tc>
          <w:tcPr>
            <w:tcW w:w="1180" w:type="dxa"/>
            <w:vAlign w:val="bottom"/>
          </w:tcPr>
          <w:p>
            <w:pPr>
              <w:ind w:left="120"/>
              <w:spacing w:after="0"/>
              <w:rPr>
                <w:sz w:val="20"/>
                <w:szCs w:val="20"/>
                <w:color w:val="auto"/>
              </w:rPr>
            </w:pPr>
            <w:r>
              <w:rPr>
                <w:rFonts w:ascii="Arial" w:cs="Arial" w:eastAsia="Arial" w:hAnsi="Arial"/>
                <w:sz w:val="17"/>
                <w:szCs w:val="17"/>
                <w:color w:val="003551"/>
              </w:rPr>
              <w:t>outcome</w:t>
            </w:r>
          </w:p>
        </w:tc>
        <w:tc>
          <w:tcPr>
            <w:tcW w:w="1040" w:type="dxa"/>
            <w:vAlign w:val="bottom"/>
          </w:tcPr>
          <w:p>
            <w:pPr>
              <w:ind w:left="120"/>
              <w:spacing w:after="0"/>
              <w:rPr>
                <w:sz w:val="20"/>
                <w:szCs w:val="20"/>
                <w:color w:val="auto"/>
              </w:rPr>
            </w:pPr>
            <w:r>
              <w:rPr>
                <w:rFonts w:ascii="Arial" w:cs="Arial" w:eastAsia="Arial" w:hAnsi="Arial"/>
                <w:sz w:val="17"/>
                <w:szCs w:val="17"/>
                <w:color w:val="003551"/>
              </w:rPr>
              <w:t>on outcome</w:t>
            </w:r>
          </w:p>
        </w:tc>
      </w:tr>
      <w:tr>
        <w:trPr>
          <w:trHeight w:val="196"/>
        </w:trPr>
        <w:tc>
          <w:tcPr>
            <w:tcW w:w="2680" w:type="dxa"/>
            <w:vAlign w:val="bottom"/>
          </w:tcPr>
          <w:p>
            <w:pPr>
              <w:spacing w:after="0"/>
              <w:rPr>
                <w:sz w:val="20"/>
                <w:szCs w:val="20"/>
                <w:color w:val="auto"/>
              </w:rPr>
            </w:pPr>
            <w:r>
              <w:rPr>
                <w:rFonts w:ascii="Arial" w:cs="Arial" w:eastAsia="Arial" w:hAnsi="Arial"/>
                <w:sz w:val="17"/>
                <w:szCs w:val="17"/>
                <w:color w:val="003551"/>
              </w:rPr>
              <w:t>“excluded shareholders” as</w:t>
            </w: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2680" w:type="dxa"/>
            <w:vAlign w:val="bottom"/>
          </w:tcPr>
          <w:p>
            <w:pPr>
              <w:spacing w:after="0"/>
              <w:rPr>
                <w:sz w:val="20"/>
                <w:szCs w:val="20"/>
                <w:color w:val="auto"/>
              </w:rPr>
            </w:pPr>
            <w:r>
              <w:rPr>
                <w:rFonts w:ascii="Arial" w:cs="Arial" w:eastAsia="Arial" w:hAnsi="Arial"/>
                <w:sz w:val="17"/>
                <w:szCs w:val="17"/>
                <w:color w:val="003551"/>
              </w:rPr>
              <w:t>described under “Proposal 8” are</w:t>
            </w: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7"/>
                <w:szCs w:val="17"/>
                <w:color w:val="003551"/>
              </w:rPr>
              <w:t>not permitted to vote</w:t>
            </w:r>
          </w:p>
        </w:tc>
        <w:tc>
          <w:tcPr>
            <w:tcW w:w="11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99"/>
        </w:trPr>
        <w:tc>
          <w:tcPr>
            <w:tcW w:w="2680" w:type="dxa"/>
            <w:vAlign w:val="bottom"/>
          </w:tcPr>
          <w:p>
            <w:pPr>
              <w:spacing w:after="0"/>
              <w:rPr>
                <w:sz w:val="20"/>
                <w:szCs w:val="20"/>
                <w:color w:val="auto"/>
              </w:rPr>
            </w:pPr>
            <w:r>
              <w:rPr>
                <w:rFonts w:ascii="Arial" w:cs="Arial" w:eastAsia="Arial" w:hAnsi="Arial"/>
                <w:sz w:val="17"/>
                <w:szCs w:val="17"/>
                <w:color w:val="003551"/>
              </w:rPr>
              <w:t>Majority of the votes cast are in</w:t>
            </w:r>
          </w:p>
        </w:tc>
        <w:tc>
          <w:tcPr>
            <w:tcW w:w="1180" w:type="dxa"/>
            <w:vAlign w:val="bottom"/>
          </w:tcPr>
          <w:p>
            <w:pPr>
              <w:ind w:left="120"/>
              <w:spacing w:after="0"/>
              <w:rPr>
                <w:sz w:val="20"/>
                <w:szCs w:val="20"/>
                <w:color w:val="auto"/>
              </w:rPr>
            </w:pPr>
            <w:r>
              <w:rPr>
                <w:rFonts w:ascii="Arial" w:cs="Arial" w:eastAsia="Arial" w:hAnsi="Arial"/>
                <w:sz w:val="17"/>
                <w:szCs w:val="17"/>
                <w:color w:val="003551"/>
              </w:rPr>
              <w:t>No effect on</w:t>
            </w:r>
          </w:p>
        </w:tc>
        <w:tc>
          <w:tcPr>
            <w:tcW w:w="1040" w:type="dxa"/>
            <w:vAlign w:val="bottom"/>
          </w:tcPr>
          <w:p>
            <w:pPr>
              <w:ind w:left="120"/>
              <w:spacing w:after="0"/>
              <w:rPr>
                <w:sz w:val="20"/>
                <w:szCs w:val="20"/>
                <w:color w:val="auto"/>
              </w:rPr>
            </w:pPr>
            <w:r>
              <w:rPr>
                <w:rFonts w:ascii="Arial" w:cs="Arial" w:eastAsia="Arial" w:hAnsi="Arial"/>
                <w:sz w:val="17"/>
                <w:szCs w:val="17"/>
                <w:color w:val="003551"/>
              </w:rPr>
              <w:t>No effect</w:t>
            </w:r>
          </w:p>
        </w:tc>
      </w:tr>
      <w:tr>
        <w:trPr>
          <w:trHeight w:val="230"/>
        </w:trPr>
        <w:tc>
          <w:tcPr>
            <w:tcW w:w="2680" w:type="dxa"/>
            <w:vAlign w:val="bottom"/>
          </w:tcPr>
          <w:p>
            <w:pPr>
              <w:spacing w:after="0"/>
              <w:rPr>
                <w:sz w:val="20"/>
                <w:szCs w:val="20"/>
                <w:color w:val="auto"/>
              </w:rPr>
            </w:pPr>
            <w:r>
              <w:rPr>
                <w:rFonts w:ascii="Arial" w:cs="Arial" w:eastAsia="Arial" w:hAnsi="Arial"/>
                <w:sz w:val="17"/>
                <w:szCs w:val="17"/>
                <w:color w:val="003551"/>
              </w:rPr>
              <w:t>favor of the resolution</w:t>
            </w:r>
          </w:p>
        </w:tc>
        <w:tc>
          <w:tcPr>
            <w:tcW w:w="1180" w:type="dxa"/>
            <w:vAlign w:val="bottom"/>
          </w:tcPr>
          <w:p>
            <w:pPr>
              <w:ind w:left="120"/>
              <w:spacing w:after="0"/>
              <w:rPr>
                <w:sz w:val="20"/>
                <w:szCs w:val="20"/>
                <w:color w:val="auto"/>
              </w:rPr>
            </w:pPr>
            <w:r>
              <w:rPr>
                <w:rFonts w:ascii="Arial" w:cs="Arial" w:eastAsia="Arial" w:hAnsi="Arial"/>
                <w:sz w:val="17"/>
                <w:szCs w:val="17"/>
                <w:color w:val="003551"/>
              </w:rPr>
              <w:t>outcome</w:t>
            </w:r>
          </w:p>
        </w:tc>
        <w:tc>
          <w:tcPr>
            <w:tcW w:w="1040" w:type="dxa"/>
            <w:vAlign w:val="bottom"/>
          </w:tcPr>
          <w:p>
            <w:pPr>
              <w:ind w:left="120"/>
              <w:spacing w:after="0"/>
              <w:rPr>
                <w:sz w:val="20"/>
                <w:szCs w:val="20"/>
                <w:color w:val="auto"/>
              </w:rPr>
            </w:pPr>
            <w:r>
              <w:rPr>
                <w:rFonts w:ascii="Arial" w:cs="Arial" w:eastAsia="Arial" w:hAnsi="Arial"/>
                <w:sz w:val="17"/>
                <w:szCs w:val="17"/>
                <w:color w:val="003551"/>
              </w:rPr>
              <w:t>on outcome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-1881505</wp:posOffset>
            </wp:positionV>
            <wp:extent cx="331025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310255" cy="8255"/>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-1108075</wp:posOffset>
            </wp:positionV>
            <wp:extent cx="33102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310255" cy="8255"/>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-334645</wp:posOffset>
            </wp:positionV>
            <wp:extent cx="33102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310255" cy="825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288925</wp:posOffset>
            </wp:positionV>
            <wp:extent cx="540385" cy="63182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426" w:lineRule="exact"/>
        <w:rPr>
          <w:sz w:val="20"/>
          <w:szCs w:val="20"/>
          <w:color w:val="auto"/>
        </w:rPr>
      </w:pPr>
    </w:p>
    <w:p>
      <w:pPr>
        <w:sectPr>
          <w:pgSz w:w="11900" w:h="16838" w:orient="portrait"/>
          <w:cols w:equalWidth="0" w:num="2">
            <w:col w:w="3840" w:space="320"/>
            <w:col w:w="5740"/>
          </w:cols>
          <w:pgMar w:left="740" w:top="115"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9700"/>
        <w:spacing w:after="0"/>
        <w:rPr>
          <w:sz w:val="20"/>
          <w:szCs w:val="20"/>
          <w:color w:val="auto"/>
        </w:rPr>
      </w:pPr>
      <w:r>
        <w:rPr>
          <w:rFonts w:ascii="Arial" w:cs="Arial" w:eastAsia="Arial" w:hAnsi="Arial"/>
          <w:sz w:val="17"/>
          <w:szCs w:val="17"/>
          <w:b w:val="1"/>
          <w:bCs w:val="1"/>
          <w:color w:val="FFFFFF"/>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940" w:type="dxa"/>
        <w:tblCellMar>
          <w:top w:w="0" w:type="dxa"/>
          <w:left w:w="0" w:type="dxa"/>
          <w:bottom w:w="0" w:type="dxa"/>
          <w:right w:w="0" w:type="dxa"/>
        </w:tblCellMar>
      </w:tblPr>
      <w:tr>
        <w:trPr>
          <w:trHeight w:val="335"/>
        </w:trPr>
        <w:tc>
          <w:tcPr>
            <w:tcW w:w="2060" w:type="dxa"/>
            <w:vAlign w:val="bottom"/>
            <w:shd w:val="clear" w:color="auto" w:fill="77C483"/>
          </w:tcPr>
          <w:p>
            <w:pPr>
              <w:spacing w:after="0"/>
              <w:rPr>
                <w:sz w:val="24"/>
                <w:szCs w:val="24"/>
                <w:color w:val="auto"/>
              </w:rPr>
            </w:pPr>
          </w:p>
        </w:tc>
        <w:tc>
          <w:tcPr>
            <w:tcW w:w="3360" w:type="dxa"/>
            <w:vAlign w:val="bottom"/>
            <w:shd w:val="clear" w:color="auto" w:fill="77C483"/>
          </w:tcPr>
          <w:p>
            <w:pPr>
              <w:spacing w:after="0"/>
              <w:rPr>
                <w:sz w:val="24"/>
                <w:szCs w:val="24"/>
                <w:color w:val="auto"/>
              </w:rPr>
            </w:pPr>
          </w:p>
        </w:tc>
        <w:tc>
          <w:tcPr>
            <w:tcW w:w="1680" w:type="dxa"/>
            <w:vAlign w:val="bottom"/>
            <w:shd w:val="clear" w:color="auto" w:fill="77C483"/>
          </w:tcPr>
          <w:p>
            <w:pPr>
              <w:spacing w:after="0"/>
              <w:rPr>
                <w:sz w:val="24"/>
                <w:szCs w:val="24"/>
                <w:color w:val="auto"/>
              </w:rPr>
            </w:pPr>
          </w:p>
        </w:tc>
        <w:tc>
          <w:tcPr>
            <w:tcW w:w="1140" w:type="dxa"/>
            <w:vAlign w:val="bottom"/>
            <w:shd w:val="clear" w:color="auto" w:fill="77C483"/>
          </w:tcPr>
          <w:p>
            <w:pPr>
              <w:ind w:left="100"/>
              <w:spacing w:after="0"/>
              <w:rPr>
                <w:sz w:val="20"/>
                <w:szCs w:val="20"/>
                <w:color w:val="auto"/>
              </w:rPr>
            </w:pPr>
            <w:r>
              <w:rPr>
                <w:rFonts w:ascii="Arial" w:cs="Arial" w:eastAsia="Arial" w:hAnsi="Arial"/>
                <w:sz w:val="17"/>
                <w:szCs w:val="17"/>
                <w:b w:val="1"/>
                <w:bCs w:val="1"/>
                <w:color w:val="003551"/>
              </w:rPr>
              <w:t>Effect of</w:t>
            </w:r>
          </w:p>
        </w:tc>
      </w:tr>
      <w:tr>
        <w:trPr>
          <w:trHeight w:val="196"/>
        </w:trPr>
        <w:tc>
          <w:tcPr>
            <w:tcW w:w="2060" w:type="dxa"/>
            <w:vAlign w:val="bottom"/>
            <w:shd w:val="clear" w:color="auto" w:fill="77C483"/>
          </w:tcPr>
          <w:p>
            <w:pPr>
              <w:spacing w:after="0"/>
              <w:rPr>
                <w:sz w:val="17"/>
                <w:szCs w:val="17"/>
                <w:color w:val="auto"/>
              </w:rPr>
            </w:pPr>
          </w:p>
        </w:tc>
        <w:tc>
          <w:tcPr>
            <w:tcW w:w="3360" w:type="dxa"/>
            <w:vAlign w:val="bottom"/>
            <w:shd w:val="clear" w:color="auto" w:fill="77C483"/>
          </w:tcPr>
          <w:p>
            <w:pPr>
              <w:spacing w:after="0"/>
              <w:rPr>
                <w:sz w:val="17"/>
                <w:szCs w:val="17"/>
                <w:color w:val="auto"/>
              </w:rPr>
            </w:pPr>
          </w:p>
        </w:tc>
        <w:tc>
          <w:tcPr>
            <w:tcW w:w="1680" w:type="dxa"/>
            <w:vAlign w:val="bottom"/>
            <w:shd w:val="clear" w:color="auto" w:fill="77C483"/>
          </w:tcPr>
          <w:p>
            <w:pPr>
              <w:ind w:left="600"/>
              <w:spacing w:after="0"/>
              <w:rPr>
                <w:sz w:val="20"/>
                <w:szCs w:val="20"/>
                <w:color w:val="auto"/>
              </w:rPr>
            </w:pPr>
            <w:r>
              <w:rPr>
                <w:rFonts w:ascii="Arial" w:cs="Arial" w:eastAsia="Arial" w:hAnsi="Arial"/>
                <w:sz w:val="17"/>
                <w:szCs w:val="17"/>
                <w:b w:val="1"/>
                <w:bCs w:val="1"/>
                <w:color w:val="003551"/>
              </w:rPr>
              <w:t>Effect of</w:t>
            </w:r>
          </w:p>
        </w:tc>
        <w:tc>
          <w:tcPr>
            <w:tcW w:w="1140" w:type="dxa"/>
            <w:vAlign w:val="bottom"/>
            <w:shd w:val="clear" w:color="auto" w:fill="77C483"/>
          </w:tcPr>
          <w:p>
            <w:pPr>
              <w:ind w:left="100"/>
              <w:spacing w:after="0"/>
              <w:rPr>
                <w:sz w:val="20"/>
                <w:szCs w:val="20"/>
                <w:color w:val="auto"/>
              </w:rPr>
            </w:pPr>
            <w:r>
              <w:rPr>
                <w:rFonts w:ascii="Arial" w:cs="Arial" w:eastAsia="Arial" w:hAnsi="Arial"/>
                <w:sz w:val="17"/>
                <w:szCs w:val="17"/>
                <w:b w:val="1"/>
                <w:bCs w:val="1"/>
                <w:color w:val="003551"/>
              </w:rPr>
              <w:t>broker</w:t>
            </w:r>
          </w:p>
        </w:tc>
      </w:tr>
      <w:tr>
        <w:trPr>
          <w:trHeight w:val="240"/>
        </w:trPr>
        <w:tc>
          <w:tcPr>
            <w:tcW w:w="2060" w:type="dxa"/>
            <w:vAlign w:val="bottom"/>
            <w:shd w:val="clear" w:color="auto" w:fill="77C483"/>
          </w:tcPr>
          <w:p>
            <w:pPr>
              <w:ind w:left="140"/>
              <w:spacing w:after="0"/>
              <w:rPr>
                <w:sz w:val="20"/>
                <w:szCs w:val="20"/>
                <w:color w:val="auto"/>
              </w:rPr>
            </w:pPr>
            <w:r>
              <w:rPr>
                <w:rFonts w:ascii="Arial" w:cs="Arial" w:eastAsia="Arial" w:hAnsi="Arial"/>
                <w:sz w:val="17"/>
                <w:szCs w:val="17"/>
                <w:b w:val="1"/>
                <w:bCs w:val="1"/>
                <w:color w:val="003551"/>
              </w:rPr>
              <w:t>Proposal</w:t>
            </w:r>
          </w:p>
        </w:tc>
        <w:tc>
          <w:tcPr>
            <w:tcW w:w="3360" w:type="dxa"/>
            <w:vAlign w:val="bottom"/>
            <w:shd w:val="clear" w:color="auto" w:fill="77C483"/>
          </w:tcPr>
          <w:p>
            <w:pPr>
              <w:ind w:left="1160"/>
              <w:spacing w:after="0"/>
              <w:rPr>
                <w:sz w:val="20"/>
                <w:szCs w:val="20"/>
                <w:color w:val="auto"/>
              </w:rPr>
            </w:pPr>
            <w:r>
              <w:rPr>
                <w:rFonts w:ascii="Arial" w:cs="Arial" w:eastAsia="Arial" w:hAnsi="Arial"/>
                <w:sz w:val="17"/>
                <w:szCs w:val="17"/>
                <w:b w:val="1"/>
                <w:bCs w:val="1"/>
                <w:color w:val="003551"/>
              </w:rPr>
              <w:t>Voting requirement</w:t>
            </w:r>
          </w:p>
        </w:tc>
        <w:tc>
          <w:tcPr>
            <w:tcW w:w="1680" w:type="dxa"/>
            <w:vAlign w:val="bottom"/>
            <w:shd w:val="clear" w:color="auto" w:fill="77C483"/>
          </w:tcPr>
          <w:p>
            <w:pPr>
              <w:ind w:left="600"/>
              <w:spacing w:after="0"/>
              <w:rPr>
                <w:sz w:val="20"/>
                <w:szCs w:val="20"/>
                <w:color w:val="auto"/>
              </w:rPr>
            </w:pPr>
            <w:r>
              <w:rPr>
                <w:rFonts w:ascii="Arial" w:cs="Arial" w:eastAsia="Arial" w:hAnsi="Arial"/>
                <w:sz w:val="17"/>
                <w:szCs w:val="17"/>
                <w:b w:val="1"/>
                <w:bCs w:val="1"/>
                <w:color w:val="003551"/>
              </w:rPr>
              <w:t>abstentions</w:t>
            </w:r>
          </w:p>
        </w:tc>
        <w:tc>
          <w:tcPr>
            <w:tcW w:w="1140" w:type="dxa"/>
            <w:vAlign w:val="bottom"/>
            <w:shd w:val="clear" w:color="auto" w:fill="77C483"/>
          </w:tcPr>
          <w:p>
            <w:pPr>
              <w:ind w:left="100"/>
              <w:spacing w:after="0"/>
              <w:rPr>
                <w:sz w:val="20"/>
                <w:szCs w:val="20"/>
                <w:color w:val="auto"/>
              </w:rPr>
            </w:pPr>
            <w:r>
              <w:rPr>
                <w:rFonts w:ascii="Arial" w:cs="Arial" w:eastAsia="Arial" w:hAnsi="Arial"/>
                <w:sz w:val="17"/>
                <w:szCs w:val="17"/>
                <w:b w:val="1"/>
                <w:bCs w:val="1"/>
                <w:color w:val="003551"/>
              </w:rPr>
              <w:t>non-votes</w:t>
            </w:r>
          </w:p>
        </w:tc>
      </w:tr>
      <w:tr>
        <w:trPr>
          <w:trHeight w:val="93"/>
        </w:trPr>
        <w:tc>
          <w:tcPr>
            <w:tcW w:w="2060" w:type="dxa"/>
            <w:vAlign w:val="bottom"/>
            <w:tcBorders>
              <w:bottom w:val="single" w:sz="8" w:color="003551"/>
            </w:tcBorders>
            <w:shd w:val="clear" w:color="auto" w:fill="77C483"/>
          </w:tcPr>
          <w:p>
            <w:pPr>
              <w:spacing w:after="0"/>
              <w:rPr>
                <w:sz w:val="8"/>
                <w:szCs w:val="8"/>
                <w:color w:val="auto"/>
              </w:rPr>
            </w:pPr>
          </w:p>
        </w:tc>
        <w:tc>
          <w:tcPr>
            <w:tcW w:w="3360" w:type="dxa"/>
            <w:vAlign w:val="bottom"/>
            <w:tcBorders>
              <w:bottom w:val="single" w:sz="8" w:color="003551"/>
            </w:tcBorders>
            <w:shd w:val="clear" w:color="auto" w:fill="77C483"/>
          </w:tcPr>
          <w:p>
            <w:pPr>
              <w:spacing w:after="0"/>
              <w:rPr>
                <w:sz w:val="8"/>
                <w:szCs w:val="8"/>
                <w:color w:val="auto"/>
              </w:rPr>
            </w:pPr>
          </w:p>
        </w:tc>
        <w:tc>
          <w:tcPr>
            <w:tcW w:w="1680" w:type="dxa"/>
            <w:vAlign w:val="bottom"/>
            <w:tcBorders>
              <w:bottom w:val="single" w:sz="8" w:color="003551"/>
            </w:tcBorders>
            <w:shd w:val="clear" w:color="auto" w:fill="77C483"/>
          </w:tcPr>
          <w:p>
            <w:pPr>
              <w:spacing w:after="0"/>
              <w:rPr>
                <w:sz w:val="8"/>
                <w:szCs w:val="8"/>
                <w:color w:val="auto"/>
              </w:rPr>
            </w:pPr>
          </w:p>
        </w:tc>
        <w:tc>
          <w:tcPr>
            <w:tcW w:w="1140" w:type="dxa"/>
            <w:vAlign w:val="bottom"/>
            <w:tcBorders>
              <w:bottom w:val="single" w:sz="8" w:color="003551"/>
            </w:tcBorders>
            <w:shd w:val="clear" w:color="auto" w:fill="77C483"/>
          </w:tcPr>
          <w:p>
            <w:pPr>
              <w:spacing w:after="0"/>
              <w:rPr>
                <w:sz w:val="8"/>
                <w:szCs w:val="8"/>
                <w:color w:val="auto"/>
              </w:rPr>
            </w:pPr>
          </w:p>
        </w:tc>
      </w:tr>
    </w:tbl>
    <w:p>
      <w:pPr>
        <w:spacing w:after="0" w:line="99" w:lineRule="exact"/>
        <w:rPr>
          <w:sz w:val="20"/>
          <w:szCs w:val="20"/>
          <w:color w:val="auto"/>
        </w:rPr>
      </w:pPr>
    </w:p>
    <w:p>
      <w:pPr>
        <w:sectPr>
          <w:pgSz w:w="11900" w:h="16838" w:orient="portrait"/>
          <w:cols w:equalWidth="0" w:num="1">
            <w:col w:w="9900"/>
          </w:cols>
          <w:pgMar w:left="740" w:top="115" w:right="1259" w:bottom="1440" w:gutter="0" w:footer="0" w:header="0"/>
        </w:sectPr>
      </w:pPr>
    </w:p>
    <w:p>
      <w:pPr>
        <w:ind w:left="1080"/>
        <w:spacing w:after="0" w:line="259" w:lineRule="auto"/>
        <w:rPr>
          <w:sz w:val="20"/>
          <w:szCs w:val="20"/>
          <w:color w:val="auto"/>
        </w:rPr>
      </w:pPr>
      <w:r>
        <w:rPr>
          <w:rFonts w:ascii="Arial" w:cs="Arial" w:eastAsia="Arial" w:hAnsi="Arial"/>
          <w:sz w:val="17"/>
          <w:szCs w:val="17"/>
          <w:b w:val="1"/>
          <w:bCs w:val="1"/>
          <w:color w:val="003551"/>
        </w:rPr>
        <w:t>Proposal 10: Approve an advisory vote on the frequency of future advisory votes on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003551"/>
        </w:rPr>
        <w:t>How is the vote counted?</w:t>
      </w:r>
    </w:p>
    <w:p>
      <w:pPr>
        <w:spacing w:after="0" w:line="20" w:lineRule="exact"/>
        <w:rPr>
          <w:sz w:val="20"/>
          <w:szCs w:val="20"/>
          <w:color w:val="auto"/>
        </w:rPr>
      </w:pPr>
      <w:r>
        <w:rPr>
          <w:sz w:val="20"/>
          <w:szCs w:val="20"/>
          <w:color w:val="auto"/>
        </w:rPr>
        <w:br w:type="column"/>
      </w:r>
    </w:p>
    <w:p>
      <w:pPr>
        <w:spacing w:after="0"/>
        <w:tabs>
          <w:tab w:leader="none" w:pos="2780" w:val="left"/>
          <w:tab w:leader="none" w:pos="3960" w:val="left"/>
        </w:tabs>
        <w:rPr>
          <w:sz w:val="20"/>
          <w:szCs w:val="20"/>
          <w:color w:val="auto"/>
        </w:rPr>
      </w:pPr>
      <w:r>
        <w:rPr>
          <w:rFonts w:ascii="Arial" w:cs="Arial" w:eastAsia="Arial" w:hAnsi="Arial"/>
          <w:sz w:val="17"/>
          <w:szCs w:val="17"/>
          <w:color w:val="003551"/>
        </w:rPr>
        <w:t>The affirmative vote of a majority</w:t>
        <w:tab/>
        <w:t>No effect on</w:t>
        <w:tab/>
        <w:t>No effect</w:t>
      </w:r>
    </w:p>
    <w:p>
      <w:pPr>
        <w:spacing w:after="0" w:line="17" w:lineRule="exact"/>
        <w:rPr>
          <w:sz w:val="20"/>
          <w:szCs w:val="20"/>
          <w:color w:val="auto"/>
        </w:rPr>
      </w:pPr>
    </w:p>
    <w:p>
      <w:pPr>
        <w:spacing w:after="0"/>
        <w:tabs>
          <w:tab w:leader="none" w:pos="2780" w:val="left"/>
          <w:tab w:leader="none" w:pos="3960" w:val="left"/>
        </w:tabs>
        <w:rPr>
          <w:sz w:val="20"/>
          <w:szCs w:val="20"/>
          <w:color w:val="auto"/>
        </w:rPr>
      </w:pPr>
      <w:r>
        <w:rPr>
          <w:rFonts w:ascii="Arial" w:cs="Arial" w:eastAsia="Arial" w:hAnsi="Arial"/>
          <w:sz w:val="17"/>
          <w:szCs w:val="17"/>
          <w:color w:val="003551"/>
        </w:rPr>
        <w:t>of votes cast will be required to</w:t>
      </w:r>
      <w:r>
        <w:rPr>
          <w:sz w:val="20"/>
          <w:szCs w:val="20"/>
          <w:color w:val="auto"/>
        </w:rPr>
        <w:tab/>
      </w:r>
      <w:r>
        <w:rPr>
          <w:rFonts w:ascii="Arial" w:cs="Arial" w:eastAsia="Arial" w:hAnsi="Arial"/>
          <w:sz w:val="17"/>
          <w:szCs w:val="17"/>
          <w:color w:val="003551"/>
        </w:rPr>
        <w:t>outcome</w:t>
      </w:r>
      <w:r>
        <w:rPr>
          <w:sz w:val="20"/>
          <w:szCs w:val="20"/>
          <w:color w:val="auto"/>
        </w:rPr>
        <w:tab/>
      </w:r>
      <w:r>
        <w:rPr>
          <w:rFonts w:ascii="Arial" w:cs="Arial" w:eastAsia="Arial" w:hAnsi="Arial"/>
          <w:sz w:val="17"/>
          <w:szCs w:val="17"/>
          <w:color w:val="003551"/>
        </w:rPr>
        <w:t>on outcome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003551"/>
        </w:rPr>
        <w:t>approve this proposal. If no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003551"/>
        </w:rPr>
        <w:t>option receives majority support,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003551"/>
        </w:rPr>
        <w:t>the frequency receiving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003551"/>
        </w:rPr>
        <w:t>greatest number of votes will be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003551"/>
        </w:rPr>
        <w:t>deemed to be the frequency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003551"/>
        </w:rPr>
        <w:t>preferred by the shareholders.</w:t>
      </w:r>
    </w:p>
    <w:p>
      <w:pPr>
        <w:spacing w:after="0" w:line="550" w:lineRule="exact"/>
        <w:rPr>
          <w:sz w:val="20"/>
          <w:szCs w:val="20"/>
          <w:color w:val="auto"/>
        </w:rPr>
      </w:pPr>
    </w:p>
    <w:p>
      <w:pPr>
        <w:sectPr>
          <w:pgSz w:w="11900" w:h="16838" w:orient="portrait"/>
          <w:cols w:equalWidth="0" w:num="2">
            <w:col w:w="3920" w:space="240"/>
            <w:col w:w="5740"/>
          </w:cols>
          <w:pgMar w:left="740" w:top="115" w:right="1259" w:bottom="1440" w:gutter="0" w:footer="0" w:header="0"/>
          <w:type w:val="continuous"/>
        </w:sectPr>
      </w:pPr>
    </w:p>
    <w:p>
      <w:pPr>
        <w:ind w:left="940" w:right="920"/>
        <w:spacing w:after="0" w:line="263" w:lineRule="auto"/>
        <w:rPr>
          <w:sz w:val="20"/>
          <w:szCs w:val="20"/>
          <w:color w:val="auto"/>
        </w:rPr>
      </w:pPr>
      <w:r>
        <w:rPr>
          <w:rFonts w:ascii="Arial" w:cs="Arial" w:eastAsia="Arial" w:hAnsi="Arial"/>
          <w:sz w:val="17"/>
          <w:szCs w:val="17"/>
          <w:color w:val="003551"/>
        </w:rPr>
        <w:t>Votes cast by proxy or at the AGM will be counted by the persons appointed by IREN to act as tellers for the AGM.</w:t>
      </w:r>
    </w:p>
    <w:p>
      <w:pPr>
        <w:spacing w:after="0" w:line="53" w:lineRule="exact"/>
        <w:rPr>
          <w:sz w:val="20"/>
          <w:szCs w:val="20"/>
          <w:color w:val="auto"/>
        </w:rPr>
      </w:pPr>
    </w:p>
    <w:p>
      <w:pPr>
        <w:ind w:left="940" w:right="760"/>
        <w:spacing w:after="0" w:line="249" w:lineRule="auto"/>
        <w:rPr>
          <w:sz w:val="20"/>
          <w:szCs w:val="20"/>
          <w:color w:val="auto"/>
        </w:rPr>
      </w:pPr>
      <w:r>
        <w:rPr>
          <w:rFonts w:ascii="Arial" w:cs="Arial" w:eastAsia="Arial" w:hAnsi="Arial"/>
          <w:sz w:val="17"/>
          <w:szCs w:val="17"/>
          <w:color w:val="003551"/>
        </w:rPr>
        <w:t>Stock exchange rules generally permit a broker, bank or other nominee to vote shares held in a brokerage account on routine matters if the broker, bank or other nominee does not receive voting instructions from you, but they will not have discretion to vote your shares on non-routine matters. None of the proposals at this AGM are routine. When the broker, bank or other nominee is unable to vote on a proposal because the proposal is not routine and you do not provide any voting instructions, a “broker non-vote” occurs, and, as a result, your shares will not be voted on these proposals.</w:t>
      </w:r>
    </w:p>
    <w:p>
      <w:pPr>
        <w:spacing w:after="0" w:line="67" w:lineRule="exact"/>
        <w:rPr>
          <w:sz w:val="20"/>
          <w:szCs w:val="20"/>
          <w:color w:val="auto"/>
        </w:rPr>
      </w:pPr>
    </w:p>
    <w:p>
      <w:pPr>
        <w:ind w:left="940" w:right="800"/>
        <w:spacing w:after="0" w:line="262" w:lineRule="auto"/>
        <w:rPr>
          <w:sz w:val="20"/>
          <w:szCs w:val="20"/>
          <w:color w:val="auto"/>
        </w:rPr>
      </w:pPr>
      <w:r>
        <w:rPr>
          <w:rFonts w:ascii="Arial" w:cs="Arial" w:eastAsia="Arial" w:hAnsi="Arial"/>
          <w:sz w:val="17"/>
          <w:szCs w:val="17"/>
          <w:color w:val="003551"/>
        </w:rPr>
        <w:t>If you do not indicate whether or not you are a selling shareholder or an associate of a selling shareholder with respect to Proposals 7 or 8 by marking “YES” or NO” on the proxy card or voting instruction form (or in your electronic submission), your shares will not be voted for Proposals 7 or 8.</w:t>
      </w:r>
    </w:p>
    <w:p>
      <w:pPr>
        <w:spacing w:after="0" w:line="201"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Where is the AGM held?</w:t>
      </w:r>
    </w:p>
    <w:p>
      <w:pPr>
        <w:spacing w:after="0" w:line="42"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The AGM will be conducted solely via virtual webcast at: www.virtualshareholdermeeting.com/IREN2025.</w:t>
      </w:r>
    </w:p>
    <w:p>
      <w:pPr>
        <w:spacing w:after="0" w:line="90" w:lineRule="exact"/>
        <w:rPr>
          <w:sz w:val="20"/>
          <w:szCs w:val="20"/>
          <w:color w:val="auto"/>
        </w:rPr>
      </w:pPr>
    </w:p>
    <w:p>
      <w:pPr>
        <w:ind w:left="940" w:right="780"/>
        <w:spacing w:after="0" w:line="262" w:lineRule="auto"/>
        <w:rPr>
          <w:sz w:val="20"/>
          <w:szCs w:val="20"/>
          <w:color w:val="auto"/>
        </w:rPr>
      </w:pPr>
      <w:r>
        <w:rPr>
          <w:rFonts w:ascii="Arial" w:cs="Arial" w:eastAsia="Arial" w:hAnsi="Arial"/>
          <w:sz w:val="17"/>
          <w:szCs w:val="17"/>
          <w:color w:val="003551"/>
        </w:rPr>
        <w:t>You will be able to participate, submit questions and vote your shares electronically. To do so, you will need to visit www.virtualshareholdermeeting.com/IREN2025 and use the control number provided with the voting instructions.</w:t>
      </w:r>
    </w:p>
    <w:p>
      <w:pPr>
        <w:spacing w:after="0" w:line="54" w:lineRule="exact"/>
        <w:rPr>
          <w:sz w:val="20"/>
          <w:szCs w:val="20"/>
          <w:color w:val="auto"/>
        </w:rPr>
      </w:pPr>
    </w:p>
    <w:p>
      <w:pPr>
        <w:ind w:left="940" w:right="960"/>
        <w:spacing w:after="0" w:line="262" w:lineRule="auto"/>
        <w:rPr>
          <w:sz w:val="20"/>
          <w:szCs w:val="20"/>
          <w:color w:val="auto"/>
        </w:rPr>
      </w:pPr>
      <w:r>
        <w:rPr>
          <w:rFonts w:ascii="Arial" w:cs="Arial" w:eastAsia="Arial" w:hAnsi="Arial"/>
          <w:sz w:val="17"/>
          <w:szCs w:val="17"/>
          <w:color w:val="003551"/>
        </w:rPr>
        <w:t>Please join the AGM 15 minutes prior to the start time. If you encounter any difficulties accessing the virtual meeting during the check-in or meeting time, please call the technical support number that will be posted on the login page hosting the virtual meeting.</w:t>
      </w:r>
    </w:p>
    <w:p>
      <w:pPr>
        <w:spacing w:after="0" w:line="201"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How do I submit a question for the AGM?</w:t>
      </w:r>
    </w:p>
    <w:p>
      <w:pPr>
        <w:spacing w:after="0" w:line="15" w:lineRule="exact"/>
        <w:rPr>
          <w:sz w:val="20"/>
          <w:szCs w:val="20"/>
          <w:color w:val="auto"/>
        </w:rPr>
      </w:pPr>
    </w:p>
    <w:p>
      <w:pPr>
        <w:ind w:left="940" w:right="780"/>
        <w:spacing w:after="0" w:line="245" w:lineRule="auto"/>
        <w:rPr>
          <w:sz w:val="20"/>
          <w:szCs w:val="20"/>
          <w:color w:val="auto"/>
        </w:rPr>
      </w:pPr>
      <w:r>
        <w:rPr>
          <w:rFonts w:ascii="Arial" w:cs="Arial" w:eastAsia="Arial" w:hAnsi="Arial"/>
          <w:sz w:val="17"/>
          <w:szCs w:val="17"/>
          <w:color w:val="003551"/>
        </w:rPr>
        <w:t>Shareholders are encouraged to submit written questions in advance of the AGM, and you may login and ask a question at www.proxyvote.com up until 11:59pm (ET) on Tuesday, November 18, 2025. If you wish to submit a question on the day of the AGM, beginning at 3:15pm (ET) on November 19, 2025, you may login and ask a question at www.virtualshareholdermeeting.com/IREN2025. The AGM will be governed by our meeting guidelines posted at www.proxyvote.com in advance of the AGM. The AGM guidelines will address the ability of shareholders to ask questions during the AGM, including rules on permissible topics.</w:t>
      </w:r>
    </w:p>
    <w:p>
      <w:pPr>
        <w:spacing w:after="0" w:line="21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3551"/>
        </w:rPr>
        <w:t>What happens if the AGM is postponed or adjourned?</w:t>
      </w:r>
    </w:p>
    <w:p>
      <w:pPr>
        <w:spacing w:after="0" w:line="15" w:lineRule="exact"/>
        <w:rPr>
          <w:sz w:val="20"/>
          <w:szCs w:val="20"/>
          <w:color w:val="auto"/>
        </w:rPr>
      </w:pPr>
    </w:p>
    <w:p>
      <w:pPr>
        <w:ind w:left="940" w:right="1180"/>
        <w:spacing w:after="0" w:line="263" w:lineRule="auto"/>
        <w:rPr>
          <w:sz w:val="20"/>
          <w:szCs w:val="20"/>
          <w:color w:val="auto"/>
        </w:rPr>
      </w:pPr>
      <w:r>
        <w:rPr>
          <w:rFonts w:ascii="Arial" w:cs="Arial" w:eastAsia="Arial" w:hAnsi="Arial"/>
          <w:sz w:val="17"/>
          <w:szCs w:val="17"/>
          <w:color w:val="003551"/>
        </w:rPr>
        <w:t>Your proxy may be voted at the postponed or adjourned meeting. You will still be able to change your proxy until it is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111125</wp:posOffset>
            </wp:positionV>
            <wp:extent cx="540385" cy="63182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5315" cy="32448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Proposals and Nominations by Shareholders</w:t>
      </w:r>
    </w:p>
    <w:p>
      <w:pPr>
        <w:spacing w:after="0" w:line="41"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If you wish to submit a shareholder proposal pursuant to Rule 14a-8 of the Exchange Act to be considered</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for inclusion in IREN’s proxy materials for IREN’s 2026 Annual General Meeting, your proposal must be</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submitted in writing by June 8, 2026 to IREN Investor Relations, Level 13, 664 Collins Street,</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Docklands VIC 3008, Australia. The proposal must meet the requirements of Rule 14a-8 to be considered</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7"/>
          <w:szCs w:val="17"/>
          <w:color w:val="003551"/>
        </w:rPr>
        <w:t>for inclusion in the proxy materials.</w:t>
      </w:r>
    </w:p>
    <w:p>
      <w:pPr>
        <w:spacing w:after="0" w:line="90" w:lineRule="exact"/>
        <w:rPr>
          <w:sz w:val="20"/>
          <w:szCs w:val="20"/>
          <w:color w:val="auto"/>
        </w:rPr>
      </w:pPr>
    </w:p>
    <w:p>
      <w:pPr>
        <w:ind w:left="940" w:right="1000"/>
        <w:spacing w:after="0" w:line="262" w:lineRule="auto"/>
        <w:rPr>
          <w:sz w:val="20"/>
          <w:szCs w:val="20"/>
          <w:color w:val="auto"/>
        </w:rPr>
      </w:pPr>
      <w:r>
        <w:rPr>
          <w:rFonts w:ascii="Arial" w:cs="Arial" w:eastAsia="Arial" w:hAnsi="Arial"/>
          <w:sz w:val="17"/>
          <w:szCs w:val="17"/>
          <w:color w:val="003551"/>
        </w:rPr>
        <w:t>For a shareholder proposal submitted in accordance with section 249N of the Corporations Act, the last date for submitting a request to include a shareholder proposal is 2 months before the date of IREN’s 2026 AGM.</w:t>
      </w:r>
    </w:p>
    <w:p>
      <w:pPr>
        <w:spacing w:after="0" w:line="54" w:lineRule="exact"/>
        <w:rPr>
          <w:sz w:val="20"/>
          <w:szCs w:val="20"/>
          <w:color w:val="auto"/>
        </w:rPr>
      </w:pPr>
    </w:p>
    <w:p>
      <w:pPr>
        <w:ind w:left="940" w:right="740"/>
        <w:spacing w:after="0" w:line="245" w:lineRule="auto"/>
        <w:rPr>
          <w:sz w:val="20"/>
          <w:szCs w:val="20"/>
          <w:color w:val="auto"/>
        </w:rPr>
      </w:pPr>
      <w:r>
        <w:rPr>
          <w:rFonts w:ascii="Arial" w:cs="Arial" w:eastAsia="Arial" w:hAnsi="Arial"/>
          <w:sz w:val="17"/>
          <w:szCs w:val="17"/>
          <w:color w:val="003551"/>
        </w:rPr>
        <w:t>Shareholders who intend to make director nominations must comply with the requirements under the Constitution, including that such notice must be received no later than 2 months before the 2026 AGM. Shareholders who intend to solicit proxies in support of any director nominees other than IREN’s nominees must also provide notice to our Secretary that sets forth all information required by Rule 14a-19 under the Exchange Act, and such notice must be received no later than September 20, 2026, except that, if the date of the 2026 AGM changes by more than 30 calendar days from the date of the AGM, such notice must be provided by the later of 60 calendar days prior to the date of the 2026 AGM or the 10th calendar day following the day on which public announcement of the date of the 2026 AGM is first made by IREN. A shareholder seeking to utilize the universal proxy rules must comply with those rules and must also comply with IREN’s Constitution, including the obligation to provide timely notice as described above.</w:t>
      </w:r>
    </w:p>
    <w:p>
      <w:pPr>
        <w:spacing w:after="0" w:line="19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Incorporation by Reference</w:t>
      </w:r>
    </w:p>
    <w:p>
      <w:pPr>
        <w:spacing w:after="0" w:line="41" w:lineRule="exact"/>
        <w:rPr>
          <w:sz w:val="20"/>
          <w:szCs w:val="20"/>
          <w:color w:val="auto"/>
        </w:rPr>
      </w:pPr>
    </w:p>
    <w:p>
      <w:pPr>
        <w:ind w:left="940" w:right="860"/>
        <w:spacing w:after="0" w:line="245" w:lineRule="auto"/>
        <w:rPr>
          <w:sz w:val="20"/>
          <w:szCs w:val="20"/>
          <w:color w:val="auto"/>
        </w:rPr>
      </w:pPr>
      <w:r>
        <w:rPr>
          <w:rFonts w:ascii="Arial" w:cs="Arial" w:eastAsia="Arial" w:hAnsi="Arial"/>
          <w:sz w:val="17"/>
          <w:szCs w:val="17"/>
          <w:color w:val="003551"/>
        </w:rPr>
        <w:t>To the extent that this Proxy Statement is incorporated by reference into any other filing by IREN with the SEC under the Securities Act or the Exchange Act, the information contained in the section of this Proxy Statement titled “</w:t>
      </w:r>
      <w:r>
        <w:rPr>
          <w:rFonts w:ascii="Arial" w:cs="Arial" w:eastAsia="Arial" w:hAnsi="Arial"/>
          <w:sz w:val="17"/>
          <w:szCs w:val="17"/>
          <w:b w:val="1"/>
          <w:bCs w:val="1"/>
          <w:color w:val="003551"/>
        </w:rPr>
        <w:t>Report of the Audit and Risk Committee</w:t>
      </w:r>
      <w:r>
        <w:rPr>
          <w:rFonts w:ascii="Arial" w:cs="Arial" w:eastAsia="Arial" w:hAnsi="Arial"/>
          <w:sz w:val="17"/>
          <w:szCs w:val="17"/>
          <w:color w:val="003551"/>
        </w:rPr>
        <w:t>” (to the extent permitted by the rules of the SEC) will not be deemed incorporated, unless specifically provided otherwise in such filing. The information contained in the Compensation Committee Report will not be deemed to be incorporated by reference into any filing under the Securities Act or the Exchange Act, other than the 2025 Annual Report on Form 10-K, except to the extent specifically provided otherwise in such filing.</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Other Matters</w:t>
      </w:r>
    </w:p>
    <w:p>
      <w:pPr>
        <w:spacing w:after="0" w:line="41" w:lineRule="exact"/>
        <w:rPr>
          <w:sz w:val="20"/>
          <w:szCs w:val="20"/>
          <w:color w:val="auto"/>
        </w:rPr>
      </w:pPr>
    </w:p>
    <w:p>
      <w:pPr>
        <w:ind w:left="940" w:right="1040"/>
        <w:spacing w:after="0" w:line="248" w:lineRule="auto"/>
        <w:rPr>
          <w:sz w:val="20"/>
          <w:szCs w:val="20"/>
          <w:color w:val="auto"/>
        </w:rPr>
      </w:pPr>
      <w:r>
        <w:rPr>
          <w:rFonts w:ascii="Arial" w:cs="Arial" w:eastAsia="Arial" w:hAnsi="Arial"/>
          <w:sz w:val="17"/>
          <w:szCs w:val="17"/>
          <w:color w:val="003551"/>
        </w:rPr>
        <w:t>The Board does not know of any other matters that may be presented for action at the AGM other than those described in this Proxy Statement. If any other matters do properly come before the AGM, the persons named as proxies will vote, in their discretion, according to their best judgment and the 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119380</wp:posOffset>
            </wp:positionV>
            <wp:extent cx="540385" cy="63182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4038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220345</wp:posOffset>
            </wp:positionV>
            <wp:extent cx="6786880" cy="1651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900"/>
          </w:cols>
          <w:pgMar w:left="740" w:top="115" w:right="12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940"/>
        <w:spacing w:after="0"/>
        <w:rPr>
          <w:sz w:val="20"/>
          <w:szCs w:val="20"/>
          <w:color w:val="auto"/>
        </w:rPr>
      </w:pPr>
      <w:r>
        <w:rPr>
          <w:rFonts w:ascii="Arial" w:cs="Arial" w:eastAsia="Arial" w:hAnsi="Arial"/>
          <w:sz w:val="35"/>
          <w:szCs w:val="35"/>
          <w:color w:val="77C483"/>
        </w:rPr>
        <w:t>Appendix A: Non-GAAP Financial Measures</w:t>
      </w:r>
    </w:p>
    <w:p>
      <w:pPr>
        <w:spacing w:after="0" w:line="6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i w:val="1"/>
          <w:iCs w:val="1"/>
          <w:color w:val="003551"/>
        </w:rPr>
        <w:t>Special Note Regarding non-GAAP Measures</w:t>
      </w:r>
    </w:p>
    <w:p>
      <w:pPr>
        <w:spacing w:after="0" w:line="24" w:lineRule="exact"/>
        <w:rPr>
          <w:sz w:val="20"/>
          <w:szCs w:val="20"/>
          <w:color w:val="auto"/>
        </w:rPr>
      </w:pPr>
    </w:p>
    <w:p>
      <w:pPr>
        <w:ind w:left="940" w:right="439"/>
        <w:spacing w:after="0" w:line="242" w:lineRule="auto"/>
        <w:rPr>
          <w:sz w:val="20"/>
          <w:szCs w:val="20"/>
          <w:color w:val="auto"/>
        </w:rPr>
      </w:pPr>
      <w:r>
        <w:rPr>
          <w:rFonts w:ascii="Arial" w:cs="Arial" w:eastAsia="Arial" w:hAnsi="Arial"/>
          <w:sz w:val="17"/>
          <w:szCs w:val="17"/>
          <w:color w:val="003551"/>
        </w:rPr>
        <w:t>The table below refers to certain measures that are not recognized under GAAP and do not have a standardized meaning prescribed by GAAP. IREN uses non-GAAP measures including “EBITDA”, “EBITDA margin,” “Adjusted EBITDA,” “Adjusted EBITDA margin,” (each as defined below) as additional information to complement GAAP measures by providing further understanding of IREN’s operations from management’s perspective. As a capital intensive business, EBITDA excludes the impact of the cost of depreciation of computer hardware equipment and other fixed assets, which allows us to measure the liquidity of our business on a current basis and, we believe, provides a useful tool for comparison to our competitors in a similar industry. We believe Adjusted EBITDA is a useful metric because it allows us to monitor the profitability of our business on a current basis and removes expenses which do not impact our ongoing profitability and which can vary significantly in comparison to other companies. In addition, Total net electricity costs allows us to measure the all-in-costs of electricity of our business on a current basis, which we believe provides a useful tool for comparing our ability to secure low-cost power to that of our competitors in a similar industry and Net electricity costs - Bitcoin Mining and Net electricity costs per Bitcoin mined allows to us to assess the return on our investment in mining Bitcoin.</w:t>
      </w:r>
    </w:p>
    <w:p>
      <w:pPr>
        <w:spacing w:after="0" w:line="80" w:lineRule="exact"/>
        <w:rPr>
          <w:sz w:val="20"/>
          <w:szCs w:val="20"/>
          <w:color w:val="auto"/>
        </w:rPr>
      </w:pPr>
    </w:p>
    <w:p>
      <w:pPr>
        <w:ind w:left="940" w:right="379"/>
        <w:spacing w:after="0" w:line="243" w:lineRule="auto"/>
        <w:rPr>
          <w:sz w:val="20"/>
          <w:szCs w:val="20"/>
          <w:color w:val="auto"/>
        </w:rPr>
      </w:pPr>
      <w:r>
        <w:rPr>
          <w:rFonts w:ascii="Arial" w:cs="Arial" w:eastAsia="Arial" w:hAnsi="Arial"/>
          <w:sz w:val="17"/>
          <w:szCs w:val="17"/>
          <w:color w:val="003551"/>
        </w:rPr>
        <w:t>EBITDA is defined as net income (loss), excluding finance expense, interest income, depreciation and amortization, and income tax (provision) benefit, which are important components of our net income (loss). “EBITDA margin” is defined as EBITDA divided by revenue. Further, “Adjusted EBITDA” also excludes stock based compensation, foreign exchange gain (loss), impairment of assets, certain other non-recurring income, gain (loss) on disposal of property, plant and equipment, gain (loss) on disposal of subsidiaries, unrealized gain (loss) on financial instruments, gain on partial extinguishment of financial liabilities and certain other expense items. “Adjusted EBITDA margin” is defined as Adjusted EBITDA divided by revenue. “Total net electricity costs” is defined as the sum of electricity charges, demand response program income, demand response program fees, realized gain (loss) on financial asset excluding a one-off liquidation payment incurred in August 2024 resulting from the transition to spot pricing at the Childress site and the reversal of unrealized loss recorded on fixed price contracted amounts outstanding at</w:t>
      </w:r>
    </w:p>
    <w:p>
      <w:pPr>
        <w:ind w:left="940" w:right="559"/>
        <w:spacing w:after="0" w:line="252" w:lineRule="auto"/>
        <w:rPr>
          <w:sz w:val="20"/>
          <w:szCs w:val="20"/>
          <w:color w:val="auto"/>
        </w:rPr>
      </w:pPr>
      <w:r>
        <w:rPr>
          <w:rFonts w:ascii="Arial" w:cs="Arial" w:eastAsia="Arial" w:hAnsi="Arial"/>
          <w:sz w:val="17"/>
          <w:szCs w:val="17"/>
          <w:color w:val="003551"/>
        </w:rPr>
        <w:t>June 30, 2024. “Net electricity costs per Bitcoin mined” is defined as Total net electricity costs less net electricity costs attributable to AI Cloud Services, divided by the total Bitcoin mined for the relevant fiscal period.</w:t>
      </w:r>
    </w:p>
    <w:p>
      <w:pPr>
        <w:spacing w:after="0" w:line="62" w:lineRule="exact"/>
        <w:rPr>
          <w:sz w:val="20"/>
          <w:szCs w:val="20"/>
          <w:color w:val="auto"/>
        </w:rPr>
      </w:pPr>
    </w:p>
    <w:p>
      <w:pPr>
        <w:ind w:left="940" w:right="399"/>
        <w:spacing w:after="0" w:line="244" w:lineRule="auto"/>
        <w:rPr>
          <w:sz w:val="20"/>
          <w:szCs w:val="20"/>
          <w:color w:val="auto"/>
        </w:rPr>
      </w:pPr>
      <w:r>
        <w:rPr>
          <w:rFonts w:ascii="Arial" w:cs="Arial" w:eastAsia="Arial" w:hAnsi="Arial"/>
          <w:sz w:val="17"/>
          <w:szCs w:val="17"/>
          <w:color w:val="003551"/>
        </w:rPr>
        <w:t>“EBITDA”, “EBITDA margin,” “Adjusted EBITDA,” “Adjusted EBITDA margin,” have limitations as analytical tools. These measures should not be considered as alternatives to net income (loss), as applicable, determined in accordance with GAAP. EBITDA, EBITDA margin, Adjusted EBITDA and Adjusted EBITDA margin are supplemental measures of our operating performance only, and as a result you should not consider these measures in isolation from, or as a substitute analysis for, our net income (loss) or net income (loss) margin, as applicable, as determined in accordance with GAAP, which are the most comparable GAAP financial measures. For example, we expect depreciation of our fixed assets will be a large recurring expense over the course of the useful life of our assets, and that stock based compensation is an important part of compensating certain employees, officers and directors. Total net electricity costs, “Net electricity costs - Bitcoin Mining” and Net electricity costs per Bitcoin mined should not be considered as alternatives to electricity charges determined in accordance with GAAP, which is the most comparable GAAP financial measure. Our non-GAAP measures do not have any standardized meaning prescribed by GAAP and therefore are not necessarily comparable to similarly titled measures used by other companies, limiting their usefulness as a comparative tool.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99060</wp:posOffset>
            </wp:positionV>
            <wp:extent cx="6786880" cy="1651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87" w:name="page88"/>
    <w:bookmarkEnd w:id="87"/>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112395</wp:posOffset>
            </wp:positionV>
            <wp:extent cx="615315" cy="32448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60" w:right="1340"/>
        <w:spacing w:after="0" w:line="283" w:lineRule="auto"/>
        <w:rPr>
          <w:sz w:val="20"/>
          <w:szCs w:val="20"/>
          <w:color w:val="auto"/>
        </w:rPr>
      </w:pPr>
      <w:r>
        <w:rPr>
          <w:rFonts w:ascii="Arial" w:cs="Arial" w:eastAsia="Arial" w:hAnsi="Arial"/>
          <w:sz w:val="17"/>
          <w:szCs w:val="17"/>
          <w:color w:val="003551"/>
        </w:rPr>
        <w:t>A reconciliation of EBITDA and Adjusted EBITDA to net income (loss), a reconciliation of EBITDA margin and Adjusted EBITDA margin to net income (loss) can be found below.</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378"/>
        </w:trPr>
        <w:tc>
          <w:tcPr>
            <w:tcW w:w="1260" w:type="dxa"/>
            <w:vAlign w:val="bottom"/>
          </w:tcPr>
          <w:p>
            <w:pPr>
              <w:spacing w:after="0"/>
              <w:rPr>
                <w:sz w:val="24"/>
                <w:szCs w:val="24"/>
                <w:color w:val="auto"/>
              </w:rPr>
            </w:pPr>
          </w:p>
        </w:tc>
        <w:tc>
          <w:tcPr>
            <w:tcW w:w="5440" w:type="dxa"/>
            <w:vAlign w:val="bottom"/>
            <w:shd w:val="clear" w:color="auto" w:fill="77C483"/>
          </w:tcPr>
          <w:p>
            <w:pPr>
              <w:spacing w:after="0"/>
              <w:rPr>
                <w:sz w:val="24"/>
                <w:szCs w:val="24"/>
                <w:color w:val="auto"/>
              </w:rPr>
            </w:pPr>
          </w:p>
        </w:tc>
        <w:tc>
          <w:tcPr>
            <w:tcW w:w="1380" w:type="dxa"/>
            <w:vAlign w:val="bottom"/>
            <w:shd w:val="clear" w:color="auto" w:fill="77C483"/>
          </w:tcPr>
          <w:p>
            <w:pPr>
              <w:ind w:left="120"/>
              <w:spacing w:after="0"/>
              <w:rPr>
                <w:sz w:val="20"/>
                <w:szCs w:val="20"/>
                <w:color w:val="auto"/>
              </w:rPr>
            </w:pPr>
            <w:r>
              <w:rPr>
                <w:rFonts w:ascii="Arial" w:cs="Arial" w:eastAsia="Arial" w:hAnsi="Arial"/>
                <w:sz w:val="17"/>
                <w:szCs w:val="17"/>
                <w:b w:val="1"/>
                <w:bCs w:val="1"/>
                <w:color w:val="003551"/>
              </w:rPr>
              <w:t>Year ended</w:t>
            </w:r>
          </w:p>
        </w:tc>
        <w:tc>
          <w:tcPr>
            <w:tcW w:w="1420" w:type="dxa"/>
            <w:vAlign w:val="bottom"/>
            <w:shd w:val="clear" w:color="auto" w:fill="77C483"/>
          </w:tcPr>
          <w:p>
            <w:pPr>
              <w:ind w:left="120"/>
              <w:spacing w:after="0"/>
              <w:rPr>
                <w:sz w:val="20"/>
                <w:szCs w:val="20"/>
                <w:color w:val="auto"/>
              </w:rPr>
            </w:pPr>
            <w:r>
              <w:rPr>
                <w:rFonts w:ascii="Arial" w:cs="Arial" w:eastAsia="Arial" w:hAnsi="Arial"/>
                <w:sz w:val="17"/>
                <w:szCs w:val="17"/>
                <w:b w:val="1"/>
                <w:bCs w:val="1"/>
                <w:color w:val="003551"/>
              </w:rPr>
              <w:t>Year ended</w:t>
            </w:r>
          </w:p>
        </w:tc>
        <w:tc>
          <w:tcPr>
            <w:tcW w:w="1180" w:type="dxa"/>
            <w:vAlign w:val="bottom"/>
          </w:tcPr>
          <w:p>
            <w:pPr>
              <w:spacing w:after="0"/>
              <w:rPr>
                <w:sz w:val="24"/>
                <w:szCs w:val="24"/>
                <w:color w:val="auto"/>
              </w:rPr>
            </w:pPr>
          </w:p>
        </w:tc>
      </w:tr>
      <w:tr>
        <w:trPr>
          <w:trHeight w:val="93"/>
        </w:trPr>
        <w:tc>
          <w:tcPr>
            <w:tcW w:w="1260" w:type="dxa"/>
            <w:vAlign w:val="bottom"/>
          </w:tcPr>
          <w:p>
            <w:pPr>
              <w:spacing w:after="0"/>
              <w:rPr>
                <w:sz w:val="8"/>
                <w:szCs w:val="8"/>
                <w:color w:val="auto"/>
              </w:rPr>
            </w:pPr>
          </w:p>
        </w:tc>
        <w:tc>
          <w:tcPr>
            <w:tcW w:w="5440" w:type="dxa"/>
            <w:vAlign w:val="bottom"/>
            <w:tcBorders>
              <w:bottom w:val="single" w:sz="8" w:color="77C483"/>
            </w:tcBorders>
            <w:shd w:val="clear" w:color="auto" w:fill="77C483"/>
          </w:tcPr>
          <w:p>
            <w:pPr>
              <w:spacing w:after="0"/>
              <w:rPr>
                <w:sz w:val="8"/>
                <w:szCs w:val="8"/>
                <w:color w:val="auto"/>
              </w:rPr>
            </w:pPr>
          </w:p>
        </w:tc>
        <w:tc>
          <w:tcPr>
            <w:tcW w:w="1380" w:type="dxa"/>
            <w:vAlign w:val="bottom"/>
            <w:tcBorders>
              <w:bottom w:val="single" w:sz="8" w:color="003551"/>
            </w:tcBorders>
            <w:shd w:val="clear" w:color="auto" w:fill="77C483"/>
          </w:tcPr>
          <w:p>
            <w:pPr>
              <w:spacing w:after="0"/>
              <w:rPr>
                <w:sz w:val="8"/>
                <w:szCs w:val="8"/>
                <w:color w:val="auto"/>
              </w:rPr>
            </w:pPr>
          </w:p>
        </w:tc>
        <w:tc>
          <w:tcPr>
            <w:tcW w:w="1420" w:type="dxa"/>
            <w:vAlign w:val="bottom"/>
            <w:tcBorders>
              <w:bottom w:val="single" w:sz="8" w:color="003551"/>
            </w:tcBorders>
            <w:shd w:val="clear" w:color="auto" w:fill="77C483"/>
          </w:tcPr>
          <w:p>
            <w:pPr>
              <w:spacing w:after="0"/>
              <w:rPr>
                <w:sz w:val="8"/>
                <w:szCs w:val="8"/>
                <w:color w:val="auto"/>
              </w:rPr>
            </w:pPr>
          </w:p>
        </w:tc>
        <w:tc>
          <w:tcPr>
            <w:tcW w:w="1180" w:type="dxa"/>
            <w:vAlign w:val="bottom"/>
          </w:tcPr>
          <w:p>
            <w:pPr>
              <w:spacing w:after="0"/>
              <w:rPr>
                <w:sz w:val="8"/>
                <w:szCs w:val="8"/>
                <w:color w:val="auto"/>
              </w:rPr>
            </w:pPr>
          </w:p>
        </w:tc>
      </w:tr>
      <w:tr>
        <w:trPr>
          <w:trHeight w:val="332"/>
        </w:trPr>
        <w:tc>
          <w:tcPr>
            <w:tcW w:w="1260" w:type="dxa"/>
            <w:vAlign w:val="bottom"/>
          </w:tcPr>
          <w:p>
            <w:pPr>
              <w:spacing w:after="0"/>
              <w:rPr>
                <w:sz w:val="24"/>
                <w:szCs w:val="24"/>
                <w:color w:val="auto"/>
              </w:rPr>
            </w:pPr>
          </w:p>
        </w:tc>
        <w:tc>
          <w:tcPr>
            <w:tcW w:w="5440" w:type="dxa"/>
            <w:vAlign w:val="bottom"/>
            <w:shd w:val="clear" w:color="auto" w:fill="77C483"/>
          </w:tcPr>
          <w:p>
            <w:pPr>
              <w:ind w:left="160"/>
              <w:spacing w:after="0"/>
              <w:rPr>
                <w:sz w:val="20"/>
                <w:szCs w:val="20"/>
                <w:color w:val="auto"/>
              </w:rPr>
            </w:pPr>
            <w:r>
              <w:rPr>
                <w:rFonts w:ascii="Arial" w:cs="Arial" w:eastAsia="Arial" w:hAnsi="Arial"/>
                <w:sz w:val="17"/>
                <w:szCs w:val="17"/>
                <w:b w:val="1"/>
                <w:bCs w:val="1"/>
                <w:color w:val="003551"/>
              </w:rPr>
              <w:t>US$ thousands</w:t>
            </w:r>
          </w:p>
        </w:tc>
        <w:tc>
          <w:tcPr>
            <w:tcW w:w="1380" w:type="dxa"/>
            <w:vAlign w:val="bottom"/>
            <w:shd w:val="clear" w:color="auto" w:fill="77C483"/>
          </w:tcPr>
          <w:p>
            <w:pPr>
              <w:ind w:left="120"/>
              <w:spacing w:after="0"/>
              <w:rPr>
                <w:sz w:val="20"/>
                <w:szCs w:val="20"/>
                <w:color w:val="auto"/>
              </w:rPr>
            </w:pPr>
            <w:r>
              <w:rPr>
                <w:rFonts w:ascii="Arial" w:cs="Arial" w:eastAsia="Arial" w:hAnsi="Arial"/>
                <w:sz w:val="17"/>
                <w:szCs w:val="17"/>
                <w:b w:val="1"/>
                <w:bCs w:val="1"/>
                <w:color w:val="003551"/>
              </w:rPr>
              <w:t>June 30, 2025</w:t>
            </w:r>
          </w:p>
        </w:tc>
        <w:tc>
          <w:tcPr>
            <w:tcW w:w="1420" w:type="dxa"/>
            <w:vAlign w:val="bottom"/>
            <w:shd w:val="clear" w:color="auto" w:fill="77C483"/>
          </w:tcPr>
          <w:p>
            <w:pPr>
              <w:ind w:left="120"/>
              <w:spacing w:after="0"/>
              <w:rPr>
                <w:sz w:val="20"/>
                <w:szCs w:val="20"/>
                <w:color w:val="auto"/>
              </w:rPr>
            </w:pPr>
            <w:r>
              <w:rPr>
                <w:rFonts w:ascii="Arial" w:cs="Arial" w:eastAsia="Arial" w:hAnsi="Arial"/>
                <w:sz w:val="17"/>
                <w:szCs w:val="17"/>
                <w:b w:val="1"/>
                <w:bCs w:val="1"/>
                <w:color w:val="003551"/>
              </w:rPr>
              <w:t>June 30, 2024</w:t>
            </w:r>
          </w:p>
        </w:tc>
        <w:tc>
          <w:tcPr>
            <w:tcW w:w="1180" w:type="dxa"/>
            <w:vAlign w:val="bottom"/>
          </w:tcPr>
          <w:p>
            <w:pPr>
              <w:spacing w:after="0"/>
              <w:rPr>
                <w:sz w:val="24"/>
                <w:szCs w:val="24"/>
                <w:color w:val="auto"/>
              </w:rPr>
            </w:pPr>
          </w:p>
        </w:tc>
      </w:tr>
      <w:tr>
        <w:trPr>
          <w:trHeight w:val="93"/>
        </w:trPr>
        <w:tc>
          <w:tcPr>
            <w:tcW w:w="1260" w:type="dxa"/>
            <w:vAlign w:val="bottom"/>
          </w:tcPr>
          <w:p>
            <w:pPr>
              <w:spacing w:after="0"/>
              <w:rPr>
                <w:sz w:val="8"/>
                <w:szCs w:val="8"/>
                <w:color w:val="auto"/>
              </w:rPr>
            </w:pPr>
          </w:p>
        </w:tc>
        <w:tc>
          <w:tcPr>
            <w:tcW w:w="5440" w:type="dxa"/>
            <w:vAlign w:val="bottom"/>
            <w:tcBorders>
              <w:bottom w:val="single" w:sz="8" w:color="003551"/>
            </w:tcBorders>
            <w:shd w:val="clear" w:color="auto" w:fill="77C483"/>
          </w:tcPr>
          <w:p>
            <w:pPr>
              <w:spacing w:after="0"/>
              <w:rPr>
                <w:sz w:val="8"/>
                <w:szCs w:val="8"/>
                <w:color w:val="auto"/>
              </w:rPr>
            </w:pPr>
          </w:p>
        </w:tc>
        <w:tc>
          <w:tcPr>
            <w:tcW w:w="1380" w:type="dxa"/>
            <w:vAlign w:val="bottom"/>
            <w:tcBorders>
              <w:bottom w:val="single" w:sz="8" w:color="003551"/>
            </w:tcBorders>
            <w:shd w:val="clear" w:color="auto" w:fill="77C483"/>
          </w:tcPr>
          <w:p>
            <w:pPr>
              <w:spacing w:after="0"/>
              <w:rPr>
                <w:sz w:val="8"/>
                <w:szCs w:val="8"/>
                <w:color w:val="auto"/>
              </w:rPr>
            </w:pPr>
          </w:p>
        </w:tc>
        <w:tc>
          <w:tcPr>
            <w:tcW w:w="1420" w:type="dxa"/>
            <w:vAlign w:val="bottom"/>
            <w:tcBorders>
              <w:bottom w:val="single" w:sz="8" w:color="003551"/>
            </w:tcBorders>
            <w:shd w:val="clear" w:color="auto" w:fill="77C483"/>
          </w:tcPr>
          <w:p>
            <w:pPr>
              <w:spacing w:after="0"/>
              <w:rPr>
                <w:sz w:val="8"/>
                <w:szCs w:val="8"/>
                <w:color w:val="auto"/>
              </w:rPr>
            </w:pPr>
          </w:p>
        </w:tc>
        <w:tc>
          <w:tcPr>
            <w:tcW w:w="1180" w:type="dxa"/>
            <w:vAlign w:val="bottom"/>
          </w:tcPr>
          <w:p>
            <w:pPr>
              <w:spacing w:after="0"/>
              <w:rPr>
                <w:sz w:val="8"/>
                <w:szCs w:val="8"/>
                <w:color w:val="auto"/>
              </w:rPr>
            </w:pPr>
          </w:p>
        </w:tc>
      </w:tr>
      <w:tr>
        <w:trPr>
          <w:trHeight w:val="332"/>
        </w:trPr>
        <w:tc>
          <w:tcPr>
            <w:tcW w:w="1260" w:type="dxa"/>
            <w:vAlign w:val="bottom"/>
          </w:tcPr>
          <w:p>
            <w:pPr>
              <w:spacing w:after="0"/>
              <w:rPr>
                <w:sz w:val="24"/>
                <w:szCs w:val="24"/>
                <w:color w:val="auto"/>
              </w:rPr>
            </w:pPr>
          </w:p>
        </w:tc>
        <w:tc>
          <w:tcPr>
            <w:tcW w:w="5440" w:type="dxa"/>
            <w:vAlign w:val="bottom"/>
          </w:tcPr>
          <w:p>
            <w:pPr>
              <w:ind w:left="160"/>
              <w:spacing w:after="0"/>
              <w:rPr>
                <w:sz w:val="20"/>
                <w:szCs w:val="20"/>
                <w:color w:val="auto"/>
              </w:rPr>
            </w:pPr>
            <w:r>
              <w:rPr>
                <w:rFonts w:ascii="Arial" w:cs="Arial" w:eastAsia="Arial" w:hAnsi="Arial"/>
                <w:sz w:val="17"/>
                <w:szCs w:val="17"/>
                <w:b w:val="1"/>
                <w:bCs w:val="1"/>
                <w:color w:val="003551"/>
              </w:rPr>
              <w:t>Net income (loss)</w:t>
            </w:r>
          </w:p>
        </w:tc>
        <w:tc>
          <w:tcPr>
            <w:tcW w:w="1380" w:type="dxa"/>
            <w:vAlign w:val="bottom"/>
          </w:tcPr>
          <w:p>
            <w:pPr>
              <w:ind w:left="120"/>
              <w:spacing w:after="0"/>
              <w:rPr>
                <w:sz w:val="20"/>
                <w:szCs w:val="20"/>
                <w:color w:val="auto"/>
              </w:rPr>
            </w:pPr>
            <w:r>
              <w:rPr>
                <w:rFonts w:ascii="Arial" w:cs="Arial" w:eastAsia="Arial" w:hAnsi="Arial"/>
                <w:sz w:val="17"/>
                <w:szCs w:val="17"/>
                <w:b w:val="1"/>
                <w:bCs w:val="1"/>
                <w:color w:val="003551"/>
              </w:rPr>
              <w:t>86,941</w:t>
            </w:r>
          </w:p>
        </w:tc>
        <w:tc>
          <w:tcPr>
            <w:tcW w:w="1420" w:type="dxa"/>
            <w:vAlign w:val="bottom"/>
          </w:tcPr>
          <w:p>
            <w:pPr>
              <w:ind w:left="120"/>
              <w:spacing w:after="0"/>
              <w:rPr>
                <w:sz w:val="20"/>
                <w:szCs w:val="20"/>
                <w:color w:val="auto"/>
              </w:rPr>
            </w:pPr>
            <w:r>
              <w:rPr>
                <w:rFonts w:ascii="Arial" w:cs="Arial" w:eastAsia="Arial" w:hAnsi="Arial"/>
                <w:sz w:val="17"/>
                <w:szCs w:val="17"/>
                <w:b w:val="1"/>
                <w:bCs w:val="1"/>
                <w:color w:val="003551"/>
              </w:rPr>
              <w:t>(28,920)</w:t>
            </w:r>
          </w:p>
        </w:tc>
        <w:tc>
          <w:tcPr>
            <w:tcW w:w="1180" w:type="dxa"/>
            <w:vAlign w:val="bottom"/>
          </w:tcPr>
          <w:p>
            <w:pPr>
              <w:spacing w:after="0"/>
              <w:rPr>
                <w:sz w:val="24"/>
                <w:szCs w:val="24"/>
                <w:color w:val="auto"/>
              </w:rPr>
            </w:pPr>
          </w:p>
        </w:tc>
      </w:tr>
      <w:tr>
        <w:trPr>
          <w:trHeight w:val="432"/>
        </w:trPr>
        <w:tc>
          <w:tcPr>
            <w:tcW w:w="1260" w:type="dxa"/>
            <w:vAlign w:val="bottom"/>
          </w:tcPr>
          <w:p>
            <w:pPr>
              <w:spacing w:after="0"/>
              <w:rPr>
                <w:sz w:val="24"/>
                <w:szCs w:val="24"/>
                <w:color w:val="auto"/>
              </w:rPr>
            </w:pPr>
          </w:p>
        </w:tc>
        <w:tc>
          <w:tcPr>
            <w:tcW w:w="5440" w:type="dxa"/>
            <w:vAlign w:val="bottom"/>
          </w:tcPr>
          <w:p>
            <w:pPr>
              <w:ind w:left="320"/>
              <w:spacing w:after="0"/>
              <w:rPr>
                <w:sz w:val="20"/>
                <w:szCs w:val="20"/>
                <w:color w:val="auto"/>
              </w:rPr>
            </w:pPr>
            <w:r>
              <w:rPr>
                <w:rFonts w:ascii="Arial" w:cs="Arial" w:eastAsia="Arial" w:hAnsi="Arial"/>
                <w:sz w:val="17"/>
                <w:szCs w:val="17"/>
                <w:b w:val="1"/>
                <w:bCs w:val="1"/>
                <w:color w:val="003551"/>
              </w:rPr>
              <w:t>Income tax (provision) benefit</w:t>
            </w:r>
          </w:p>
        </w:tc>
        <w:tc>
          <w:tcPr>
            <w:tcW w:w="1380" w:type="dxa"/>
            <w:vAlign w:val="bottom"/>
          </w:tcPr>
          <w:p>
            <w:pPr>
              <w:ind w:left="120"/>
              <w:spacing w:after="0"/>
              <w:rPr>
                <w:sz w:val="20"/>
                <w:szCs w:val="20"/>
                <w:color w:val="auto"/>
              </w:rPr>
            </w:pPr>
            <w:r>
              <w:rPr>
                <w:rFonts w:ascii="Arial" w:cs="Arial" w:eastAsia="Arial" w:hAnsi="Arial"/>
                <w:sz w:val="17"/>
                <w:szCs w:val="17"/>
                <w:color w:val="003551"/>
              </w:rPr>
              <w:t>6,560</w:t>
            </w:r>
          </w:p>
        </w:tc>
        <w:tc>
          <w:tcPr>
            <w:tcW w:w="1420" w:type="dxa"/>
            <w:vAlign w:val="bottom"/>
          </w:tcPr>
          <w:p>
            <w:pPr>
              <w:ind w:left="120"/>
              <w:spacing w:after="0"/>
              <w:rPr>
                <w:sz w:val="20"/>
                <w:szCs w:val="20"/>
                <w:color w:val="auto"/>
              </w:rPr>
            </w:pPr>
            <w:r>
              <w:rPr>
                <w:rFonts w:ascii="Arial" w:cs="Arial" w:eastAsia="Arial" w:hAnsi="Arial"/>
                <w:sz w:val="17"/>
                <w:szCs w:val="17"/>
                <w:color w:val="003551"/>
              </w:rPr>
              <w:t>3,453</w:t>
            </w:r>
          </w:p>
        </w:tc>
        <w:tc>
          <w:tcPr>
            <w:tcW w:w="1180" w:type="dxa"/>
            <w:vAlign w:val="bottom"/>
          </w:tcPr>
          <w:p>
            <w:pPr>
              <w:spacing w:after="0"/>
              <w:rPr>
                <w:sz w:val="24"/>
                <w:szCs w:val="24"/>
                <w:color w:val="auto"/>
              </w:rPr>
            </w:pPr>
          </w:p>
        </w:tc>
      </w:tr>
      <w:tr>
        <w:trPr>
          <w:trHeight w:val="432"/>
        </w:trPr>
        <w:tc>
          <w:tcPr>
            <w:tcW w:w="1260" w:type="dxa"/>
            <w:vAlign w:val="bottom"/>
          </w:tcPr>
          <w:p>
            <w:pPr>
              <w:spacing w:after="0"/>
              <w:rPr>
                <w:sz w:val="24"/>
                <w:szCs w:val="24"/>
                <w:color w:val="auto"/>
              </w:rPr>
            </w:pPr>
          </w:p>
        </w:tc>
        <w:tc>
          <w:tcPr>
            <w:tcW w:w="5440" w:type="dxa"/>
            <w:vAlign w:val="bottom"/>
          </w:tcPr>
          <w:p>
            <w:pPr>
              <w:ind w:left="160"/>
              <w:spacing w:after="0"/>
              <w:rPr>
                <w:sz w:val="20"/>
                <w:szCs w:val="20"/>
                <w:color w:val="auto"/>
              </w:rPr>
            </w:pPr>
            <w:r>
              <w:rPr>
                <w:rFonts w:ascii="Arial" w:cs="Arial" w:eastAsia="Arial" w:hAnsi="Arial"/>
                <w:sz w:val="17"/>
                <w:szCs w:val="17"/>
                <w:b w:val="1"/>
                <w:bCs w:val="1"/>
                <w:color w:val="003551"/>
              </w:rPr>
              <w:t>Income (loss) before tax</w:t>
            </w:r>
          </w:p>
        </w:tc>
        <w:tc>
          <w:tcPr>
            <w:tcW w:w="1380" w:type="dxa"/>
            <w:vAlign w:val="bottom"/>
          </w:tcPr>
          <w:p>
            <w:pPr>
              <w:ind w:left="120"/>
              <w:spacing w:after="0"/>
              <w:rPr>
                <w:sz w:val="20"/>
                <w:szCs w:val="20"/>
                <w:color w:val="auto"/>
              </w:rPr>
            </w:pPr>
            <w:r>
              <w:rPr>
                <w:rFonts w:ascii="Arial" w:cs="Arial" w:eastAsia="Arial" w:hAnsi="Arial"/>
                <w:sz w:val="17"/>
                <w:szCs w:val="17"/>
                <w:b w:val="1"/>
                <w:bCs w:val="1"/>
                <w:color w:val="003551"/>
              </w:rPr>
              <w:t>93,501</w:t>
            </w:r>
          </w:p>
        </w:tc>
        <w:tc>
          <w:tcPr>
            <w:tcW w:w="1420" w:type="dxa"/>
            <w:vAlign w:val="bottom"/>
          </w:tcPr>
          <w:p>
            <w:pPr>
              <w:ind w:left="120"/>
              <w:spacing w:after="0"/>
              <w:rPr>
                <w:sz w:val="20"/>
                <w:szCs w:val="20"/>
                <w:color w:val="auto"/>
              </w:rPr>
            </w:pPr>
            <w:r>
              <w:rPr>
                <w:rFonts w:ascii="Arial" w:cs="Arial" w:eastAsia="Arial" w:hAnsi="Arial"/>
                <w:sz w:val="17"/>
                <w:szCs w:val="17"/>
                <w:b w:val="1"/>
                <w:bCs w:val="1"/>
                <w:color w:val="003551"/>
              </w:rPr>
              <w:t>(25,467)</w:t>
            </w:r>
          </w:p>
        </w:tc>
        <w:tc>
          <w:tcPr>
            <w:tcW w:w="1180" w:type="dxa"/>
            <w:vAlign w:val="bottom"/>
          </w:tcPr>
          <w:p>
            <w:pPr>
              <w:spacing w:after="0"/>
              <w:rPr>
                <w:sz w:val="24"/>
                <w:szCs w:val="24"/>
                <w:color w:val="auto"/>
              </w:rPr>
            </w:pPr>
          </w:p>
        </w:tc>
      </w:tr>
      <w:tr>
        <w:trPr>
          <w:trHeight w:val="432"/>
        </w:trPr>
        <w:tc>
          <w:tcPr>
            <w:tcW w:w="1260" w:type="dxa"/>
            <w:vAlign w:val="bottom"/>
          </w:tcPr>
          <w:p>
            <w:pPr>
              <w:spacing w:after="0"/>
              <w:rPr>
                <w:sz w:val="24"/>
                <w:szCs w:val="24"/>
                <w:color w:val="auto"/>
              </w:rPr>
            </w:pPr>
          </w:p>
        </w:tc>
        <w:tc>
          <w:tcPr>
            <w:tcW w:w="5440" w:type="dxa"/>
            <w:vAlign w:val="bottom"/>
          </w:tcPr>
          <w:p>
            <w:pPr>
              <w:ind w:left="320"/>
              <w:spacing w:after="0"/>
              <w:rPr>
                <w:sz w:val="20"/>
                <w:szCs w:val="20"/>
                <w:color w:val="auto"/>
              </w:rPr>
            </w:pPr>
            <w:r>
              <w:rPr>
                <w:rFonts w:ascii="Arial" w:cs="Arial" w:eastAsia="Arial" w:hAnsi="Arial"/>
                <w:sz w:val="17"/>
                <w:szCs w:val="17"/>
                <w:b w:val="1"/>
                <w:bCs w:val="1"/>
                <w:color w:val="003551"/>
              </w:rPr>
              <w:t>Finance expense</w:t>
            </w:r>
          </w:p>
        </w:tc>
        <w:tc>
          <w:tcPr>
            <w:tcW w:w="1380" w:type="dxa"/>
            <w:vAlign w:val="bottom"/>
          </w:tcPr>
          <w:p>
            <w:pPr>
              <w:ind w:left="120"/>
              <w:spacing w:after="0"/>
              <w:rPr>
                <w:sz w:val="20"/>
                <w:szCs w:val="20"/>
                <w:color w:val="auto"/>
              </w:rPr>
            </w:pPr>
            <w:r>
              <w:rPr>
                <w:rFonts w:ascii="Arial" w:cs="Arial" w:eastAsia="Arial" w:hAnsi="Arial"/>
                <w:sz w:val="17"/>
                <w:szCs w:val="17"/>
                <w:color w:val="003551"/>
              </w:rPr>
              <w:t>11,045</w:t>
            </w:r>
          </w:p>
        </w:tc>
        <w:tc>
          <w:tcPr>
            <w:tcW w:w="1420" w:type="dxa"/>
            <w:vAlign w:val="bottom"/>
          </w:tcPr>
          <w:p>
            <w:pPr>
              <w:ind w:left="120"/>
              <w:spacing w:after="0"/>
              <w:rPr>
                <w:sz w:val="20"/>
                <w:szCs w:val="20"/>
                <w:color w:val="auto"/>
              </w:rPr>
            </w:pPr>
            <w:r>
              <w:rPr>
                <w:rFonts w:ascii="Arial" w:cs="Arial" w:eastAsia="Arial" w:hAnsi="Arial"/>
                <w:sz w:val="17"/>
                <w:szCs w:val="17"/>
                <w:color w:val="003551"/>
              </w:rPr>
              <w:t>98</w:t>
            </w:r>
          </w:p>
        </w:tc>
        <w:tc>
          <w:tcPr>
            <w:tcW w:w="1180" w:type="dxa"/>
            <w:vAlign w:val="bottom"/>
          </w:tcPr>
          <w:p>
            <w:pPr>
              <w:spacing w:after="0"/>
              <w:rPr>
                <w:sz w:val="24"/>
                <w:szCs w:val="24"/>
                <w:color w:val="auto"/>
              </w:rPr>
            </w:pPr>
          </w:p>
        </w:tc>
      </w:tr>
      <w:tr>
        <w:trPr>
          <w:trHeight w:val="432"/>
        </w:trPr>
        <w:tc>
          <w:tcPr>
            <w:tcW w:w="1260" w:type="dxa"/>
            <w:vAlign w:val="bottom"/>
          </w:tcPr>
          <w:p>
            <w:pPr>
              <w:spacing w:after="0"/>
              <w:rPr>
                <w:sz w:val="24"/>
                <w:szCs w:val="24"/>
                <w:color w:val="auto"/>
              </w:rPr>
            </w:pPr>
          </w:p>
        </w:tc>
        <w:tc>
          <w:tcPr>
            <w:tcW w:w="5440" w:type="dxa"/>
            <w:vAlign w:val="bottom"/>
          </w:tcPr>
          <w:p>
            <w:pPr>
              <w:ind w:left="320"/>
              <w:spacing w:after="0"/>
              <w:rPr>
                <w:sz w:val="20"/>
                <w:szCs w:val="20"/>
                <w:color w:val="auto"/>
              </w:rPr>
            </w:pPr>
            <w:r>
              <w:rPr>
                <w:rFonts w:ascii="Arial" w:cs="Arial" w:eastAsia="Arial" w:hAnsi="Arial"/>
                <w:sz w:val="17"/>
                <w:szCs w:val="17"/>
                <w:b w:val="1"/>
                <w:bCs w:val="1"/>
                <w:color w:val="003551"/>
              </w:rPr>
              <w:t>Interest income</w:t>
            </w:r>
          </w:p>
        </w:tc>
        <w:tc>
          <w:tcPr>
            <w:tcW w:w="1380" w:type="dxa"/>
            <w:vAlign w:val="bottom"/>
          </w:tcPr>
          <w:p>
            <w:pPr>
              <w:ind w:left="120"/>
              <w:spacing w:after="0"/>
              <w:rPr>
                <w:sz w:val="20"/>
                <w:szCs w:val="20"/>
                <w:color w:val="auto"/>
              </w:rPr>
            </w:pPr>
            <w:r>
              <w:rPr>
                <w:rFonts w:ascii="Arial" w:cs="Arial" w:eastAsia="Arial" w:hAnsi="Arial"/>
                <w:sz w:val="17"/>
                <w:szCs w:val="17"/>
                <w:color w:val="003551"/>
              </w:rPr>
              <w:t>(7,504)</w:t>
            </w:r>
          </w:p>
        </w:tc>
        <w:tc>
          <w:tcPr>
            <w:tcW w:w="1420" w:type="dxa"/>
            <w:vAlign w:val="bottom"/>
          </w:tcPr>
          <w:p>
            <w:pPr>
              <w:ind w:left="120"/>
              <w:spacing w:after="0"/>
              <w:rPr>
                <w:sz w:val="20"/>
                <w:szCs w:val="20"/>
                <w:color w:val="auto"/>
              </w:rPr>
            </w:pPr>
            <w:r>
              <w:rPr>
                <w:rFonts w:ascii="Arial" w:cs="Arial" w:eastAsia="Arial" w:hAnsi="Arial"/>
                <w:sz w:val="17"/>
                <w:szCs w:val="17"/>
                <w:color w:val="003551"/>
              </w:rPr>
              <w:t>(5,831)</w:t>
            </w:r>
          </w:p>
        </w:tc>
        <w:tc>
          <w:tcPr>
            <w:tcW w:w="1180" w:type="dxa"/>
            <w:vAlign w:val="bottom"/>
          </w:tcPr>
          <w:p>
            <w:pPr>
              <w:spacing w:after="0"/>
              <w:rPr>
                <w:sz w:val="24"/>
                <w:szCs w:val="24"/>
                <w:color w:val="auto"/>
              </w:rPr>
            </w:pPr>
          </w:p>
        </w:tc>
      </w:tr>
      <w:tr>
        <w:trPr>
          <w:trHeight w:val="432"/>
        </w:trPr>
        <w:tc>
          <w:tcPr>
            <w:tcW w:w="1260" w:type="dxa"/>
            <w:vAlign w:val="bottom"/>
          </w:tcPr>
          <w:p>
            <w:pPr>
              <w:spacing w:after="0"/>
              <w:rPr>
                <w:sz w:val="24"/>
                <w:szCs w:val="24"/>
                <w:color w:val="auto"/>
              </w:rPr>
            </w:pPr>
          </w:p>
        </w:tc>
        <w:tc>
          <w:tcPr>
            <w:tcW w:w="5440" w:type="dxa"/>
            <w:vAlign w:val="bottom"/>
          </w:tcPr>
          <w:p>
            <w:pPr>
              <w:ind w:left="320"/>
              <w:spacing w:after="0"/>
              <w:rPr>
                <w:sz w:val="20"/>
                <w:szCs w:val="20"/>
                <w:color w:val="auto"/>
              </w:rPr>
            </w:pPr>
            <w:r>
              <w:rPr>
                <w:rFonts w:ascii="Arial" w:cs="Arial" w:eastAsia="Arial" w:hAnsi="Arial"/>
                <w:sz w:val="17"/>
                <w:szCs w:val="17"/>
                <w:b w:val="1"/>
                <w:bCs w:val="1"/>
                <w:color w:val="003551"/>
              </w:rPr>
              <w:t>Depreciation and amortization</w:t>
            </w:r>
          </w:p>
        </w:tc>
        <w:tc>
          <w:tcPr>
            <w:tcW w:w="1380" w:type="dxa"/>
            <w:vAlign w:val="bottom"/>
          </w:tcPr>
          <w:p>
            <w:pPr>
              <w:ind w:left="120"/>
              <w:spacing w:after="0"/>
              <w:rPr>
                <w:sz w:val="20"/>
                <w:szCs w:val="20"/>
                <w:color w:val="auto"/>
              </w:rPr>
            </w:pPr>
            <w:r>
              <w:rPr>
                <w:rFonts w:ascii="Arial" w:cs="Arial" w:eastAsia="Arial" w:hAnsi="Arial"/>
                <w:sz w:val="17"/>
                <w:szCs w:val="17"/>
                <w:color w:val="003551"/>
              </w:rPr>
              <w:t>181,136</w:t>
            </w:r>
          </w:p>
        </w:tc>
        <w:tc>
          <w:tcPr>
            <w:tcW w:w="1420" w:type="dxa"/>
            <w:vAlign w:val="bottom"/>
          </w:tcPr>
          <w:p>
            <w:pPr>
              <w:ind w:left="120"/>
              <w:spacing w:after="0"/>
              <w:rPr>
                <w:sz w:val="20"/>
                <w:szCs w:val="20"/>
                <w:color w:val="auto"/>
              </w:rPr>
            </w:pPr>
            <w:r>
              <w:rPr>
                <w:rFonts w:ascii="Arial" w:cs="Arial" w:eastAsia="Arial" w:hAnsi="Arial"/>
                <w:sz w:val="17"/>
                <w:szCs w:val="17"/>
                <w:color w:val="003551"/>
              </w:rPr>
              <w:t>50,470</w:t>
            </w:r>
          </w:p>
        </w:tc>
        <w:tc>
          <w:tcPr>
            <w:tcW w:w="1180" w:type="dxa"/>
            <w:vAlign w:val="bottom"/>
          </w:tcPr>
          <w:p>
            <w:pPr>
              <w:spacing w:after="0"/>
              <w:rPr>
                <w:sz w:val="24"/>
                <w:szCs w:val="24"/>
                <w:color w:val="auto"/>
              </w:rPr>
            </w:pPr>
          </w:p>
        </w:tc>
      </w:tr>
      <w:tr>
        <w:trPr>
          <w:trHeight w:val="432"/>
        </w:trPr>
        <w:tc>
          <w:tcPr>
            <w:tcW w:w="1260" w:type="dxa"/>
            <w:vAlign w:val="bottom"/>
          </w:tcPr>
          <w:p>
            <w:pPr>
              <w:spacing w:after="0"/>
              <w:rPr>
                <w:sz w:val="24"/>
                <w:szCs w:val="24"/>
                <w:color w:val="auto"/>
              </w:rPr>
            </w:pPr>
          </w:p>
        </w:tc>
        <w:tc>
          <w:tcPr>
            <w:tcW w:w="5440" w:type="dxa"/>
            <w:vAlign w:val="bottom"/>
          </w:tcPr>
          <w:p>
            <w:pPr>
              <w:ind w:left="160"/>
              <w:spacing w:after="0"/>
              <w:rPr>
                <w:sz w:val="20"/>
                <w:szCs w:val="20"/>
                <w:color w:val="auto"/>
              </w:rPr>
            </w:pPr>
            <w:r>
              <w:rPr>
                <w:rFonts w:ascii="Arial" w:cs="Arial" w:eastAsia="Arial" w:hAnsi="Arial"/>
                <w:sz w:val="17"/>
                <w:szCs w:val="17"/>
                <w:b w:val="1"/>
                <w:bCs w:val="1"/>
                <w:color w:val="003551"/>
              </w:rPr>
              <w:t>EBITDA</w:t>
            </w:r>
          </w:p>
        </w:tc>
        <w:tc>
          <w:tcPr>
            <w:tcW w:w="1380" w:type="dxa"/>
            <w:vAlign w:val="bottom"/>
          </w:tcPr>
          <w:p>
            <w:pPr>
              <w:ind w:left="120"/>
              <w:spacing w:after="0"/>
              <w:rPr>
                <w:sz w:val="20"/>
                <w:szCs w:val="20"/>
                <w:color w:val="auto"/>
              </w:rPr>
            </w:pPr>
            <w:r>
              <w:rPr>
                <w:rFonts w:ascii="Arial" w:cs="Arial" w:eastAsia="Arial" w:hAnsi="Arial"/>
                <w:sz w:val="17"/>
                <w:szCs w:val="17"/>
                <w:b w:val="1"/>
                <w:bCs w:val="1"/>
                <w:color w:val="003551"/>
              </w:rPr>
              <w:t>278,178</w:t>
            </w:r>
          </w:p>
        </w:tc>
        <w:tc>
          <w:tcPr>
            <w:tcW w:w="1420" w:type="dxa"/>
            <w:vAlign w:val="bottom"/>
          </w:tcPr>
          <w:p>
            <w:pPr>
              <w:ind w:left="120"/>
              <w:spacing w:after="0"/>
              <w:rPr>
                <w:sz w:val="20"/>
                <w:szCs w:val="20"/>
                <w:color w:val="auto"/>
              </w:rPr>
            </w:pPr>
            <w:r>
              <w:rPr>
                <w:rFonts w:ascii="Arial" w:cs="Arial" w:eastAsia="Arial" w:hAnsi="Arial"/>
                <w:sz w:val="17"/>
                <w:szCs w:val="17"/>
                <w:b w:val="1"/>
                <w:bCs w:val="1"/>
                <w:color w:val="003551"/>
              </w:rPr>
              <w:t>19,270</w:t>
            </w:r>
          </w:p>
        </w:tc>
        <w:tc>
          <w:tcPr>
            <w:tcW w:w="1180" w:type="dxa"/>
            <w:vAlign w:val="bottom"/>
          </w:tcPr>
          <w:p>
            <w:pPr>
              <w:spacing w:after="0"/>
              <w:rPr>
                <w:sz w:val="24"/>
                <w:szCs w:val="24"/>
                <w:color w:val="auto"/>
              </w:rPr>
            </w:pPr>
          </w:p>
        </w:tc>
      </w:tr>
      <w:tr>
        <w:trPr>
          <w:trHeight w:val="389"/>
        </w:trPr>
        <w:tc>
          <w:tcPr>
            <w:tcW w:w="1260" w:type="dxa"/>
            <w:vAlign w:val="bottom"/>
          </w:tcPr>
          <w:p>
            <w:pPr>
              <w:spacing w:after="0"/>
              <w:rPr>
                <w:sz w:val="24"/>
                <w:szCs w:val="24"/>
                <w:color w:val="auto"/>
              </w:rPr>
            </w:pPr>
          </w:p>
        </w:tc>
        <w:tc>
          <w:tcPr>
            <w:tcW w:w="5440" w:type="dxa"/>
            <w:vAlign w:val="bottom"/>
          </w:tcPr>
          <w:p>
            <w:pPr>
              <w:ind w:left="160"/>
              <w:spacing w:after="0"/>
              <w:rPr>
                <w:sz w:val="20"/>
                <w:szCs w:val="20"/>
                <w:color w:val="auto"/>
              </w:rPr>
            </w:pPr>
            <w:r>
              <w:rPr>
                <w:rFonts w:ascii="Arial" w:cs="Arial" w:eastAsia="Arial" w:hAnsi="Arial"/>
                <w:sz w:val="17"/>
                <w:szCs w:val="17"/>
                <w:b w:val="1"/>
                <w:bCs w:val="1"/>
                <w:color w:val="003551"/>
              </w:rPr>
              <w:t>Reconciliation to consolidated statement of operations</w:t>
            </w: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0"/>
        </w:trPr>
        <w:tc>
          <w:tcPr>
            <w:tcW w:w="1260" w:type="dxa"/>
            <w:vAlign w:val="bottom"/>
          </w:tcPr>
          <w:p>
            <w:pPr>
              <w:spacing w:after="0"/>
              <w:rPr>
                <w:sz w:val="20"/>
                <w:szCs w:val="20"/>
                <w:color w:val="auto"/>
              </w:rPr>
            </w:pPr>
          </w:p>
        </w:tc>
        <w:tc>
          <w:tcPr>
            <w:tcW w:w="5440" w:type="dxa"/>
            <w:vAlign w:val="bottom"/>
          </w:tcPr>
          <w:p>
            <w:pPr>
              <w:ind w:left="320"/>
              <w:spacing w:after="0"/>
              <w:rPr>
                <w:sz w:val="20"/>
                <w:szCs w:val="20"/>
                <w:color w:val="auto"/>
              </w:rPr>
            </w:pPr>
            <w:r>
              <w:rPr>
                <w:rFonts w:ascii="Arial" w:cs="Arial" w:eastAsia="Arial" w:hAnsi="Arial"/>
                <w:sz w:val="17"/>
                <w:szCs w:val="17"/>
                <w:b w:val="1"/>
                <w:bCs w:val="1"/>
                <w:color w:val="003551"/>
              </w:rPr>
              <w:t>Add/(deduct):</w:t>
            </w:r>
          </w:p>
        </w:tc>
        <w:tc>
          <w:tcPr>
            <w:tcW w:w="1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32"/>
        </w:trPr>
        <w:tc>
          <w:tcPr>
            <w:tcW w:w="1260" w:type="dxa"/>
            <w:vAlign w:val="bottom"/>
          </w:tcPr>
          <w:p>
            <w:pPr>
              <w:spacing w:after="0"/>
              <w:rPr>
                <w:sz w:val="24"/>
                <w:szCs w:val="24"/>
                <w:color w:val="auto"/>
              </w:rPr>
            </w:pPr>
          </w:p>
        </w:tc>
        <w:tc>
          <w:tcPr>
            <w:tcW w:w="5440" w:type="dxa"/>
            <w:vAlign w:val="bottom"/>
          </w:tcPr>
          <w:p>
            <w:pPr>
              <w:ind w:left="320"/>
              <w:spacing w:after="0"/>
              <w:rPr>
                <w:sz w:val="20"/>
                <w:szCs w:val="20"/>
                <w:color w:val="auto"/>
              </w:rPr>
            </w:pPr>
            <w:r>
              <w:rPr>
                <w:rFonts w:ascii="Arial" w:cs="Arial" w:eastAsia="Arial" w:hAnsi="Arial"/>
                <w:sz w:val="17"/>
                <w:szCs w:val="17"/>
                <w:b w:val="1"/>
                <w:bCs w:val="1"/>
                <w:color w:val="003551"/>
              </w:rPr>
              <w:t>Unrealized (gain) loss on financial instruments</w:t>
            </w:r>
          </w:p>
        </w:tc>
        <w:tc>
          <w:tcPr>
            <w:tcW w:w="1380" w:type="dxa"/>
            <w:vAlign w:val="bottom"/>
          </w:tcPr>
          <w:p>
            <w:pPr>
              <w:ind w:left="120"/>
              <w:spacing w:after="0"/>
              <w:rPr>
                <w:sz w:val="20"/>
                <w:szCs w:val="20"/>
                <w:color w:val="auto"/>
              </w:rPr>
            </w:pPr>
            <w:r>
              <w:rPr>
                <w:rFonts w:ascii="Arial" w:cs="Arial" w:eastAsia="Arial" w:hAnsi="Arial"/>
                <w:sz w:val="17"/>
                <w:szCs w:val="17"/>
                <w:color w:val="003551"/>
              </w:rPr>
              <w:t>(77,518)</w:t>
            </w:r>
          </w:p>
        </w:tc>
        <w:tc>
          <w:tcPr>
            <w:tcW w:w="1420" w:type="dxa"/>
            <w:vAlign w:val="bottom"/>
          </w:tcPr>
          <w:p>
            <w:pPr>
              <w:ind w:left="120"/>
              <w:spacing w:after="0"/>
              <w:rPr>
                <w:sz w:val="20"/>
                <w:szCs w:val="20"/>
                <w:color w:val="auto"/>
              </w:rPr>
            </w:pPr>
            <w:r>
              <w:rPr>
                <w:rFonts w:ascii="Arial" w:cs="Arial" w:eastAsia="Arial" w:hAnsi="Arial"/>
                <w:sz w:val="17"/>
                <w:szCs w:val="17"/>
                <w:color w:val="003551"/>
              </w:rPr>
              <w:t>3,448</w:t>
            </w:r>
          </w:p>
        </w:tc>
        <w:tc>
          <w:tcPr>
            <w:tcW w:w="1180" w:type="dxa"/>
            <w:vAlign w:val="bottom"/>
          </w:tcPr>
          <w:p>
            <w:pPr>
              <w:spacing w:after="0"/>
              <w:rPr>
                <w:sz w:val="24"/>
                <w:szCs w:val="24"/>
                <w:color w:val="auto"/>
              </w:rPr>
            </w:pPr>
          </w:p>
        </w:tc>
      </w:tr>
      <w:tr>
        <w:trPr>
          <w:trHeight w:val="432"/>
        </w:trPr>
        <w:tc>
          <w:tcPr>
            <w:tcW w:w="1260" w:type="dxa"/>
            <w:vAlign w:val="bottom"/>
          </w:tcPr>
          <w:p>
            <w:pPr>
              <w:spacing w:after="0"/>
              <w:rPr>
                <w:sz w:val="24"/>
                <w:szCs w:val="24"/>
                <w:color w:val="auto"/>
              </w:rPr>
            </w:pPr>
          </w:p>
        </w:tc>
        <w:tc>
          <w:tcPr>
            <w:tcW w:w="5440" w:type="dxa"/>
            <w:vAlign w:val="bottom"/>
          </w:tcPr>
          <w:p>
            <w:pPr>
              <w:ind w:left="320"/>
              <w:spacing w:after="0"/>
              <w:rPr>
                <w:sz w:val="20"/>
                <w:szCs w:val="20"/>
                <w:color w:val="auto"/>
              </w:rPr>
            </w:pPr>
            <w:r>
              <w:rPr>
                <w:rFonts w:ascii="Arial" w:cs="Arial" w:eastAsia="Arial" w:hAnsi="Arial"/>
                <w:sz w:val="17"/>
                <w:szCs w:val="17"/>
                <w:b w:val="1"/>
                <w:bCs w:val="1"/>
                <w:color w:val="003551"/>
              </w:rPr>
              <w:t>Stock-based payment expense - $75 exercise price options</w:t>
            </w:r>
          </w:p>
        </w:tc>
        <w:tc>
          <w:tcPr>
            <w:tcW w:w="1380" w:type="dxa"/>
            <w:vAlign w:val="bottom"/>
          </w:tcPr>
          <w:p>
            <w:pPr>
              <w:ind w:left="120"/>
              <w:spacing w:after="0"/>
              <w:rPr>
                <w:sz w:val="20"/>
                <w:szCs w:val="20"/>
                <w:color w:val="auto"/>
              </w:rPr>
            </w:pPr>
            <w:r>
              <w:rPr>
                <w:rFonts w:ascii="Arial" w:cs="Arial" w:eastAsia="Arial" w:hAnsi="Arial"/>
                <w:sz w:val="17"/>
                <w:szCs w:val="17"/>
                <w:color w:val="003551"/>
              </w:rPr>
              <w:t>11,814</w:t>
            </w:r>
          </w:p>
        </w:tc>
        <w:tc>
          <w:tcPr>
            <w:tcW w:w="1420" w:type="dxa"/>
            <w:vAlign w:val="bottom"/>
          </w:tcPr>
          <w:p>
            <w:pPr>
              <w:ind w:left="120"/>
              <w:spacing w:after="0"/>
              <w:rPr>
                <w:sz w:val="20"/>
                <w:szCs w:val="20"/>
                <w:color w:val="auto"/>
              </w:rPr>
            </w:pPr>
            <w:r>
              <w:rPr>
                <w:rFonts w:ascii="Arial" w:cs="Arial" w:eastAsia="Arial" w:hAnsi="Arial"/>
                <w:sz w:val="17"/>
                <w:szCs w:val="17"/>
                <w:color w:val="003551"/>
              </w:rPr>
              <w:t>11,810</w:t>
            </w:r>
          </w:p>
        </w:tc>
        <w:tc>
          <w:tcPr>
            <w:tcW w:w="1180" w:type="dxa"/>
            <w:vAlign w:val="bottom"/>
          </w:tcPr>
          <w:p>
            <w:pPr>
              <w:spacing w:after="0"/>
              <w:rPr>
                <w:sz w:val="24"/>
                <w:szCs w:val="24"/>
                <w:color w:val="auto"/>
              </w:rPr>
            </w:pPr>
          </w:p>
        </w:tc>
      </w:tr>
      <w:tr>
        <w:trPr>
          <w:trHeight w:val="432"/>
        </w:trPr>
        <w:tc>
          <w:tcPr>
            <w:tcW w:w="1260" w:type="dxa"/>
            <w:vAlign w:val="bottom"/>
          </w:tcPr>
          <w:p>
            <w:pPr>
              <w:spacing w:after="0"/>
              <w:rPr>
                <w:sz w:val="24"/>
                <w:szCs w:val="24"/>
                <w:color w:val="auto"/>
              </w:rPr>
            </w:pPr>
          </w:p>
        </w:tc>
        <w:tc>
          <w:tcPr>
            <w:tcW w:w="5440" w:type="dxa"/>
            <w:vAlign w:val="bottom"/>
          </w:tcPr>
          <w:p>
            <w:pPr>
              <w:ind w:left="320"/>
              <w:spacing w:after="0"/>
              <w:rPr>
                <w:sz w:val="20"/>
                <w:szCs w:val="20"/>
                <w:color w:val="auto"/>
              </w:rPr>
            </w:pPr>
            <w:r>
              <w:rPr>
                <w:rFonts w:ascii="Arial" w:cs="Arial" w:eastAsia="Arial" w:hAnsi="Arial"/>
                <w:sz w:val="17"/>
                <w:szCs w:val="17"/>
                <w:b w:val="1"/>
                <w:bCs w:val="1"/>
                <w:color w:val="003551"/>
              </w:rPr>
              <w:t>Stock-based payment expense</w:t>
            </w:r>
          </w:p>
        </w:tc>
        <w:tc>
          <w:tcPr>
            <w:tcW w:w="1380" w:type="dxa"/>
            <w:vAlign w:val="bottom"/>
          </w:tcPr>
          <w:p>
            <w:pPr>
              <w:ind w:left="120"/>
              <w:spacing w:after="0"/>
              <w:rPr>
                <w:sz w:val="20"/>
                <w:szCs w:val="20"/>
                <w:color w:val="auto"/>
              </w:rPr>
            </w:pPr>
            <w:r>
              <w:rPr>
                <w:rFonts w:ascii="Arial" w:cs="Arial" w:eastAsia="Arial" w:hAnsi="Arial"/>
                <w:sz w:val="17"/>
                <w:szCs w:val="17"/>
                <w:color w:val="003551"/>
              </w:rPr>
              <w:t>30,828</w:t>
            </w:r>
          </w:p>
        </w:tc>
        <w:tc>
          <w:tcPr>
            <w:tcW w:w="1420" w:type="dxa"/>
            <w:vAlign w:val="bottom"/>
          </w:tcPr>
          <w:p>
            <w:pPr>
              <w:ind w:left="120"/>
              <w:spacing w:after="0"/>
              <w:rPr>
                <w:sz w:val="20"/>
                <w:szCs w:val="20"/>
                <w:color w:val="auto"/>
              </w:rPr>
            </w:pPr>
            <w:r>
              <w:rPr>
                <w:rFonts w:ascii="Arial" w:cs="Arial" w:eastAsia="Arial" w:hAnsi="Arial"/>
                <w:sz w:val="17"/>
                <w:szCs w:val="17"/>
                <w:color w:val="003551"/>
              </w:rPr>
              <w:t>11,826</w:t>
            </w:r>
          </w:p>
        </w:tc>
        <w:tc>
          <w:tcPr>
            <w:tcW w:w="1180" w:type="dxa"/>
            <w:vAlign w:val="bottom"/>
          </w:tcPr>
          <w:p>
            <w:pPr>
              <w:spacing w:after="0"/>
              <w:rPr>
                <w:sz w:val="24"/>
                <w:szCs w:val="24"/>
                <w:color w:val="auto"/>
              </w:rPr>
            </w:pPr>
          </w:p>
        </w:tc>
      </w:tr>
      <w:tr>
        <w:trPr>
          <w:trHeight w:val="432"/>
        </w:trPr>
        <w:tc>
          <w:tcPr>
            <w:tcW w:w="1260" w:type="dxa"/>
            <w:vAlign w:val="bottom"/>
          </w:tcPr>
          <w:p>
            <w:pPr>
              <w:spacing w:after="0"/>
              <w:rPr>
                <w:sz w:val="24"/>
                <w:szCs w:val="24"/>
                <w:color w:val="auto"/>
              </w:rPr>
            </w:pPr>
          </w:p>
        </w:tc>
        <w:tc>
          <w:tcPr>
            <w:tcW w:w="5440" w:type="dxa"/>
            <w:vAlign w:val="bottom"/>
          </w:tcPr>
          <w:p>
            <w:pPr>
              <w:ind w:left="320"/>
              <w:spacing w:after="0"/>
              <w:rPr>
                <w:sz w:val="20"/>
                <w:szCs w:val="20"/>
                <w:color w:val="auto"/>
              </w:rPr>
            </w:pPr>
            <w:r>
              <w:rPr>
                <w:rFonts w:ascii="Arial" w:cs="Arial" w:eastAsia="Arial" w:hAnsi="Arial"/>
                <w:sz w:val="17"/>
                <w:szCs w:val="17"/>
                <w:b w:val="1"/>
                <w:bCs w:val="1"/>
                <w:color w:val="003551"/>
              </w:rPr>
              <w:t>Impairment of assets</w:t>
            </w:r>
          </w:p>
        </w:tc>
        <w:tc>
          <w:tcPr>
            <w:tcW w:w="1380" w:type="dxa"/>
            <w:vAlign w:val="bottom"/>
          </w:tcPr>
          <w:p>
            <w:pPr>
              <w:ind w:left="120"/>
              <w:spacing w:after="0"/>
              <w:rPr>
                <w:sz w:val="20"/>
                <w:szCs w:val="20"/>
                <w:color w:val="auto"/>
              </w:rPr>
            </w:pPr>
            <w:r>
              <w:rPr>
                <w:rFonts w:ascii="Arial" w:cs="Arial" w:eastAsia="Arial" w:hAnsi="Arial"/>
                <w:sz w:val="17"/>
                <w:szCs w:val="17"/>
                <w:color w:val="003551"/>
              </w:rPr>
              <w:t>7,223</w:t>
            </w:r>
          </w:p>
        </w:tc>
        <w:tc>
          <w:tcPr>
            <w:tcW w:w="1420" w:type="dxa"/>
            <w:vAlign w:val="bottom"/>
          </w:tcPr>
          <w:p>
            <w:pPr>
              <w:ind w:left="120"/>
              <w:spacing w:after="0"/>
              <w:rPr>
                <w:sz w:val="20"/>
                <w:szCs w:val="20"/>
                <w:color w:val="auto"/>
              </w:rPr>
            </w:pPr>
            <w:r>
              <w:rPr>
                <w:rFonts w:ascii="Arial" w:cs="Arial" w:eastAsia="Arial" w:hAnsi="Arial"/>
                <w:sz w:val="17"/>
                <w:szCs w:val="17"/>
                <w:color w:val="003551"/>
              </w:rPr>
              <w:t>-</w:t>
            </w:r>
          </w:p>
        </w:tc>
        <w:tc>
          <w:tcPr>
            <w:tcW w:w="1180" w:type="dxa"/>
            <w:vAlign w:val="bottom"/>
          </w:tcPr>
          <w:p>
            <w:pPr>
              <w:spacing w:after="0"/>
              <w:rPr>
                <w:sz w:val="24"/>
                <w:szCs w:val="24"/>
                <w:color w:val="auto"/>
              </w:rPr>
            </w:pPr>
          </w:p>
        </w:tc>
      </w:tr>
      <w:tr>
        <w:trPr>
          <w:trHeight w:val="432"/>
        </w:trPr>
        <w:tc>
          <w:tcPr>
            <w:tcW w:w="1260" w:type="dxa"/>
            <w:vAlign w:val="bottom"/>
          </w:tcPr>
          <w:p>
            <w:pPr>
              <w:spacing w:after="0"/>
              <w:rPr>
                <w:sz w:val="24"/>
                <w:szCs w:val="24"/>
                <w:color w:val="auto"/>
              </w:rPr>
            </w:pPr>
          </w:p>
        </w:tc>
        <w:tc>
          <w:tcPr>
            <w:tcW w:w="5440" w:type="dxa"/>
            <w:vAlign w:val="bottom"/>
          </w:tcPr>
          <w:p>
            <w:pPr>
              <w:ind w:left="320"/>
              <w:spacing w:after="0"/>
              <w:rPr>
                <w:sz w:val="20"/>
                <w:szCs w:val="20"/>
                <w:color w:val="auto"/>
              </w:rPr>
            </w:pPr>
            <w:r>
              <w:rPr>
                <w:rFonts w:ascii="Arial" w:cs="Arial" w:eastAsia="Arial" w:hAnsi="Arial"/>
                <w:sz w:val="17"/>
                <w:szCs w:val="17"/>
                <w:b w:val="1"/>
                <w:bCs w:val="1"/>
                <w:color w:val="003551"/>
              </w:rPr>
              <w:t>(Gain) loss on disposal of property, plant and equipment</w:t>
            </w:r>
          </w:p>
        </w:tc>
        <w:tc>
          <w:tcPr>
            <w:tcW w:w="1380" w:type="dxa"/>
            <w:vAlign w:val="bottom"/>
          </w:tcPr>
          <w:p>
            <w:pPr>
              <w:ind w:left="120"/>
              <w:spacing w:after="0"/>
              <w:rPr>
                <w:sz w:val="20"/>
                <w:szCs w:val="20"/>
                <w:color w:val="auto"/>
              </w:rPr>
            </w:pPr>
            <w:r>
              <w:rPr>
                <w:rFonts w:ascii="Arial" w:cs="Arial" w:eastAsia="Arial" w:hAnsi="Arial"/>
                <w:sz w:val="17"/>
                <w:szCs w:val="17"/>
                <w:color w:val="003551"/>
              </w:rPr>
              <w:t>(4,002)</w:t>
            </w:r>
          </w:p>
        </w:tc>
        <w:tc>
          <w:tcPr>
            <w:tcW w:w="1420" w:type="dxa"/>
            <w:vAlign w:val="bottom"/>
          </w:tcPr>
          <w:p>
            <w:pPr>
              <w:ind w:left="120"/>
              <w:spacing w:after="0"/>
              <w:rPr>
                <w:sz w:val="20"/>
                <w:szCs w:val="20"/>
                <w:color w:val="auto"/>
              </w:rPr>
            </w:pPr>
            <w:r>
              <w:rPr>
                <w:rFonts w:ascii="Arial" w:cs="Arial" w:eastAsia="Arial" w:hAnsi="Arial"/>
                <w:sz w:val="17"/>
                <w:szCs w:val="17"/>
                <w:color w:val="003551"/>
              </w:rPr>
              <w:t>(43)</w:t>
            </w:r>
          </w:p>
        </w:tc>
        <w:tc>
          <w:tcPr>
            <w:tcW w:w="1180" w:type="dxa"/>
            <w:vAlign w:val="bottom"/>
          </w:tcPr>
          <w:p>
            <w:pPr>
              <w:spacing w:after="0"/>
              <w:rPr>
                <w:sz w:val="24"/>
                <w:szCs w:val="24"/>
                <w:color w:val="auto"/>
              </w:rPr>
            </w:pPr>
          </w:p>
        </w:tc>
      </w:tr>
      <w:tr>
        <w:trPr>
          <w:trHeight w:val="432"/>
        </w:trPr>
        <w:tc>
          <w:tcPr>
            <w:tcW w:w="1260" w:type="dxa"/>
            <w:vAlign w:val="bottom"/>
          </w:tcPr>
          <w:p>
            <w:pPr>
              <w:spacing w:after="0"/>
              <w:rPr>
                <w:sz w:val="24"/>
                <w:szCs w:val="24"/>
                <w:color w:val="auto"/>
              </w:rPr>
            </w:pPr>
          </w:p>
        </w:tc>
        <w:tc>
          <w:tcPr>
            <w:tcW w:w="5440" w:type="dxa"/>
            <w:vAlign w:val="bottom"/>
          </w:tcPr>
          <w:p>
            <w:pPr>
              <w:ind w:left="320"/>
              <w:spacing w:after="0"/>
              <w:rPr>
                <w:sz w:val="20"/>
                <w:szCs w:val="20"/>
                <w:color w:val="auto"/>
              </w:rPr>
            </w:pPr>
            <w:r>
              <w:rPr>
                <w:rFonts w:ascii="Arial" w:cs="Arial" w:eastAsia="Arial" w:hAnsi="Arial"/>
                <w:sz w:val="17"/>
                <w:szCs w:val="17"/>
                <w:b w:val="1"/>
                <w:bCs w:val="1"/>
                <w:color w:val="003551"/>
              </w:rPr>
              <w:t>(Increase) decrease in fair value of assets held for sale</w:t>
            </w:r>
          </w:p>
        </w:tc>
        <w:tc>
          <w:tcPr>
            <w:tcW w:w="1380" w:type="dxa"/>
            <w:vAlign w:val="bottom"/>
          </w:tcPr>
          <w:p>
            <w:pPr>
              <w:ind w:left="120"/>
              <w:spacing w:after="0"/>
              <w:rPr>
                <w:sz w:val="20"/>
                <w:szCs w:val="20"/>
                <w:color w:val="auto"/>
              </w:rPr>
            </w:pPr>
            <w:r>
              <w:rPr>
                <w:rFonts w:ascii="Arial" w:cs="Arial" w:eastAsia="Arial" w:hAnsi="Arial"/>
                <w:sz w:val="17"/>
                <w:szCs w:val="17"/>
                <w:color w:val="003551"/>
              </w:rPr>
              <w:t>2,160</w:t>
            </w:r>
          </w:p>
        </w:tc>
        <w:tc>
          <w:tcPr>
            <w:tcW w:w="1420" w:type="dxa"/>
            <w:vAlign w:val="bottom"/>
          </w:tcPr>
          <w:p>
            <w:pPr>
              <w:ind w:left="120"/>
              <w:spacing w:after="0"/>
              <w:rPr>
                <w:sz w:val="20"/>
                <w:szCs w:val="20"/>
                <w:color w:val="auto"/>
              </w:rPr>
            </w:pPr>
            <w:r>
              <w:rPr>
                <w:rFonts w:ascii="Arial" w:cs="Arial" w:eastAsia="Arial" w:hAnsi="Arial"/>
                <w:sz w:val="17"/>
                <w:szCs w:val="17"/>
                <w:color w:val="003551"/>
              </w:rPr>
              <w:t>-</w:t>
            </w:r>
          </w:p>
        </w:tc>
        <w:tc>
          <w:tcPr>
            <w:tcW w:w="1180" w:type="dxa"/>
            <w:vAlign w:val="bottom"/>
          </w:tcPr>
          <w:p>
            <w:pPr>
              <w:spacing w:after="0"/>
              <w:rPr>
                <w:sz w:val="24"/>
                <w:szCs w:val="24"/>
                <w:color w:val="auto"/>
              </w:rPr>
            </w:pPr>
          </w:p>
        </w:tc>
      </w:tr>
      <w:tr>
        <w:trPr>
          <w:trHeight w:val="432"/>
        </w:trPr>
        <w:tc>
          <w:tcPr>
            <w:tcW w:w="1260" w:type="dxa"/>
            <w:vAlign w:val="bottom"/>
          </w:tcPr>
          <w:p>
            <w:pPr>
              <w:spacing w:after="0"/>
              <w:rPr>
                <w:sz w:val="24"/>
                <w:szCs w:val="24"/>
                <w:color w:val="auto"/>
              </w:rPr>
            </w:pPr>
          </w:p>
        </w:tc>
        <w:tc>
          <w:tcPr>
            <w:tcW w:w="5440" w:type="dxa"/>
            <w:vAlign w:val="bottom"/>
          </w:tcPr>
          <w:p>
            <w:pPr>
              <w:ind w:left="320"/>
              <w:spacing w:after="0"/>
              <w:rPr>
                <w:sz w:val="20"/>
                <w:szCs w:val="20"/>
                <w:color w:val="auto"/>
              </w:rPr>
            </w:pPr>
            <w:r>
              <w:rPr>
                <w:rFonts w:ascii="Arial" w:cs="Arial" w:eastAsia="Arial" w:hAnsi="Arial"/>
                <w:sz w:val="17"/>
                <w:szCs w:val="17"/>
                <w:b w:val="1"/>
                <w:bCs w:val="1"/>
                <w:color w:val="003551"/>
              </w:rPr>
              <w:t>Gain on partial extinguishment of financial liabilities</w:t>
            </w:r>
          </w:p>
        </w:tc>
        <w:tc>
          <w:tcPr>
            <w:tcW w:w="1380" w:type="dxa"/>
            <w:vAlign w:val="bottom"/>
          </w:tcPr>
          <w:p>
            <w:pPr>
              <w:ind w:left="120"/>
              <w:spacing w:after="0"/>
              <w:rPr>
                <w:sz w:val="20"/>
                <w:szCs w:val="20"/>
                <w:color w:val="auto"/>
              </w:rPr>
            </w:pPr>
            <w:r>
              <w:rPr>
                <w:rFonts w:ascii="Arial" w:cs="Arial" w:eastAsia="Arial" w:hAnsi="Arial"/>
                <w:sz w:val="17"/>
                <w:szCs w:val="17"/>
                <w:color w:val="003551"/>
              </w:rPr>
              <w:t>(9,093)</w:t>
            </w:r>
          </w:p>
        </w:tc>
        <w:tc>
          <w:tcPr>
            <w:tcW w:w="1420" w:type="dxa"/>
            <w:vAlign w:val="bottom"/>
          </w:tcPr>
          <w:p>
            <w:pPr>
              <w:ind w:left="120"/>
              <w:spacing w:after="0"/>
              <w:rPr>
                <w:sz w:val="20"/>
                <w:szCs w:val="20"/>
                <w:color w:val="auto"/>
              </w:rPr>
            </w:pPr>
            <w:r>
              <w:rPr>
                <w:rFonts w:ascii="Arial" w:cs="Arial" w:eastAsia="Arial" w:hAnsi="Arial"/>
                <w:sz w:val="17"/>
                <w:szCs w:val="17"/>
                <w:color w:val="003551"/>
              </w:rPr>
              <w:t>-</w:t>
            </w:r>
          </w:p>
        </w:tc>
        <w:tc>
          <w:tcPr>
            <w:tcW w:w="1180" w:type="dxa"/>
            <w:vAlign w:val="bottom"/>
          </w:tcPr>
          <w:p>
            <w:pPr>
              <w:spacing w:after="0"/>
              <w:rPr>
                <w:sz w:val="24"/>
                <w:szCs w:val="24"/>
                <w:color w:val="auto"/>
              </w:rPr>
            </w:pPr>
          </w:p>
        </w:tc>
      </w:tr>
      <w:tr>
        <w:trPr>
          <w:trHeight w:val="432"/>
        </w:trPr>
        <w:tc>
          <w:tcPr>
            <w:tcW w:w="1260" w:type="dxa"/>
            <w:vAlign w:val="bottom"/>
          </w:tcPr>
          <w:p>
            <w:pPr>
              <w:spacing w:after="0"/>
              <w:rPr>
                <w:sz w:val="24"/>
                <w:szCs w:val="24"/>
                <w:color w:val="auto"/>
              </w:rPr>
            </w:pPr>
          </w:p>
        </w:tc>
        <w:tc>
          <w:tcPr>
            <w:tcW w:w="5440" w:type="dxa"/>
            <w:vAlign w:val="bottom"/>
          </w:tcPr>
          <w:p>
            <w:pPr>
              <w:ind w:left="320"/>
              <w:spacing w:after="0"/>
              <w:rPr>
                <w:sz w:val="20"/>
                <w:szCs w:val="20"/>
                <w:color w:val="auto"/>
              </w:rPr>
            </w:pPr>
            <w:r>
              <w:rPr>
                <w:rFonts w:ascii="Arial" w:cs="Arial" w:eastAsia="Arial" w:hAnsi="Arial"/>
                <w:sz w:val="17"/>
                <w:szCs w:val="17"/>
                <w:b w:val="1"/>
                <w:bCs w:val="1"/>
                <w:color w:val="003551"/>
              </w:rPr>
              <w:t>Foreign exchange (gain) loss</w:t>
            </w:r>
          </w:p>
        </w:tc>
        <w:tc>
          <w:tcPr>
            <w:tcW w:w="1380" w:type="dxa"/>
            <w:vAlign w:val="bottom"/>
          </w:tcPr>
          <w:p>
            <w:pPr>
              <w:ind w:left="120"/>
              <w:spacing w:after="0"/>
              <w:rPr>
                <w:sz w:val="20"/>
                <w:szCs w:val="20"/>
                <w:color w:val="auto"/>
              </w:rPr>
            </w:pPr>
            <w:r>
              <w:rPr>
                <w:rFonts w:ascii="Arial" w:cs="Arial" w:eastAsia="Arial" w:hAnsi="Arial"/>
                <w:sz w:val="17"/>
                <w:szCs w:val="17"/>
                <w:color w:val="003551"/>
              </w:rPr>
              <w:t>1,339</w:t>
            </w:r>
          </w:p>
        </w:tc>
        <w:tc>
          <w:tcPr>
            <w:tcW w:w="1420" w:type="dxa"/>
            <w:vAlign w:val="bottom"/>
          </w:tcPr>
          <w:p>
            <w:pPr>
              <w:ind w:left="120"/>
              <w:spacing w:after="0"/>
              <w:rPr>
                <w:sz w:val="20"/>
                <w:szCs w:val="20"/>
                <w:color w:val="auto"/>
              </w:rPr>
            </w:pPr>
            <w:r>
              <w:rPr>
                <w:rFonts w:ascii="Arial" w:cs="Arial" w:eastAsia="Arial" w:hAnsi="Arial"/>
                <w:sz w:val="17"/>
                <w:szCs w:val="17"/>
                <w:color w:val="003551"/>
              </w:rPr>
              <w:t>4,747</w:t>
            </w:r>
          </w:p>
        </w:tc>
        <w:tc>
          <w:tcPr>
            <w:tcW w:w="1180" w:type="dxa"/>
            <w:vAlign w:val="bottom"/>
          </w:tcPr>
          <w:p>
            <w:pPr>
              <w:spacing w:after="0"/>
              <w:rPr>
                <w:sz w:val="24"/>
                <w:szCs w:val="24"/>
                <w:color w:val="auto"/>
              </w:rPr>
            </w:pPr>
          </w:p>
        </w:tc>
      </w:tr>
      <w:tr>
        <w:trPr>
          <w:trHeight w:val="432"/>
        </w:trPr>
        <w:tc>
          <w:tcPr>
            <w:tcW w:w="1260" w:type="dxa"/>
            <w:vAlign w:val="bottom"/>
          </w:tcPr>
          <w:p>
            <w:pPr>
              <w:spacing w:after="0"/>
              <w:rPr>
                <w:sz w:val="24"/>
                <w:szCs w:val="24"/>
                <w:color w:val="auto"/>
              </w:rPr>
            </w:pPr>
          </w:p>
        </w:tc>
        <w:tc>
          <w:tcPr>
            <w:tcW w:w="5440" w:type="dxa"/>
            <w:vAlign w:val="bottom"/>
          </w:tcPr>
          <w:p>
            <w:pPr>
              <w:ind w:left="320"/>
              <w:spacing w:after="0"/>
              <w:rPr>
                <w:sz w:val="20"/>
                <w:szCs w:val="20"/>
                <w:color w:val="auto"/>
              </w:rPr>
            </w:pPr>
            <w:r>
              <w:rPr>
                <w:rFonts w:ascii="Arial" w:cs="Arial" w:eastAsia="Arial" w:hAnsi="Arial"/>
                <w:sz w:val="17"/>
                <w:szCs w:val="17"/>
                <w:b w:val="1"/>
                <w:bCs w:val="1"/>
                <w:color w:val="003551"/>
              </w:rPr>
              <w:t>Other one-off income</w:t>
            </w:r>
          </w:p>
        </w:tc>
        <w:tc>
          <w:tcPr>
            <w:tcW w:w="1380" w:type="dxa"/>
            <w:vAlign w:val="bottom"/>
          </w:tcPr>
          <w:p>
            <w:pPr>
              <w:ind w:left="120"/>
              <w:spacing w:after="0"/>
              <w:rPr>
                <w:sz w:val="20"/>
                <w:szCs w:val="20"/>
                <w:color w:val="auto"/>
              </w:rPr>
            </w:pPr>
            <w:r>
              <w:rPr>
                <w:rFonts w:ascii="Arial" w:cs="Arial" w:eastAsia="Arial" w:hAnsi="Arial"/>
                <w:sz w:val="17"/>
                <w:szCs w:val="17"/>
                <w:color w:val="003551"/>
              </w:rPr>
              <w:t>(1,699)</w:t>
            </w:r>
          </w:p>
        </w:tc>
        <w:tc>
          <w:tcPr>
            <w:tcW w:w="1420" w:type="dxa"/>
            <w:vAlign w:val="bottom"/>
          </w:tcPr>
          <w:p>
            <w:pPr>
              <w:ind w:left="120"/>
              <w:spacing w:after="0"/>
              <w:rPr>
                <w:sz w:val="20"/>
                <w:szCs w:val="20"/>
                <w:color w:val="auto"/>
              </w:rPr>
            </w:pPr>
            <w:r>
              <w:rPr>
                <w:rFonts w:ascii="Arial" w:cs="Arial" w:eastAsia="Arial" w:hAnsi="Arial"/>
                <w:sz w:val="17"/>
                <w:szCs w:val="17"/>
                <w:color w:val="003551"/>
              </w:rPr>
              <w:t>(108)</w:t>
            </w:r>
          </w:p>
        </w:tc>
        <w:tc>
          <w:tcPr>
            <w:tcW w:w="1180" w:type="dxa"/>
            <w:vAlign w:val="bottom"/>
          </w:tcPr>
          <w:p>
            <w:pPr>
              <w:spacing w:after="0"/>
              <w:rPr>
                <w:sz w:val="24"/>
                <w:szCs w:val="24"/>
                <w:color w:val="auto"/>
              </w:rPr>
            </w:pPr>
          </w:p>
        </w:tc>
      </w:tr>
      <w:tr>
        <w:trPr>
          <w:trHeight w:val="432"/>
        </w:trPr>
        <w:tc>
          <w:tcPr>
            <w:tcW w:w="1260" w:type="dxa"/>
            <w:vAlign w:val="bottom"/>
          </w:tcPr>
          <w:p>
            <w:pPr>
              <w:spacing w:after="0"/>
              <w:rPr>
                <w:sz w:val="24"/>
                <w:szCs w:val="24"/>
                <w:color w:val="auto"/>
              </w:rPr>
            </w:pPr>
          </w:p>
        </w:tc>
        <w:tc>
          <w:tcPr>
            <w:tcW w:w="5440" w:type="dxa"/>
            <w:vAlign w:val="bottom"/>
          </w:tcPr>
          <w:p>
            <w:pPr>
              <w:ind w:left="320"/>
              <w:spacing w:after="0"/>
              <w:rPr>
                <w:sz w:val="20"/>
                <w:szCs w:val="20"/>
                <w:color w:val="auto"/>
              </w:rPr>
            </w:pPr>
            <w:r>
              <w:rPr>
                <w:rFonts w:ascii="Arial" w:cs="Arial" w:eastAsia="Arial" w:hAnsi="Arial"/>
                <w:sz w:val="17"/>
                <w:szCs w:val="17"/>
                <w:b w:val="1"/>
                <w:bCs w:val="1"/>
                <w:color w:val="003551"/>
              </w:rPr>
              <w:t>Other one-off expense items</w:t>
            </w:r>
          </w:p>
        </w:tc>
        <w:tc>
          <w:tcPr>
            <w:tcW w:w="1380" w:type="dxa"/>
            <w:vAlign w:val="bottom"/>
          </w:tcPr>
          <w:p>
            <w:pPr>
              <w:ind w:left="120"/>
              <w:spacing w:after="0"/>
              <w:rPr>
                <w:sz w:val="20"/>
                <w:szCs w:val="20"/>
                <w:color w:val="auto"/>
              </w:rPr>
            </w:pPr>
            <w:r>
              <w:rPr>
                <w:rFonts w:ascii="Arial" w:cs="Arial" w:eastAsia="Arial" w:hAnsi="Arial"/>
                <w:sz w:val="17"/>
                <w:szCs w:val="17"/>
                <w:color w:val="003551"/>
              </w:rPr>
              <w:t>30,443</w:t>
            </w:r>
          </w:p>
        </w:tc>
        <w:tc>
          <w:tcPr>
            <w:tcW w:w="1420" w:type="dxa"/>
            <w:vAlign w:val="bottom"/>
          </w:tcPr>
          <w:p>
            <w:pPr>
              <w:ind w:left="120"/>
              <w:spacing w:after="0"/>
              <w:rPr>
                <w:sz w:val="20"/>
                <w:szCs w:val="20"/>
                <w:color w:val="auto"/>
              </w:rPr>
            </w:pPr>
            <w:r>
              <w:rPr>
                <w:rFonts w:ascii="Arial" w:cs="Arial" w:eastAsia="Arial" w:hAnsi="Arial"/>
                <w:sz w:val="17"/>
                <w:szCs w:val="17"/>
                <w:color w:val="003551"/>
              </w:rPr>
              <w:t>3,476</w:t>
            </w:r>
          </w:p>
        </w:tc>
        <w:tc>
          <w:tcPr>
            <w:tcW w:w="1180" w:type="dxa"/>
            <w:vAlign w:val="bottom"/>
          </w:tcPr>
          <w:p>
            <w:pPr>
              <w:spacing w:after="0"/>
              <w:rPr>
                <w:sz w:val="24"/>
                <w:szCs w:val="24"/>
                <w:color w:val="auto"/>
              </w:rPr>
            </w:pPr>
          </w:p>
        </w:tc>
      </w:tr>
      <w:tr>
        <w:trPr>
          <w:trHeight w:val="432"/>
        </w:trPr>
        <w:tc>
          <w:tcPr>
            <w:tcW w:w="1260" w:type="dxa"/>
            <w:vAlign w:val="bottom"/>
          </w:tcPr>
          <w:p>
            <w:pPr>
              <w:spacing w:after="0"/>
              <w:rPr>
                <w:sz w:val="24"/>
                <w:szCs w:val="24"/>
                <w:color w:val="auto"/>
              </w:rPr>
            </w:pPr>
          </w:p>
        </w:tc>
        <w:tc>
          <w:tcPr>
            <w:tcW w:w="5440" w:type="dxa"/>
            <w:vAlign w:val="bottom"/>
          </w:tcPr>
          <w:p>
            <w:pPr>
              <w:ind w:left="160"/>
              <w:spacing w:after="0"/>
              <w:rPr>
                <w:sz w:val="20"/>
                <w:szCs w:val="20"/>
                <w:color w:val="auto"/>
              </w:rPr>
            </w:pPr>
            <w:r>
              <w:rPr>
                <w:rFonts w:ascii="Arial" w:cs="Arial" w:eastAsia="Arial" w:hAnsi="Arial"/>
                <w:sz w:val="17"/>
                <w:szCs w:val="17"/>
                <w:b w:val="1"/>
                <w:bCs w:val="1"/>
                <w:color w:val="003551"/>
              </w:rPr>
              <w:t>Adjusted EBITDA Margin</w:t>
            </w:r>
          </w:p>
        </w:tc>
        <w:tc>
          <w:tcPr>
            <w:tcW w:w="1380" w:type="dxa"/>
            <w:vAlign w:val="bottom"/>
          </w:tcPr>
          <w:p>
            <w:pPr>
              <w:ind w:left="120"/>
              <w:spacing w:after="0"/>
              <w:rPr>
                <w:sz w:val="20"/>
                <w:szCs w:val="20"/>
                <w:color w:val="auto"/>
              </w:rPr>
            </w:pPr>
            <w:r>
              <w:rPr>
                <w:rFonts w:ascii="Arial" w:cs="Arial" w:eastAsia="Arial" w:hAnsi="Arial"/>
                <w:sz w:val="17"/>
                <w:szCs w:val="17"/>
                <w:b w:val="1"/>
                <w:bCs w:val="1"/>
                <w:color w:val="003551"/>
              </w:rPr>
              <w:t>54%</w:t>
            </w:r>
          </w:p>
        </w:tc>
        <w:tc>
          <w:tcPr>
            <w:tcW w:w="1420" w:type="dxa"/>
            <w:vAlign w:val="bottom"/>
          </w:tcPr>
          <w:p>
            <w:pPr>
              <w:ind w:left="120"/>
              <w:spacing w:after="0"/>
              <w:rPr>
                <w:sz w:val="20"/>
                <w:szCs w:val="20"/>
                <w:color w:val="auto"/>
              </w:rPr>
            </w:pPr>
            <w:r>
              <w:rPr>
                <w:rFonts w:ascii="Arial" w:cs="Arial" w:eastAsia="Arial" w:hAnsi="Arial"/>
                <w:sz w:val="17"/>
                <w:szCs w:val="17"/>
                <w:b w:val="1"/>
                <w:bCs w:val="1"/>
                <w:color w:val="003551"/>
              </w:rPr>
              <w:t>29%</w:t>
            </w:r>
          </w:p>
        </w:tc>
        <w:tc>
          <w:tcPr>
            <w:tcW w:w="1180" w:type="dxa"/>
            <w:vAlign w:val="bottom"/>
          </w:tcPr>
          <w:p>
            <w:pPr>
              <w:spacing w:after="0"/>
              <w:rPr>
                <w:sz w:val="24"/>
                <w:szCs w:val="24"/>
                <w:color w:val="auto"/>
              </w:rPr>
            </w:pPr>
          </w:p>
        </w:tc>
      </w:tr>
      <w:tr>
        <w:trPr>
          <w:trHeight w:val="432"/>
        </w:trPr>
        <w:tc>
          <w:tcPr>
            <w:tcW w:w="1260" w:type="dxa"/>
            <w:vAlign w:val="bottom"/>
          </w:tcPr>
          <w:p>
            <w:pPr>
              <w:spacing w:after="0"/>
              <w:rPr>
                <w:sz w:val="24"/>
                <w:szCs w:val="24"/>
                <w:color w:val="auto"/>
              </w:rPr>
            </w:pPr>
          </w:p>
        </w:tc>
        <w:tc>
          <w:tcPr>
            <w:tcW w:w="5440" w:type="dxa"/>
            <w:vAlign w:val="bottom"/>
          </w:tcPr>
          <w:p>
            <w:pPr>
              <w:ind w:left="160"/>
              <w:spacing w:after="0"/>
              <w:rPr>
                <w:sz w:val="20"/>
                <w:szCs w:val="20"/>
                <w:color w:val="auto"/>
              </w:rPr>
            </w:pPr>
            <w:r>
              <w:rPr>
                <w:rFonts w:ascii="Arial" w:cs="Arial" w:eastAsia="Arial" w:hAnsi="Arial"/>
                <w:sz w:val="17"/>
                <w:szCs w:val="17"/>
                <w:b w:val="1"/>
                <w:bCs w:val="1"/>
                <w:color w:val="003551"/>
              </w:rPr>
              <w:t>Adjusted EBITDA</w:t>
            </w:r>
          </w:p>
        </w:tc>
        <w:tc>
          <w:tcPr>
            <w:tcW w:w="1380" w:type="dxa"/>
            <w:vAlign w:val="bottom"/>
          </w:tcPr>
          <w:p>
            <w:pPr>
              <w:ind w:left="120"/>
              <w:spacing w:after="0"/>
              <w:rPr>
                <w:sz w:val="20"/>
                <w:szCs w:val="20"/>
                <w:color w:val="auto"/>
              </w:rPr>
            </w:pPr>
            <w:r>
              <w:rPr>
                <w:rFonts w:ascii="Arial" w:cs="Arial" w:eastAsia="Arial" w:hAnsi="Arial"/>
                <w:sz w:val="17"/>
                <w:szCs w:val="17"/>
                <w:b w:val="1"/>
                <w:bCs w:val="1"/>
                <w:color w:val="003551"/>
              </w:rPr>
              <w:t>269,672</w:t>
            </w:r>
          </w:p>
        </w:tc>
        <w:tc>
          <w:tcPr>
            <w:tcW w:w="1420" w:type="dxa"/>
            <w:vAlign w:val="bottom"/>
          </w:tcPr>
          <w:p>
            <w:pPr>
              <w:ind w:left="120"/>
              <w:spacing w:after="0"/>
              <w:rPr>
                <w:sz w:val="20"/>
                <w:szCs w:val="20"/>
                <w:color w:val="auto"/>
              </w:rPr>
            </w:pPr>
            <w:r>
              <w:rPr>
                <w:rFonts w:ascii="Arial" w:cs="Arial" w:eastAsia="Arial" w:hAnsi="Arial"/>
                <w:sz w:val="17"/>
                <w:szCs w:val="17"/>
                <w:b w:val="1"/>
                <w:bCs w:val="1"/>
                <w:color w:val="003551"/>
              </w:rPr>
              <w:t>54,427</w:t>
            </w:r>
          </w:p>
        </w:tc>
        <w:tc>
          <w:tcPr>
            <w:tcW w:w="1180" w:type="dxa"/>
            <w:vAlign w:val="bottom"/>
          </w:tcPr>
          <w:p>
            <w:pPr>
              <w:spacing w:after="0"/>
              <w:rPr>
                <w:sz w:val="24"/>
                <w:szCs w:val="24"/>
                <w:color w:val="auto"/>
              </w:rPr>
            </w:pPr>
          </w:p>
        </w:tc>
      </w:tr>
      <w:tr>
        <w:trPr>
          <w:trHeight w:val="283"/>
        </w:trPr>
        <w:tc>
          <w:tcPr>
            <w:tcW w:w="1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798195</wp:posOffset>
            </wp:positionH>
            <wp:positionV relativeFrom="paragraph">
              <wp:posOffset>-5472430</wp:posOffset>
            </wp:positionV>
            <wp:extent cx="524002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240020" cy="8255"/>
                    </a:xfrm>
                    <a:prstGeom prst="rect">
                      <a:avLst/>
                    </a:prstGeom>
                    <a:noFill/>
                  </pic:spPr>
                </pic:pic>
              </a:graphicData>
            </a:graphic>
          </wp:anchor>
        </w:drawing>
        <w:drawing>
          <wp:anchor simplePos="0" relativeHeight="251657728" behindDoc="1" locked="0" layoutInCell="0" allowOverlap="1">
            <wp:simplePos x="0" y="0"/>
            <wp:positionH relativeFrom="column">
              <wp:posOffset>798195</wp:posOffset>
            </wp:positionH>
            <wp:positionV relativeFrom="paragraph">
              <wp:posOffset>-5198110</wp:posOffset>
            </wp:positionV>
            <wp:extent cx="524002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240020" cy="8255"/>
                    </a:xfrm>
                    <a:prstGeom prst="rect">
                      <a:avLst/>
                    </a:prstGeom>
                    <a:noFill/>
                  </pic:spPr>
                </pic:pic>
              </a:graphicData>
            </a:graphic>
          </wp:anchor>
        </w:drawing>
        <w:drawing>
          <wp:anchor simplePos="0" relativeHeight="251657728" behindDoc="1" locked="0" layoutInCell="0" allowOverlap="1">
            <wp:simplePos x="0" y="0"/>
            <wp:positionH relativeFrom="column">
              <wp:posOffset>798195</wp:posOffset>
            </wp:positionH>
            <wp:positionV relativeFrom="paragraph">
              <wp:posOffset>-4923155</wp:posOffset>
            </wp:positionV>
            <wp:extent cx="524002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240020" cy="8255"/>
                    </a:xfrm>
                    <a:prstGeom prst="rect">
                      <a:avLst/>
                    </a:prstGeom>
                    <a:noFill/>
                  </pic:spPr>
                </pic:pic>
              </a:graphicData>
            </a:graphic>
          </wp:anchor>
        </w:drawing>
        <w:drawing>
          <wp:anchor simplePos="0" relativeHeight="251657728" behindDoc="1" locked="0" layoutInCell="0" allowOverlap="1">
            <wp:simplePos x="0" y="0"/>
            <wp:positionH relativeFrom="column">
              <wp:posOffset>798195</wp:posOffset>
            </wp:positionH>
            <wp:positionV relativeFrom="paragraph">
              <wp:posOffset>-4648835</wp:posOffset>
            </wp:positionV>
            <wp:extent cx="524002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240020" cy="8255"/>
                    </a:xfrm>
                    <a:prstGeom prst="rect">
                      <a:avLst/>
                    </a:prstGeom>
                    <a:noFill/>
                  </pic:spPr>
                </pic:pic>
              </a:graphicData>
            </a:graphic>
          </wp:anchor>
        </w:drawing>
        <w:drawing>
          <wp:anchor simplePos="0" relativeHeight="251657728" behindDoc="1" locked="0" layoutInCell="0" allowOverlap="1">
            <wp:simplePos x="0" y="0"/>
            <wp:positionH relativeFrom="column">
              <wp:posOffset>798195</wp:posOffset>
            </wp:positionH>
            <wp:positionV relativeFrom="paragraph">
              <wp:posOffset>-4374515</wp:posOffset>
            </wp:positionV>
            <wp:extent cx="524002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240020" cy="8255"/>
                    </a:xfrm>
                    <a:prstGeom prst="rect">
                      <a:avLst/>
                    </a:prstGeom>
                    <a:noFill/>
                  </pic:spPr>
                </pic:pic>
              </a:graphicData>
            </a:graphic>
          </wp:anchor>
        </w:drawing>
        <w:drawing>
          <wp:anchor simplePos="0" relativeHeight="251657728" behindDoc="1" locked="0" layoutInCell="0" allowOverlap="1">
            <wp:simplePos x="0" y="0"/>
            <wp:positionH relativeFrom="column">
              <wp:posOffset>798195</wp:posOffset>
            </wp:positionH>
            <wp:positionV relativeFrom="paragraph">
              <wp:posOffset>-4099560</wp:posOffset>
            </wp:positionV>
            <wp:extent cx="524002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240020" cy="8255"/>
                    </a:xfrm>
                    <a:prstGeom prst="rect">
                      <a:avLst/>
                    </a:prstGeom>
                    <a:noFill/>
                  </pic:spPr>
                </pic:pic>
              </a:graphicData>
            </a:graphic>
          </wp:anchor>
        </w:drawing>
        <w:drawing>
          <wp:anchor simplePos="0" relativeHeight="251657728" behindDoc="1" locked="0" layoutInCell="0" allowOverlap="1">
            <wp:simplePos x="0" y="0"/>
            <wp:positionH relativeFrom="column">
              <wp:posOffset>798195</wp:posOffset>
            </wp:positionH>
            <wp:positionV relativeFrom="paragraph">
              <wp:posOffset>-3825240</wp:posOffset>
            </wp:positionV>
            <wp:extent cx="524002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240020" cy="8255"/>
                    </a:xfrm>
                    <a:prstGeom prst="rect">
                      <a:avLst/>
                    </a:prstGeom>
                    <a:noFill/>
                  </pic:spPr>
                </pic:pic>
              </a:graphicData>
            </a:graphic>
          </wp:anchor>
        </w:drawing>
        <w:drawing>
          <wp:anchor simplePos="0" relativeHeight="251657728" behindDoc="1" locked="0" layoutInCell="0" allowOverlap="1">
            <wp:simplePos x="0" y="0"/>
            <wp:positionH relativeFrom="column">
              <wp:posOffset>798195</wp:posOffset>
            </wp:positionH>
            <wp:positionV relativeFrom="paragraph">
              <wp:posOffset>-3426460</wp:posOffset>
            </wp:positionV>
            <wp:extent cx="524002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240020" cy="8255"/>
                    </a:xfrm>
                    <a:prstGeom prst="rect">
                      <a:avLst/>
                    </a:prstGeom>
                    <a:noFill/>
                  </pic:spPr>
                </pic:pic>
              </a:graphicData>
            </a:graphic>
          </wp:anchor>
        </w:drawing>
        <w:drawing>
          <wp:anchor simplePos="0" relativeHeight="251657728" behindDoc="1" locked="0" layoutInCell="0" allowOverlap="1">
            <wp:simplePos x="0" y="0"/>
            <wp:positionH relativeFrom="column">
              <wp:posOffset>798195</wp:posOffset>
            </wp:positionH>
            <wp:positionV relativeFrom="paragraph">
              <wp:posOffset>-3151505</wp:posOffset>
            </wp:positionV>
            <wp:extent cx="524002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240020" cy="8255"/>
                    </a:xfrm>
                    <a:prstGeom prst="rect">
                      <a:avLst/>
                    </a:prstGeom>
                    <a:noFill/>
                  </pic:spPr>
                </pic:pic>
              </a:graphicData>
            </a:graphic>
          </wp:anchor>
        </w:drawing>
        <w:drawing>
          <wp:anchor simplePos="0" relativeHeight="251657728" behindDoc="1" locked="0" layoutInCell="0" allowOverlap="1">
            <wp:simplePos x="0" y="0"/>
            <wp:positionH relativeFrom="column">
              <wp:posOffset>798195</wp:posOffset>
            </wp:positionH>
            <wp:positionV relativeFrom="paragraph">
              <wp:posOffset>-2877185</wp:posOffset>
            </wp:positionV>
            <wp:extent cx="524002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240020" cy="8255"/>
                    </a:xfrm>
                    <a:prstGeom prst="rect">
                      <a:avLst/>
                    </a:prstGeom>
                    <a:noFill/>
                  </pic:spPr>
                </pic:pic>
              </a:graphicData>
            </a:graphic>
          </wp:anchor>
        </w:drawing>
        <w:drawing>
          <wp:anchor simplePos="0" relativeHeight="251657728" behindDoc="1" locked="0" layoutInCell="0" allowOverlap="1">
            <wp:simplePos x="0" y="0"/>
            <wp:positionH relativeFrom="column">
              <wp:posOffset>798195</wp:posOffset>
            </wp:positionH>
            <wp:positionV relativeFrom="paragraph">
              <wp:posOffset>-2602865</wp:posOffset>
            </wp:positionV>
            <wp:extent cx="524002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240020" cy="8255"/>
                    </a:xfrm>
                    <a:prstGeom prst="rect">
                      <a:avLst/>
                    </a:prstGeom>
                    <a:noFill/>
                  </pic:spPr>
                </pic:pic>
              </a:graphicData>
            </a:graphic>
          </wp:anchor>
        </w:drawing>
        <w:drawing>
          <wp:anchor simplePos="0" relativeHeight="251657728" behindDoc="1" locked="0" layoutInCell="0" allowOverlap="1">
            <wp:simplePos x="0" y="0"/>
            <wp:positionH relativeFrom="column">
              <wp:posOffset>798195</wp:posOffset>
            </wp:positionH>
            <wp:positionV relativeFrom="paragraph">
              <wp:posOffset>-2327910</wp:posOffset>
            </wp:positionV>
            <wp:extent cx="524002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240020" cy="8255"/>
                    </a:xfrm>
                    <a:prstGeom prst="rect">
                      <a:avLst/>
                    </a:prstGeom>
                    <a:noFill/>
                  </pic:spPr>
                </pic:pic>
              </a:graphicData>
            </a:graphic>
          </wp:anchor>
        </w:drawing>
        <w:drawing>
          <wp:anchor simplePos="0" relativeHeight="251657728" behindDoc="1" locked="0" layoutInCell="0" allowOverlap="1">
            <wp:simplePos x="0" y="0"/>
            <wp:positionH relativeFrom="column">
              <wp:posOffset>798195</wp:posOffset>
            </wp:positionH>
            <wp:positionV relativeFrom="paragraph">
              <wp:posOffset>-2053590</wp:posOffset>
            </wp:positionV>
            <wp:extent cx="524002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240020" cy="8255"/>
                    </a:xfrm>
                    <a:prstGeom prst="rect">
                      <a:avLst/>
                    </a:prstGeom>
                    <a:noFill/>
                  </pic:spPr>
                </pic:pic>
              </a:graphicData>
            </a:graphic>
          </wp:anchor>
        </w:drawing>
        <w:drawing>
          <wp:anchor simplePos="0" relativeHeight="251657728" behindDoc="1" locked="0" layoutInCell="0" allowOverlap="1">
            <wp:simplePos x="0" y="0"/>
            <wp:positionH relativeFrom="column">
              <wp:posOffset>798195</wp:posOffset>
            </wp:positionH>
            <wp:positionV relativeFrom="paragraph">
              <wp:posOffset>-1779270</wp:posOffset>
            </wp:positionV>
            <wp:extent cx="524002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240020" cy="8255"/>
                    </a:xfrm>
                    <a:prstGeom prst="rect">
                      <a:avLst/>
                    </a:prstGeom>
                    <a:noFill/>
                  </pic:spPr>
                </pic:pic>
              </a:graphicData>
            </a:graphic>
          </wp:anchor>
        </w:drawing>
        <w:drawing>
          <wp:anchor simplePos="0" relativeHeight="251657728" behindDoc="1" locked="0" layoutInCell="0" allowOverlap="1">
            <wp:simplePos x="0" y="0"/>
            <wp:positionH relativeFrom="column">
              <wp:posOffset>798195</wp:posOffset>
            </wp:positionH>
            <wp:positionV relativeFrom="paragraph">
              <wp:posOffset>-1504950</wp:posOffset>
            </wp:positionV>
            <wp:extent cx="524002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240020" cy="8255"/>
                    </a:xfrm>
                    <a:prstGeom prst="rect">
                      <a:avLst/>
                    </a:prstGeom>
                    <a:noFill/>
                  </pic:spPr>
                </pic:pic>
              </a:graphicData>
            </a:graphic>
          </wp:anchor>
        </w:drawing>
        <w:drawing>
          <wp:anchor simplePos="0" relativeHeight="251657728" behindDoc="1" locked="0" layoutInCell="0" allowOverlap="1">
            <wp:simplePos x="0" y="0"/>
            <wp:positionH relativeFrom="column">
              <wp:posOffset>798195</wp:posOffset>
            </wp:positionH>
            <wp:positionV relativeFrom="paragraph">
              <wp:posOffset>-1230630</wp:posOffset>
            </wp:positionV>
            <wp:extent cx="524002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240020" cy="8255"/>
                    </a:xfrm>
                    <a:prstGeom prst="rect">
                      <a:avLst/>
                    </a:prstGeom>
                    <a:noFill/>
                  </pic:spPr>
                </pic:pic>
              </a:graphicData>
            </a:graphic>
          </wp:anchor>
        </w:drawing>
        <w:drawing>
          <wp:anchor simplePos="0" relativeHeight="251657728" behindDoc="1" locked="0" layoutInCell="0" allowOverlap="1">
            <wp:simplePos x="0" y="0"/>
            <wp:positionH relativeFrom="column">
              <wp:posOffset>798195</wp:posOffset>
            </wp:positionH>
            <wp:positionV relativeFrom="paragraph">
              <wp:posOffset>-955675</wp:posOffset>
            </wp:positionV>
            <wp:extent cx="524002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240020" cy="8255"/>
                    </a:xfrm>
                    <a:prstGeom prst="rect">
                      <a:avLst/>
                    </a:prstGeom>
                    <a:noFill/>
                  </pic:spPr>
                </pic:pic>
              </a:graphicData>
            </a:graphic>
          </wp:anchor>
        </w:drawing>
        <w:drawing>
          <wp:anchor simplePos="0" relativeHeight="251657728" behindDoc="1" locked="0" layoutInCell="0" allowOverlap="1">
            <wp:simplePos x="0" y="0"/>
            <wp:positionH relativeFrom="column">
              <wp:posOffset>798195</wp:posOffset>
            </wp:positionH>
            <wp:positionV relativeFrom="paragraph">
              <wp:posOffset>-681355</wp:posOffset>
            </wp:positionV>
            <wp:extent cx="524002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240020" cy="8255"/>
                    </a:xfrm>
                    <a:prstGeom prst="rect">
                      <a:avLst/>
                    </a:prstGeom>
                    <a:noFill/>
                  </pic:spPr>
                </pic:pic>
              </a:graphicData>
            </a:graphic>
          </wp:anchor>
        </w:drawing>
        <w:drawing>
          <wp:anchor simplePos="0" relativeHeight="251657728" behindDoc="1" locked="0" layoutInCell="0" allowOverlap="1">
            <wp:simplePos x="0" y="0"/>
            <wp:positionH relativeFrom="column">
              <wp:posOffset>798195</wp:posOffset>
            </wp:positionH>
            <wp:positionV relativeFrom="paragraph">
              <wp:posOffset>-407035</wp:posOffset>
            </wp:positionV>
            <wp:extent cx="524002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240020" cy="8255"/>
                    </a:xfrm>
                    <a:prstGeom prst="rect">
                      <a:avLst/>
                    </a:prstGeom>
                    <a:noFill/>
                  </pic:spPr>
                </pic:pic>
              </a:graphicData>
            </a:graphic>
          </wp:anchor>
        </w:drawing>
      </w:r>
    </w:p>
    <w:p>
      <w:pPr>
        <w:sectPr>
          <w:pgSz w:w="11900" w:h="16838" w:orient="portrait"/>
          <w:cols w:equalWidth="0" w:num="1">
            <w:col w:w="10680"/>
          </w:cols>
          <w:pgMar w:left="600" w:top="115" w:right="6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940"/>
        <w:spacing w:after="0"/>
        <w:rPr>
          <w:sz w:val="20"/>
          <w:szCs w:val="20"/>
          <w:color w:val="auto"/>
        </w:rPr>
      </w:pPr>
      <w:r>
        <w:rPr>
          <w:rFonts w:ascii="Arial" w:cs="Arial" w:eastAsia="Arial" w:hAnsi="Arial"/>
          <w:sz w:val="35"/>
          <w:szCs w:val="35"/>
          <w:color w:val="77C483"/>
        </w:rPr>
        <w:t>Appendix B: Amendments to the Constitution</w:t>
      </w:r>
    </w:p>
    <w:p>
      <w:pPr>
        <w:spacing w:after="0" w:line="239" w:lineRule="exact"/>
        <w:rPr>
          <w:sz w:val="20"/>
          <w:szCs w:val="20"/>
          <w:color w:val="auto"/>
        </w:rPr>
      </w:pPr>
    </w:p>
    <w:p>
      <w:pPr>
        <w:jc w:val="right"/>
        <w:ind w:right="879"/>
        <w:spacing w:after="0"/>
        <w:rPr>
          <w:sz w:val="20"/>
          <w:szCs w:val="20"/>
          <w:color w:val="auto"/>
        </w:rPr>
      </w:pPr>
      <w:r>
        <w:rPr>
          <w:rFonts w:ascii="Arial" w:cs="Arial" w:eastAsia="Arial" w:hAnsi="Arial"/>
          <w:sz w:val="35"/>
          <w:szCs w:val="35"/>
          <w:u w:val="single" w:color="auto"/>
          <w:color w:val="0000FF"/>
        </w:rPr>
        <w:t>AMENDED AND RESTATED</w:t>
      </w:r>
      <w:r>
        <w:rPr>
          <w:rFonts w:ascii="Arial" w:cs="Arial" w:eastAsia="Arial" w:hAnsi="Arial"/>
          <w:sz w:val="35"/>
          <w:szCs w:val="35"/>
          <w:color w:val="0000FF"/>
        </w:rPr>
        <w:t xml:space="preserve"> </w:t>
      </w:r>
      <w:r>
        <w:rPr>
          <w:rFonts w:ascii="Arial" w:cs="Arial" w:eastAsia="Arial" w:hAnsi="Arial"/>
          <w:sz w:val="35"/>
          <w:szCs w:val="35"/>
          <w:color w:val="000000"/>
        </w:rPr>
        <w:t>CONSTITUTION</w:t>
      </w:r>
    </w:p>
    <w:p>
      <w:pPr>
        <w:spacing w:after="0" w:line="271" w:lineRule="exact"/>
        <w:rPr>
          <w:sz w:val="20"/>
          <w:szCs w:val="20"/>
          <w:color w:val="auto"/>
        </w:rPr>
      </w:pPr>
    </w:p>
    <w:p>
      <w:pPr>
        <w:jc w:val="center"/>
        <w:ind w:right="-560"/>
        <w:spacing w:after="0"/>
        <w:rPr>
          <w:sz w:val="20"/>
          <w:szCs w:val="20"/>
          <w:color w:val="auto"/>
        </w:rPr>
      </w:pPr>
      <w:r>
        <w:rPr>
          <w:rFonts w:ascii="Arial" w:cs="Arial" w:eastAsia="Arial" w:hAnsi="Arial"/>
          <w:sz w:val="17"/>
          <w:szCs w:val="17"/>
          <w:color w:val="003551"/>
        </w:rPr>
        <w:t>OF</w:t>
      </w:r>
    </w:p>
    <w:p>
      <w:pPr>
        <w:spacing w:after="0" w:line="231" w:lineRule="exact"/>
        <w:rPr>
          <w:sz w:val="20"/>
          <w:szCs w:val="20"/>
          <w:color w:val="auto"/>
        </w:rPr>
      </w:pPr>
    </w:p>
    <w:p>
      <w:pPr>
        <w:ind w:left="3900"/>
        <w:spacing w:after="0"/>
        <w:rPr>
          <w:sz w:val="20"/>
          <w:szCs w:val="20"/>
          <w:color w:val="auto"/>
        </w:rPr>
      </w:pPr>
      <w:r>
        <w:rPr>
          <w:rFonts w:ascii="Arial" w:cs="Arial" w:eastAsia="Arial" w:hAnsi="Arial"/>
          <w:sz w:val="35"/>
          <w:szCs w:val="35"/>
          <w:color w:val="auto"/>
        </w:rPr>
        <w:t>IREN LIMITED</w:t>
      </w:r>
    </w:p>
    <w:p>
      <w:pPr>
        <w:spacing w:after="0" w:line="258" w:lineRule="exact"/>
        <w:rPr>
          <w:sz w:val="20"/>
          <w:szCs w:val="20"/>
          <w:color w:val="auto"/>
        </w:rPr>
      </w:pPr>
    </w:p>
    <w:p>
      <w:pPr>
        <w:ind w:left="4360"/>
        <w:spacing w:after="0"/>
        <w:rPr>
          <w:sz w:val="20"/>
          <w:szCs w:val="20"/>
          <w:color w:val="auto"/>
        </w:rPr>
      </w:pPr>
      <w:r>
        <w:rPr>
          <w:rFonts w:ascii="Arial" w:cs="Arial" w:eastAsia="Arial" w:hAnsi="Arial"/>
          <w:sz w:val="17"/>
          <w:szCs w:val="17"/>
          <w:color w:val="003551"/>
        </w:rPr>
        <w:t>ACN 629 842 799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003551"/>
        </w:rPr>
        <w:t>A PUBLIC COMPANY LIMITED BY SHARES</w:t>
      </w:r>
    </w:p>
    <w:p>
      <w:pPr>
        <w:spacing w:after="0" w:line="1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003551"/>
        </w:rPr>
        <w:t> </w:t>
      </w:r>
    </w:p>
    <w:p>
      <w:pPr>
        <w:spacing w:after="0" w:line="1" w:lineRule="exact"/>
        <w:rPr>
          <w:sz w:val="20"/>
          <w:szCs w:val="20"/>
          <w:color w:val="auto"/>
        </w:rPr>
      </w:pPr>
    </w:p>
    <w:p>
      <w:pPr>
        <w:jc w:val="center"/>
        <w:ind w:right="-560"/>
        <w:spacing w:after="0"/>
        <w:rPr>
          <w:sz w:val="20"/>
          <w:szCs w:val="20"/>
          <w:color w:val="auto"/>
        </w:rPr>
      </w:pPr>
      <w:r>
        <w:rPr>
          <w:rFonts w:ascii="Arial" w:cs="Arial" w:eastAsia="Arial" w:hAnsi="Arial"/>
          <w:sz w:val="17"/>
          <w:szCs w:val="17"/>
          <w:color w:val="003551"/>
        </w:rPr>
        <w:t xml:space="preserve">Adopted by resolution of the members on 20 November, </w:t>
      </w:r>
      <w:r>
        <w:rPr>
          <w:rFonts w:ascii="Arial" w:cs="Arial" w:eastAsia="Arial" w:hAnsi="Arial"/>
          <w:sz w:val="17"/>
          <w:szCs w:val="17"/>
          <w:color w:val="FF0000"/>
          <w:strike w:val="1"/>
        </w:rPr>
        <w:t>2024</w:t>
      </w:r>
      <w:r>
        <w:rPr>
          <w:rFonts w:ascii="Arial" w:cs="Arial" w:eastAsia="Arial" w:hAnsi="Arial"/>
          <w:sz w:val="17"/>
          <w:szCs w:val="17"/>
          <w:u w:val="single" w:color="auto"/>
          <w:color w:val="0000FF"/>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109220</wp:posOffset>
            </wp:positionV>
            <wp:extent cx="6786880" cy="1651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89" w:name="page90"/>
    <w:bookmarkEnd w:id="89"/>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112395</wp:posOffset>
            </wp:positionV>
            <wp:extent cx="615315" cy="32448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FF0000"/>
          <w:strike w:val="1"/>
        </w:rPr>
        <w:t>TABLE OF CONTENTS</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280" w:type="dxa"/>
            <w:vAlign w:val="bottom"/>
          </w:tcPr>
          <w:p>
            <w:pPr>
              <w:spacing w:after="0"/>
              <w:rPr>
                <w:sz w:val="19"/>
                <w:szCs w:val="19"/>
                <w:color w:val="auto"/>
              </w:rPr>
            </w:pPr>
          </w:p>
        </w:tc>
        <w:tc>
          <w:tcPr>
            <w:tcW w:w="460" w:type="dxa"/>
            <w:vAlign w:val="bottom"/>
            <w:gridSpan w:val="4"/>
          </w:tcPr>
          <w:p>
            <w:pPr>
              <w:spacing w:after="0"/>
              <w:rPr>
                <w:sz w:val="20"/>
                <w:szCs w:val="20"/>
                <w:color w:val="auto"/>
              </w:rPr>
            </w:pPr>
            <w:r>
              <w:rPr>
                <w:rFonts w:ascii="Arial" w:cs="Arial" w:eastAsia="Arial" w:hAnsi="Arial"/>
                <w:sz w:val="17"/>
                <w:szCs w:val="17"/>
                <w:b w:val="1"/>
                <w:bCs w:val="1"/>
                <w:color w:val="FF0000"/>
                <w:strike w:val="1"/>
              </w:rPr>
              <w:t>Rule</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gridSpan w:val="4"/>
          </w:tcPr>
          <w:p>
            <w:pPr>
              <w:spacing w:after="0"/>
              <w:rPr>
                <w:sz w:val="20"/>
                <w:szCs w:val="20"/>
                <w:color w:val="auto"/>
              </w:rPr>
            </w:pPr>
            <w:r>
              <w:rPr>
                <w:rFonts w:ascii="Arial" w:cs="Arial" w:eastAsia="Arial" w:hAnsi="Arial"/>
                <w:sz w:val="17"/>
                <w:szCs w:val="17"/>
                <w:b w:val="1"/>
                <w:bCs w:val="1"/>
                <w:color w:val="FF0000"/>
                <w:strike w:val="1"/>
                <w:w w:val="98"/>
              </w:rPr>
              <w:t>Page</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360" w:type="dxa"/>
            <w:vAlign w:val="bottom"/>
            <w:gridSpan w:val="2"/>
          </w:tcPr>
          <w:p>
            <w:pPr>
              <w:ind w:left="1260"/>
              <w:spacing w:after="0" w:line="189" w:lineRule="exact"/>
              <w:rPr>
                <w:sz w:val="20"/>
                <w:szCs w:val="20"/>
                <w:color w:val="auto"/>
              </w:rPr>
            </w:pPr>
            <w:r>
              <w:rPr>
                <w:rFonts w:ascii="Arial" w:cs="Arial" w:eastAsia="Arial" w:hAnsi="Arial"/>
                <w:sz w:val="17"/>
                <w:szCs w:val="17"/>
                <w:b w:val="1"/>
                <w:bCs w:val="1"/>
                <w:color w:val="0000EE"/>
                <w:w w:val="84"/>
              </w:rPr>
              <w:t>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940" w:type="dxa"/>
            <w:vAlign w:val="bottom"/>
            <w:gridSpan w:val="31"/>
          </w:tcPr>
          <w:p>
            <w:pPr>
              <w:spacing w:after="0" w:line="189" w:lineRule="exact"/>
              <w:rPr>
                <w:sz w:val="20"/>
                <w:szCs w:val="20"/>
                <w:color w:val="auto"/>
              </w:rPr>
            </w:pPr>
            <w:r>
              <w:rPr>
                <w:rFonts w:ascii="Arial" w:cs="Arial" w:eastAsia="Arial" w:hAnsi="Arial"/>
                <w:sz w:val="17"/>
                <w:szCs w:val="17"/>
                <w:b w:val="1"/>
                <w:bCs w:val="1"/>
                <w:color w:val="0000EE"/>
              </w:rPr>
              <w:t>PRELIMINARY</w:t>
            </w:r>
          </w:p>
        </w:tc>
        <w:tc>
          <w:tcPr>
            <w:tcW w:w="200" w:type="dxa"/>
            <w:vAlign w:val="bottom"/>
            <w:gridSpan w:val="2"/>
          </w:tcPr>
          <w:p>
            <w:pPr>
              <w:spacing w:after="0" w:line="189" w:lineRule="exact"/>
              <w:rPr>
                <w:sz w:val="20"/>
                <w:szCs w:val="20"/>
                <w:color w:val="auto"/>
              </w:rPr>
            </w:pPr>
            <w:r>
              <w:rPr>
                <w:rFonts w:ascii="Arial" w:cs="Arial" w:eastAsia="Arial" w:hAnsi="Arial"/>
                <w:sz w:val="17"/>
                <w:szCs w:val="17"/>
                <w:b w:val="1"/>
                <w:bCs w:val="1"/>
                <w:color w:val="0000EE"/>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00" w:type="dxa"/>
            <w:vAlign w:val="bottom"/>
            <w:gridSpan w:val="3"/>
          </w:tcPr>
          <w:p>
            <w:pPr>
              <w:ind w:left="1260"/>
              <w:spacing w:after="0"/>
              <w:rPr>
                <w:sz w:val="20"/>
                <w:szCs w:val="20"/>
                <w:color w:val="auto"/>
              </w:rPr>
            </w:pPr>
            <w:r>
              <w:rPr>
                <w:rFonts w:ascii="Arial" w:cs="Arial" w:eastAsia="Arial" w:hAnsi="Arial"/>
                <w:sz w:val="17"/>
                <w:szCs w:val="17"/>
                <w:color w:val="0000EE"/>
                <w:w w:val="84"/>
              </w:rPr>
              <w:t>1.</w:t>
            </w:r>
            <w:r>
              <w:rPr>
                <w:rFonts w:ascii="Arial" w:cs="Arial" w:eastAsia="Arial" w:hAnsi="Arial"/>
                <w:sz w:val="17"/>
                <w:szCs w:val="17"/>
                <w:u w:val="single" w:color="auto"/>
                <w:color w:val="0000EE"/>
                <w:w w:val="84"/>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gridSpan w:val="31"/>
          </w:tcPr>
          <w:p>
            <w:pPr>
              <w:spacing w:after="0"/>
              <w:rPr>
                <w:sz w:val="20"/>
                <w:szCs w:val="20"/>
                <w:color w:val="auto"/>
              </w:rPr>
            </w:pPr>
            <w:r>
              <w:rPr>
                <w:rFonts w:ascii="Arial" w:cs="Arial" w:eastAsia="Arial" w:hAnsi="Arial"/>
                <w:sz w:val="17"/>
                <w:szCs w:val="17"/>
                <w:color w:val="0000EE"/>
              </w:rPr>
              <w:t>Definitions</w:t>
            </w:r>
          </w:p>
        </w:tc>
        <w:tc>
          <w:tcPr>
            <w:tcW w:w="200" w:type="dxa"/>
            <w:vAlign w:val="bottom"/>
            <w:gridSpan w:val="2"/>
          </w:tcPr>
          <w:p>
            <w:pPr>
              <w:spacing w:after="0"/>
              <w:rPr>
                <w:sz w:val="20"/>
                <w:szCs w:val="20"/>
                <w:color w:val="auto"/>
              </w:rPr>
            </w:pPr>
            <w:r>
              <w:rPr>
                <w:rFonts w:ascii="Arial" w:cs="Arial" w:eastAsia="Arial" w:hAnsi="Arial"/>
                <w:sz w:val="17"/>
                <w:szCs w:val="17"/>
                <w:color w:val="0000EE"/>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00" w:type="dxa"/>
            <w:vAlign w:val="bottom"/>
            <w:gridSpan w:val="3"/>
          </w:tcPr>
          <w:p>
            <w:pPr>
              <w:ind w:left="1260"/>
              <w:spacing w:after="0"/>
              <w:rPr>
                <w:sz w:val="20"/>
                <w:szCs w:val="20"/>
                <w:color w:val="auto"/>
              </w:rPr>
            </w:pPr>
            <w:r>
              <w:rPr>
                <w:rFonts w:ascii="Arial" w:cs="Arial" w:eastAsia="Arial" w:hAnsi="Arial"/>
                <w:sz w:val="17"/>
                <w:szCs w:val="17"/>
                <w:color w:val="0000EE"/>
                <w:w w:val="84"/>
              </w:rPr>
              <w:t>1.</w:t>
            </w:r>
            <w:r>
              <w:rPr>
                <w:rFonts w:ascii="Arial" w:cs="Arial" w:eastAsia="Arial" w:hAnsi="Arial"/>
                <w:sz w:val="17"/>
                <w:szCs w:val="17"/>
                <w:u w:val="single" w:color="auto"/>
                <w:color w:val="0000EE"/>
                <w:w w:val="84"/>
              </w:rPr>
              <w:t>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gridSpan w:val="31"/>
          </w:tcPr>
          <w:p>
            <w:pPr>
              <w:spacing w:after="0"/>
              <w:rPr>
                <w:sz w:val="20"/>
                <w:szCs w:val="20"/>
                <w:color w:val="auto"/>
              </w:rPr>
            </w:pPr>
            <w:r>
              <w:rPr>
                <w:rFonts w:ascii="Arial" w:cs="Arial" w:eastAsia="Arial" w:hAnsi="Arial"/>
                <w:sz w:val="17"/>
                <w:szCs w:val="17"/>
                <w:color w:val="0000EE"/>
              </w:rPr>
              <w:t>Replaceable rules do not apply</w:t>
            </w:r>
          </w:p>
        </w:tc>
        <w:tc>
          <w:tcPr>
            <w:tcW w:w="200" w:type="dxa"/>
            <w:vAlign w:val="bottom"/>
            <w:gridSpan w:val="2"/>
          </w:tcPr>
          <w:p>
            <w:pPr>
              <w:spacing w:after="0"/>
              <w:rPr>
                <w:sz w:val="20"/>
                <w:szCs w:val="20"/>
                <w:color w:val="auto"/>
              </w:rPr>
            </w:pPr>
            <w:r>
              <w:rPr>
                <w:rFonts w:ascii="Arial" w:cs="Arial" w:eastAsia="Arial" w:hAnsi="Arial"/>
                <w:sz w:val="17"/>
                <w:szCs w:val="17"/>
                <w:color w:val="0000EE"/>
              </w:rPr>
              <w:t>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500" w:type="dxa"/>
            <w:vAlign w:val="bottom"/>
            <w:gridSpan w:val="3"/>
          </w:tcPr>
          <w:p>
            <w:pPr>
              <w:ind w:left="1260"/>
              <w:spacing w:after="0"/>
              <w:rPr>
                <w:sz w:val="20"/>
                <w:szCs w:val="20"/>
                <w:color w:val="auto"/>
              </w:rPr>
            </w:pPr>
            <w:r>
              <w:rPr>
                <w:rFonts w:ascii="Arial" w:cs="Arial" w:eastAsia="Arial" w:hAnsi="Arial"/>
                <w:sz w:val="17"/>
                <w:szCs w:val="17"/>
                <w:color w:val="0000EE"/>
                <w:w w:val="84"/>
              </w:rPr>
              <w:t>1.</w:t>
            </w:r>
            <w:r>
              <w:rPr>
                <w:rFonts w:ascii="Arial" w:cs="Arial" w:eastAsia="Arial" w:hAnsi="Arial"/>
                <w:sz w:val="17"/>
                <w:szCs w:val="17"/>
                <w:u w:val="single" w:color="auto"/>
                <w:color w:val="0000EE"/>
                <w:w w:val="84"/>
              </w:rPr>
              <w:t>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20" w:type="dxa"/>
            <w:vAlign w:val="bottom"/>
            <w:gridSpan w:val="25"/>
          </w:tcPr>
          <w:p>
            <w:pPr>
              <w:spacing w:after="0"/>
              <w:rPr>
                <w:sz w:val="20"/>
                <w:szCs w:val="20"/>
                <w:color w:val="auto"/>
              </w:rPr>
            </w:pPr>
            <w:r>
              <w:rPr>
                <w:rFonts w:ascii="Arial" w:cs="Arial" w:eastAsia="Arial" w:hAnsi="Arial"/>
                <w:sz w:val="17"/>
                <w:szCs w:val="17"/>
                <w:color w:val="0000EE"/>
              </w:rPr>
              <w:t>References to expressions used in Corporations Act</w:t>
            </w:r>
          </w:p>
        </w:tc>
        <w:tc>
          <w:tcPr>
            <w:tcW w:w="160" w:type="dxa"/>
            <w:vAlign w:val="bottom"/>
          </w:tcPr>
          <w:p>
            <w:pPr>
              <w:ind w:left="60"/>
              <w:spacing w:after="0"/>
              <w:rPr>
                <w:sz w:val="20"/>
                <w:szCs w:val="20"/>
                <w:color w:val="auto"/>
              </w:rPr>
            </w:pPr>
            <w:r>
              <w:rPr>
                <w:rFonts w:ascii="Arial" w:cs="Arial" w:eastAsia="Arial" w:hAnsi="Arial"/>
                <w:sz w:val="9"/>
                <w:szCs w:val="9"/>
                <w:color w:val="FF0000"/>
                <w:w w:val="74"/>
              </w:rPr>
              <w:t>or</w:t>
            </w:r>
          </w:p>
        </w:tc>
        <w:tc>
          <w:tcPr>
            <w:tcW w:w="2760" w:type="dxa"/>
            <w:vAlign w:val="bottom"/>
            <w:gridSpan w:val="5"/>
          </w:tcPr>
          <w:p>
            <w:pPr>
              <w:ind w:left="60"/>
              <w:spacing w:after="0"/>
              <w:rPr>
                <w:sz w:val="20"/>
                <w:szCs w:val="20"/>
                <w:color w:val="auto"/>
              </w:rPr>
            </w:pPr>
            <w:r>
              <w:rPr>
                <w:rFonts w:ascii="Arial" w:cs="Arial" w:eastAsia="Arial" w:hAnsi="Arial"/>
                <w:sz w:val="17"/>
                <w:szCs w:val="17"/>
                <w:color w:val="0000FF"/>
              </w:rPr>
              <w:t xml:space="preserve">, </w:t>
            </w:r>
            <w:r>
              <w:rPr>
                <w:rFonts w:ascii="Arial" w:cs="Arial" w:eastAsia="Arial" w:hAnsi="Arial"/>
                <w:sz w:val="17"/>
                <w:szCs w:val="17"/>
                <w:color w:val="0000EE"/>
              </w:rPr>
              <w:t>Listing Rules</w:t>
            </w:r>
            <w:r>
              <w:rPr>
                <w:rFonts w:ascii="Arial" w:cs="Arial" w:eastAsia="Arial" w:hAnsi="Arial"/>
                <w:sz w:val="17"/>
                <w:szCs w:val="17"/>
                <w:color w:val="0000FF"/>
              </w:rPr>
              <w:t xml:space="preserve"> or Securities</w:t>
            </w:r>
          </w:p>
        </w:tc>
        <w:tc>
          <w:tcPr>
            <w:tcW w:w="200" w:type="dxa"/>
            <w:vAlign w:val="bottom"/>
            <w:gridSpan w:val="2"/>
            <w:vMerge w:val="restart"/>
          </w:tcPr>
          <w:p>
            <w:pPr>
              <w:spacing w:after="0"/>
              <w:rPr>
                <w:sz w:val="20"/>
                <w:szCs w:val="20"/>
                <w:color w:val="auto"/>
              </w:rPr>
            </w:pPr>
            <w:r>
              <w:rPr>
                <w:rFonts w:ascii="Arial" w:cs="Arial" w:eastAsia="Arial" w:hAnsi="Arial"/>
                <w:sz w:val="17"/>
                <w:szCs w:val="17"/>
                <w:color w:val="0000EE"/>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80" w:type="dxa"/>
            <w:vAlign w:val="bottom"/>
            <w:tcBorders>
              <w:top w:val="single" w:sz="8" w:color="0000EE"/>
            </w:tcBorders>
            <w:gridSpan w:val="27"/>
          </w:tcPr>
          <w:p>
            <w:pPr>
              <w:spacing w:after="0" w:line="157" w:lineRule="exact"/>
              <w:rPr>
                <w:sz w:val="20"/>
                <w:szCs w:val="20"/>
                <w:color w:val="auto"/>
              </w:rPr>
            </w:pPr>
            <w:r>
              <w:rPr>
                <w:rFonts w:ascii="Arial" w:cs="Arial" w:eastAsia="Arial" w:hAnsi="Arial"/>
                <w:sz w:val="17"/>
                <w:szCs w:val="17"/>
                <w:color w:val="0000FF"/>
              </w:rPr>
              <w:t>Laws</w:t>
            </w:r>
          </w:p>
        </w:tc>
        <w:tc>
          <w:tcPr>
            <w:tcW w:w="90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960" w:type="dxa"/>
            <w:vAlign w:val="bottom"/>
            <w:tcBorders>
              <w:top w:val="single" w:sz="8" w:color="0000EE"/>
            </w:tcBorders>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00" w:type="dxa"/>
            <w:vAlign w:val="bottom"/>
            <w:gridSpan w:val="3"/>
          </w:tcPr>
          <w:p>
            <w:pPr>
              <w:ind w:left="1260"/>
              <w:spacing w:after="0"/>
              <w:rPr>
                <w:sz w:val="20"/>
                <w:szCs w:val="20"/>
                <w:color w:val="auto"/>
              </w:rPr>
            </w:pPr>
            <w:r>
              <w:rPr>
                <w:rFonts w:ascii="Arial" w:cs="Arial" w:eastAsia="Arial" w:hAnsi="Arial"/>
                <w:sz w:val="17"/>
                <w:szCs w:val="17"/>
                <w:color w:val="0000EE"/>
                <w:w w:val="84"/>
              </w:rPr>
              <w:t>1.</w:t>
            </w:r>
            <w:r>
              <w:rPr>
                <w:rFonts w:ascii="Arial" w:cs="Arial" w:eastAsia="Arial" w:hAnsi="Arial"/>
                <w:sz w:val="17"/>
                <w:szCs w:val="17"/>
                <w:u w:val="single" w:color="auto"/>
                <w:color w:val="0000EE"/>
                <w:w w:val="84"/>
              </w:rPr>
              <w:t>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gridSpan w:val="31"/>
          </w:tcPr>
          <w:p>
            <w:pPr>
              <w:spacing w:after="0"/>
              <w:rPr>
                <w:sz w:val="20"/>
                <w:szCs w:val="20"/>
                <w:color w:val="auto"/>
              </w:rPr>
            </w:pPr>
            <w:r>
              <w:rPr>
                <w:rFonts w:ascii="Arial" w:cs="Arial" w:eastAsia="Arial" w:hAnsi="Arial"/>
                <w:sz w:val="17"/>
                <w:szCs w:val="17"/>
                <w:color w:val="0000EE"/>
              </w:rPr>
              <w:t>Other rules of interpretation</w:t>
            </w:r>
          </w:p>
        </w:tc>
        <w:tc>
          <w:tcPr>
            <w:tcW w:w="200" w:type="dxa"/>
            <w:vAlign w:val="bottom"/>
            <w:gridSpan w:val="2"/>
          </w:tcPr>
          <w:p>
            <w:pPr>
              <w:spacing w:after="0"/>
              <w:rPr>
                <w:sz w:val="20"/>
                <w:szCs w:val="20"/>
                <w:color w:val="auto"/>
              </w:rPr>
            </w:pPr>
            <w:r>
              <w:rPr>
                <w:rFonts w:ascii="Arial" w:cs="Arial" w:eastAsia="Arial" w:hAnsi="Arial"/>
                <w:sz w:val="17"/>
                <w:szCs w:val="17"/>
                <w:color w:val="0000EE"/>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00" w:type="dxa"/>
            <w:vAlign w:val="bottom"/>
            <w:gridSpan w:val="3"/>
          </w:tcPr>
          <w:p>
            <w:pPr>
              <w:ind w:left="1260"/>
              <w:spacing w:after="0"/>
              <w:rPr>
                <w:sz w:val="20"/>
                <w:szCs w:val="20"/>
                <w:color w:val="auto"/>
              </w:rPr>
            </w:pPr>
            <w:r>
              <w:rPr>
                <w:rFonts w:ascii="Arial" w:cs="Arial" w:eastAsia="Arial" w:hAnsi="Arial"/>
                <w:sz w:val="17"/>
                <w:szCs w:val="17"/>
                <w:color w:val="0000EE"/>
                <w:w w:val="84"/>
              </w:rPr>
              <w:t>1.</w:t>
            </w:r>
            <w:r>
              <w:rPr>
                <w:rFonts w:ascii="Arial" w:cs="Arial" w:eastAsia="Arial" w:hAnsi="Arial"/>
                <w:sz w:val="17"/>
                <w:szCs w:val="17"/>
                <w:u w:val="single" w:color="auto"/>
                <w:color w:val="0000EE"/>
                <w:w w:val="84"/>
              </w:rPr>
              <w:t>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gridSpan w:val="31"/>
          </w:tcPr>
          <w:p>
            <w:pPr>
              <w:spacing w:after="0"/>
              <w:rPr>
                <w:sz w:val="20"/>
                <w:szCs w:val="20"/>
                <w:color w:val="auto"/>
              </w:rPr>
            </w:pPr>
            <w:r>
              <w:rPr>
                <w:rFonts w:ascii="Arial" w:cs="Arial" w:eastAsia="Arial" w:hAnsi="Arial"/>
                <w:sz w:val="17"/>
                <w:szCs w:val="17"/>
                <w:color w:val="0000EE"/>
              </w:rPr>
              <w:t>Compliance with the Corporations Act</w:t>
            </w:r>
          </w:p>
        </w:tc>
        <w:tc>
          <w:tcPr>
            <w:tcW w:w="200" w:type="dxa"/>
            <w:vAlign w:val="bottom"/>
            <w:gridSpan w:val="2"/>
          </w:tcPr>
          <w:p>
            <w:pPr>
              <w:spacing w:after="0"/>
              <w:rPr>
                <w:sz w:val="20"/>
                <w:szCs w:val="20"/>
                <w:color w:val="auto"/>
              </w:rPr>
            </w:pPr>
            <w:r>
              <w:rPr>
                <w:rFonts w:ascii="Arial" w:cs="Arial" w:eastAsia="Arial" w:hAnsi="Arial"/>
                <w:sz w:val="17"/>
                <w:szCs w:val="17"/>
                <w:color w:val="0000EE"/>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00" w:type="dxa"/>
            <w:vAlign w:val="bottom"/>
            <w:gridSpan w:val="3"/>
          </w:tcPr>
          <w:p>
            <w:pPr>
              <w:ind w:left="1260"/>
              <w:spacing w:after="0"/>
              <w:rPr>
                <w:sz w:val="20"/>
                <w:szCs w:val="20"/>
                <w:color w:val="auto"/>
              </w:rPr>
            </w:pPr>
            <w:r>
              <w:rPr>
                <w:rFonts w:ascii="Arial" w:cs="Arial" w:eastAsia="Arial" w:hAnsi="Arial"/>
                <w:sz w:val="17"/>
                <w:szCs w:val="17"/>
                <w:color w:val="0000EE"/>
                <w:w w:val="84"/>
              </w:rPr>
              <w:t>1.</w:t>
            </w:r>
            <w:r>
              <w:rPr>
                <w:rFonts w:ascii="Arial" w:cs="Arial" w:eastAsia="Arial" w:hAnsi="Arial"/>
                <w:sz w:val="17"/>
                <w:szCs w:val="17"/>
                <w:u w:val="single" w:color="auto"/>
                <w:color w:val="0000EE"/>
                <w:w w:val="84"/>
              </w:rPr>
              <w:t>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gridSpan w:val="31"/>
          </w:tcPr>
          <w:p>
            <w:pPr>
              <w:spacing w:after="0"/>
              <w:rPr>
                <w:sz w:val="20"/>
                <w:szCs w:val="20"/>
                <w:color w:val="auto"/>
              </w:rPr>
            </w:pPr>
            <w:r>
              <w:rPr>
                <w:rFonts w:ascii="Arial" w:cs="Arial" w:eastAsia="Arial" w:hAnsi="Arial"/>
                <w:sz w:val="17"/>
                <w:szCs w:val="17"/>
                <w:color w:val="0000EE"/>
              </w:rPr>
              <w:t>Schedules</w:t>
            </w:r>
          </w:p>
        </w:tc>
        <w:tc>
          <w:tcPr>
            <w:tcW w:w="200" w:type="dxa"/>
            <w:vAlign w:val="bottom"/>
            <w:gridSpan w:val="2"/>
          </w:tcPr>
          <w:p>
            <w:pPr>
              <w:spacing w:after="0"/>
              <w:rPr>
                <w:sz w:val="20"/>
                <w:szCs w:val="20"/>
                <w:color w:val="auto"/>
              </w:rPr>
            </w:pPr>
            <w:r>
              <w:rPr>
                <w:rFonts w:ascii="Arial" w:cs="Arial" w:eastAsia="Arial" w:hAnsi="Arial"/>
                <w:sz w:val="17"/>
                <w:szCs w:val="17"/>
                <w:color w:val="0000EE"/>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00" w:type="dxa"/>
            <w:vAlign w:val="bottom"/>
            <w:gridSpan w:val="3"/>
          </w:tcPr>
          <w:p>
            <w:pPr>
              <w:ind w:left="1260"/>
              <w:spacing w:after="0"/>
              <w:rPr>
                <w:sz w:val="20"/>
                <w:szCs w:val="20"/>
                <w:color w:val="auto"/>
              </w:rPr>
            </w:pPr>
            <w:r>
              <w:rPr>
                <w:rFonts w:ascii="Arial" w:cs="Arial" w:eastAsia="Arial" w:hAnsi="Arial"/>
                <w:sz w:val="17"/>
                <w:szCs w:val="17"/>
                <w:color w:val="0000EE"/>
                <w:w w:val="84"/>
              </w:rPr>
              <w:t>1.</w:t>
            </w:r>
            <w:r>
              <w:rPr>
                <w:rFonts w:ascii="Arial" w:cs="Arial" w:eastAsia="Arial" w:hAnsi="Arial"/>
                <w:sz w:val="17"/>
                <w:szCs w:val="17"/>
                <w:u w:val="single" w:color="auto"/>
                <w:color w:val="0000EE"/>
                <w:w w:val="84"/>
              </w:rPr>
              <w:t>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gridSpan w:val="31"/>
          </w:tcPr>
          <w:p>
            <w:pPr>
              <w:spacing w:after="0"/>
              <w:rPr>
                <w:sz w:val="20"/>
                <w:szCs w:val="20"/>
                <w:color w:val="auto"/>
              </w:rPr>
            </w:pPr>
            <w:r>
              <w:rPr>
                <w:rFonts w:ascii="Arial" w:cs="Arial" w:eastAsia="Arial" w:hAnsi="Arial"/>
                <w:sz w:val="17"/>
                <w:szCs w:val="17"/>
                <w:color w:val="0000EE"/>
              </w:rPr>
              <w:t>Relationship with previous constitutions</w:t>
            </w:r>
          </w:p>
        </w:tc>
        <w:tc>
          <w:tcPr>
            <w:tcW w:w="200" w:type="dxa"/>
            <w:vAlign w:val="bottom"/>
            <w:gridSpan w:val="2"/>
          </w:tcPr>
          <w:p>
            <w:pPr>
              <w:spacing w:after="0"/>
              <w:rPr>
                <w:sz w:val="20"/>
                <w:szCs w:val="20"/>
                <w:color w:val="auto"/>
              </w:rPr>
            </w:pPr>
            <w:r>
              <w:rPr>
                <w:rFonts w:ascii="Arial" w:cs="Arial" w:eastAsia="Arial" w:hAnsi="Arial"/>
                <w:sz w:val="17"/>
                <w:szCs w:val="17"/>
                <w:color w:val="0000EE"/>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28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17"/>
                <w:szCs w:val="17"/>
                <w:color w:val="FF0000"/>
                <w:strike w:val="1"/>
                <w:w w:val="75"/>
              </w:rPr>
              <w:t>1.8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80" w:type="dxa"/>
            <w:vAlign w:val="bottom"/>
            <w:gridSpan w:val="23"/>
          </w:tcPr>
          <w:p>
            <w:pPr>
              <w:spacing w:after="0"/>
              <w:rPr>
                <w:sz w:val="20"/>
                <w:szCs w:val="20"/>
                <w:color w:val="auto"/>
              </w:rPr>
            </w:pPr>
            <w:r>
              <w:rPr>
                <w:rFonts w:ascii="Arial" w:cs="Arial" w:eastAsia="Arial" w:hAnsi="Arial"/>
                <w:sz w:val="17"/>
                <w:szCs w:val="17"/>
                <w:color w:val="FF0000"/>
                <w:strike w:val="1"/>
              </w:rPr>
              <w:t>Relationship with Shareholders’ Agreement</w:t>
            </w:r>
          </w:p>
        </w:tc>
        <w:tc>
          <w:tcPr>
            <w:tcW w:w="80" w:type="dxa"/>
            <w:vAlign w:val="bottom"/>
          </w:tcPr>
          <w:p>
            <w:pPr>
              <w:spacing w:after="0"/>
              <w:rPr>
                <w:sz w:val="20"/>
                <w:szCs w:val="20"/>
                <w:color w:val="auto"/>
              </w:rPr>
            </w:pPr>
          </w:p>
        </w:tc>
        <w:tc>
          <w:tcPr>
            <w:tcW w:w="620" w:type="dxa"/>
            <w:vAlign w:val="bottom"/>
            <w:gridSpan w:val="2"/>
          </w:tcPr>
          <w:p>
            <w:pPr>
              <w:spacing w:after="0"/>
              <w:rPr>
                <w:sz w:val="20"/>
                <w:szCs w:val="20"/>
                <w:color w:val="auto"/>
              </w:rPr>
            </w:pPr>
          </w:p>
        </w:tc>
        <w:tc>
          <w:tcPr>
            <w:tcW w:w="1000" w:type="dxa"/>
            <w:vAlign w:val="bottom"/>
            <w:gridSpan w:val="2"/>
          </w:tcPr>
          <w:p>
            <w:pPr>
              <w:spacing w:after="0"/>
              <w:rPr>
                <w:sz w:val="20"/>
                <w:szCs w:val="20"/>
                <w:color w:val="auto"/>
              </w:rPr>
            </w:pPr>
          </w:p>
        </w:tc>
        <w:tc>
          <w:tcPr>
            <w:tcW w:w="1760" w:type="dxa"/>
            <w:vAlign w:val="bottom"/>
            <w:gridSpan w:val="3"/>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7"/>
                <w:szCs w:val="17"/>
                <w:color w:val="FF0000"/>
                <w:strike w:val="1"/>
                <w:w w:val="84"/>
              </w:rPr>
              <w:t>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220" w:type="dxa"/>
            <w:vAlign w:val="bottom"/>
            <w:gridSpan w:val="2"/>
          </w:tcPr>
          <w:p>
            <w:pPr>
              <w:spacing w:after="0" w:line="187" w:lineRule="exact"/>
              <w:rPr>
                <w:sz w:val="20"/>
                <w:szCs w:val="20"/>
                <w:color w:val="auto"/>
              </w:rPr>
            </w:pPr>
            <w:r>
              <w:rPr>
                <w:rFonts w:ascii="Arial" w:cs="Arial" w:eastAsia="Arial" w:hAnsi="Arial"/>
                <w:sz w:val="17"/>
                <w:szCs w:val="17"/>
                <w:color w:val="FF0000"/>
                <w:strike w:val="1"/>
                <w:w w:val="75"/>
              </w:rPr>
              <w:t>1.</w:t>
            </w:r>
            <w:r>
              <w:rPr>
                <w:rFonts w:ascii="Arial" w:cs="Arial" w:eastAsia="Arial" w:hAnsi="Arial"/>
                <w:sz w:val="17"/>
                <w:szCs w:val="17"/>
                <w:u w:val="single" w:color="auto"/>
                <w:color w:val="FF0000"/>
                <w:strike w:val="1"/>
                <w:w w:val="75"/>
              </w:rPr>
              <w:t>9</w:t>
            </w:r>
          </w:p>
        </w:tc>
        <w:tc>
          <w:tcPr>
            <w:tcW w:w="340" w:type="dxa"/>
            <w:vAlign w:val="bottom"/>
            <w:gridSpan w:val="3"/>
          </w:tcPr>
          <w:p>
            <w:pPr>
              <w:jc w:val="right"/>
              <w:ind w:right="100"/>
              <w:spacing w:after="0" w:line="187" w:lineRule="exact"/>
              <w:rPr>
                <w:sz w:val="20"/>
                <w:szCs w:val="20"/>
                <w:color w:val="auto"/>
              </w:rPr>
            </w:pPr>
            <w:r>
              <w:rPr>
                <w:rFonts w:ascii="Arial" w:cs="Arial" w:eastAsia="Arial" w:hAnsi="Arial"/>
                <w:sz w:val="17"/>
                <w:szCs w:val="17"/>
                <w:color w:val="0000FF"/>
                <w:w w:val="92"/>
              </w:rPr>
              <w:t>1.8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940" w:type="dxa"/>
            <w:vAlign w:val="bottom"/>
            <w:gridSpan w:val="31"/>
          </w:tcPr>
          <w:p>
            <w:pPr>
              <w:spacing w:after="0" w:line="187" w:lineRule="exact"/>
              <w:rPr>
                <w:sz w:val="20"/>
                <w:szCs w:val="20"/>
                <w:color w:val="auto"/>
              </w:rPr>
            </w:pPr>
            <w:r>
              <w:rPr>
                <w:rFonts w:ascii="Arial" w:cs="Arial" w:eastAsia="Arial" w:hAnsi="Arial"/>
                <w:sz w:val="17"/>
                <w:szCs w:val="17"/>
                <w:color w:val="0000EE"/>
              </w:rPr>
              <w:t xml:space="preserve">Effect of the Listing Rules </w:t>
            </w:r>
            <w:r>
              <w:rPr>
                <w:rFonts w:ascii="Arial" w:cs="Arial" w:eastAsia="Arial" w:hAnsi="Arial"/>
                <w:sz w:val="17"/>
                <w:szCs w:val="17"/>
                <w:color w:val="0000FF"/>
              </w:rPr>
              <w:t>and Securities Laws</w:t>
            </w:r>
          </w:p>
        </w:tc>
        <w:tc>
          <w:tcPr>
            <w:tcW w:w="200" w:type="dxa"/>
            <w:vAlign w:val="bottom"/>
            <w:gridSpan w:val="2"/>
          </w:tcPr>
          <w:p>
            <w:pPr>
              <w:spacing w:after="0" w:line="187" w:lineRule="exact"/>
              <w:rPr>
                <w:sz w:val="20"/>
                <w:szCs w:val="20"/>
                <w:color w:val="auto"/>
              </w:rPr>
            </w:pPr>
            <w:r>
              <w:rPr>
                <w:rFonts w:ascii="Arial" w:cs="Arial" w:eastAsia="Arial" w:hAnsi="Arial"/>
                <w:sz w:val="17"/>
                <w:szCs w:val="17"/>
                <w:color w:val="0000EE"/>
              </w:rPr>
              <w:t>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gridSpan w:val="2"/>
            <w:shd w:val="clear" w:color="auto" w:fill="FF0000"/>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80" w:type="dxa"/>
            <w:vAlign w:val="bottom"/>
          </w:tcPr>
          <w:p>
            <w:pPr>
              <w:spacing w:after="0"/>
              <w:rPr>
                <w:sz w:val="17"/>
                <w:szCs w:val="17"/>
                <w:color w:val="auto"/>
              </w:rPr>
            </w:pPr>
          </w:p>
        </w:tc>
        <w:tc>
          <w:tcPr>
            <w:tcW w:w="300" w:type="dxa"/>
            <w:vAlign w:val="bottom"/>
            <w:gridSpan w:val="3"/>
          </w:tcPr>
          <w:p>
            <w:pPr>
              <w:spacing w:after="0"/>
              <w:rPr>
                <w:sz w:val="20"/>
                <w:szCs w:val="20"/>
                <w:color w:val="auto"/>
              </w:rPr>
            </w:pPr>
            <w:r>
              <w:rPr>
                <w:rFonts w:ascii="Arial" w:cs="Arial" w:eastAsia="Arial" w:hAnsi="Arial"/>
                <w:sz w:val="17"/>
                <w:szCs w:val="17"/>
                <w:color w:val="FF0000"/>
                <w:strike w:val="1"/>
                <w:w w:val="78"/>
              </w:rPr>
              <w:t>1.</w:t>
            </w:r>
            <w:r>
              <w:rPr>
                <w:rFonts w:ascii="Arial" w:cs="Arial" w:eastAsia="Arial" w:hAnsi="Arial"/>
                <w:sz w:val="17"/>
                <w:szCs w:val="17"/>
                <w:u w:val="single" w:color="auto"/>
                <w:color w:val="FF0000"/>
                <w:strike w:val="1"/>
                <w:w w:val="78"/>
              </w:rPr>
              <w:t>10</w:t>
            </w:r>
          </w:p>
        </w:tc>
        <w:tc>
          <w:tcPr>
            <w:tcW w:w="260" w:type="dxa"/>
            <w:vAlign w:val="bottom"/>
            <w:gridSpan w:val="2"/>
          </w:tcPr>
          <w:p>
            <w:pPr>
              <w:ind w:left="20"/>
              <w:spacing w:after="0"/>
              <w:rPr>
                <w:sz w:val="20"/>
                <w:szCs w:val="20"/>
                <w:color w:val="auto"/>
              </w:rPr>
            </w:pPr>
            <w:r>
              <w:rPr>
                <w:rFonts w:ascii="Arial" w:cs="Arial" w:eastAsia="Arial" w:hAnsi="Arial"/>
                <w:sz w:val="17"/>
                <w:szCs w:val="17"/>
                <w:color w:val="0000FF"/>
                <w:w w:val="92"/>
              </w:rPr>
              <w:t>1.9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gridSpan w:val="31"/>
          </w:tcPr>
          <w:p>
            <w:pPr>
              <w:spacing w:after="0"/>
              <w:rPr>
                <w:sz w:val="20"/>
                <w:szCs w:val="20"/>
                <w:color w:val="auto"/>
              </w:rPr>
            </w:pPr>
            <w:r>
              <w:rPr>
                <w:rFonts w:ascii="Arial" w:cs="Arial" w:eastAsia="Arial" w:hAnsi="Arial"/>
                <w:sz w:val="17"/>
                <w:szCs w:val="17"/>
                <w:color w:val="0000EE"/>
              </w:rPr>
              <w:t>Enforceability</w:t>
            </w:r>
          </w:p>
        </w:tc>
        <w:tc>
          <w:tcPr>
            <w:tcW w:w="200" w:type="dxa"/>
            <w:vAlign w:val="bottom"/>
            <w:gridSpan w:val="2"/>
          </w:tcPr>
          <w:p>
            <w:pPr>
              <w:spacing w:after="0"/>
              <w:rPr>
                <w:sz w:val="20"/>
                <w:szCs w:val="20"/>
                <w:color w:val="auto"/>
              </w:rPr>
            </w:pPr>
            <w:r>
              <w:rPr>
                <w:rFonts w:ascii="Arial" w:cs="Arial" w:eastAsia="Arial" w:hAnsi="Arial"/>
                <w:sz w:val="17"/>
                <w:szCs w:val="17"/>
                <w:color w:val="0000EE"/>
              </w:rPr>
              <w:t>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gridSpan w:val="3"/>
            <w:shd w:val="clear" w:color="auto" w:fill="FF0000"/>
          </w:tcPr>
          <w:p>
            <w:pPr>
              <w:spacing w:after="0" w:line="20" w:lineRule="exact"/>
              <w:rPr>
                <w:sz w:val="1"/>
                <w:szCs w:val="1"/>
                <w:color w:val="auto"/>
              </w:rPr>
            </w:pPr>
          </w:p>
        </w:tc>
        <w:tc>
          <w:tcPr>
            <w:tcW w:w="160" w:type="dxa"/>
            <w:vAlign w:val="bottom"/>
            <w:tcBorders>
              <w:left w:val="single" w:sz="8" w:color="FF0000"/>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80" w:type="dxa"/>
            <w:vAlign w:val="bottom"/>
          </w:tcPr>
          <w:p>
            <w:pPr>
              <w:spacing w:after="0"/>
              <w:rPr>
                <w:sz w:val="17"/>
                <w:szCs w:val="17"/>
                <w:color w:val="auto"/>
              </w:rPr>
            </w:pPr>
          </w:p>
        </w:tc>
        <w:tc>
          <w:tcPr>
            <w:tcW w:w="300" w:type="dxa"/>
            <w:vAlign w:val="bottom"/>
            <w:gridSpan w:val="3"/>
          </w:tcPr>
          <w:p>
            <w:pPr>
              <w:spacing w:after="0"/>
              <w:rPr>
                <w:sz w:val="20"/>
                <w:szCs w:val="20"/>
                <w:color w:val="auto"/>
              </w:rPr>
            </w:pPr>
            <w:r>
              <w:rPr>
                <w:rFonts w:ascii="Arial" w:cs="Arial" w:eastAsia="Arial" w:hAnsi="Arial"/>
                <w:sz w:val="17"/>
                <w:szCs w:val="17"/>
                <w:color w:val="FF0000"/>
                <w:strike w:val="1"/>
                <w:w w:val="78"/>
              </w:rPr>
              <w:t>1.</w:t>
            </w:r>
            <w:r>
              <w:rPr>
                <w:rFonts w:ascii="Arial" w:cs="Arial" w:eastAsia="Arial" w:hAnsi="Arial"/>
                <w:sz w:val="17"/>
                <w:szCs w:val="17"/>
                <w:u w:val="single" w:color="auto"/>
                <w:color w:val="FF0000"/>
                <w:strike w:val="1"/>
                <w:w w:val="78"/>
              </w:rPr>
              <w:t>11</w:t>
            </w:r>
          </w:p>
        </w:tc>
        <w:tc>
          <w:tcPr>
            <w:tcW w:w="540" w:type="dxa"/>
            <w:vAlign w:val="bottom"/>
            <w:gridSpan w:val="4"/>
          </w:tcPr>
          <w:p>
            <w:pPr>
              <w:spacing w:after="0"/>
              <w:rPr>
                <w:sz w:val="20"/>
                <w:szCs w:val="20"/>
                <w:color w:val="auto"/>
              </w:rPr>
            </w:pPr>
            <w:r>
              <w:rPr>
                <w:rFonts w:ascii="Arial" w:cs="Arial" w:eastAsia="Arial" w:hAnsi="Arial"/>
                <w:sz w:val="17"/>
                <w:szCs w:val="17"/>
                <w:color w:val="0000FF"/>
              </w:rPr>
              <w:t>1.10</w:t>
            </w:r>
          </w:p>
        </w:tc>
        <w:tc>
          <w:tcPr>
            <w:tcW w:w="1120" w:type="dxa"/>
            <w:vAlign w:val="bottom"/>
            <w:gridSpan w:val="5"/>
          </w:tcPr>
          <w:p>
            <w:pPr>
              <w:spacing w:after="0"/>
              <w:rPr>
                <w:sz w:val="20"/>
                <w:szCs w:val="20"/>
                <w:color w:val="auto"/>
              </w:rPr>
            </w:pPr>
            <w:r>
              <w:rPr>
                <w:rFonts w:ascii="Arial" w:cs="Arial" w:eastAsia="Arial" w:hAnsi="Arial"/>
                <w:sz w:val="17"/>
                <w:szCs w:val="17"/>
                <w:color w:val="0000EE"/>
              </w:rPr>
              <w:t>Governing law</w:t>
            </w:r>
          </w:p>
        </w:tc>
        <w:tc>
          <w:tcPr>
            <w:tcW w:w="1220" w:type="dxa"/>
            <w:vAlign w:val="bottom"/>
            <w:gridSpan w:val="11"/>
          </w:tcPr>
          <w:p>
            <w:pPr>
              <w:ind w:left="40"/>
              <w:spacing w:after="0"/>
              <w:rPr>
                <w:sz w:val="20"/>
                <w:szCs w:val="20"/>
                <w:color w:val="auto"/>
              </w:rPr>
            </w:pPr>
            <w:r>
              <w:rPr>
                <w:rFonts w:ascii="Arial" w:cs="Arial" w:eastAsia="Arial" w:hAnsi="Arial"/>
                <w:sz w:val="17"/>
                <w:szCs w:val="17"/>
                <w:color w:val="FF0000"/>
              </w:rPr>
              <w:t>and jurisdiction</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1000" w:type="dxa"/>
            <w:vAlign w:val="bottom"/>
            <w:gridSpan w:val="2"/>
          </w:tcPr>
          <w:p>
            <w:pPr>
              <w:spacing w:after="0"/>
              <w:rPr>
                <w:sz w:val="17"/>
                <w:szCs w:val="17"/>
                <w:color w:val="auto"/>
              </w:rPr>
            </w:pPr>
          </w:p>
        </w:tc>
        <w:tc>
          <w:tcPr>
            <w:tcW w:w="1760" w:type="dxa"/>
            <w:vAlign w:val="bottom"/>
            <w:gridSpan w:val="3"/>
          </w:tcPr>
          <w:p>
            <w:pPr>
              <w:spacing w:after="0"/>
              <w:rPr>
                <w:sz w:val="17"/>
                <w:szCs w:val="17"/>
                <w:color w:val="auto"/>
              </w:rPr>
            </w:pPr>
          </w:p>
        </w:tc>
        <w:tc>
          <w:tcPr>
            <w:tcW w:w="200" w:type="dxa"/>
            <w:vAlign w:val="bottom"/>
            <w:gridSpan w:val="2"/>
          </w:tcPr>
          <w:p>
            <w:pPr>
              <w:spacing w:after="0"/>
              <w:rPr>
                <w:sz w:val="20"/>
                <w:szCs w:val="20"/>
                <w:color w:val="auto"/>
              </w:rPr>
            </w:pPr>
            <w:r>
              <w:rPr>
                <w:rFonts w:ascii="Arial" w:cs="Arial" w:eastAsia="Arial" w:hAnsi="Arial"/>
                <w:sz w:val="17"/>
                <w:szCs w:val="17"/>
                <w:color w:val="0000EE"/>
              </w:rPr>
              <w:t>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gridSpan w:val="3"/>
            <w:shd w:val="clear" w:color="auto" w:fill="FF0000"/>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80" w:type="dxa"/>
            <w:vAlign w:val="bottom"/>
            <w:gridSpan w:val="4"/>
          </w:tcPr>
          <w:p>
            <w:pPr>
              <w:ind w:left="1260"/>
              <w:spacing w:after="0"/>
              <w:rPr>
                <w:sz w:val="20"/>
                <w:szCs w:val="20"/>
                <w:color w:val="auto"/>
              </w:rPr>
            </w:pPr>
            <w:r>
              <w:rPr>
                <w:rFonts w:ascii="Arial" w:cs="Arial" w:eastAsia="Arial" w:hAnsi="Arial"/>
                <w:sz w:val="17"/>
                <w:szCs w:val="17"/>
                <w:color w:val="0000EE"/>
                <w:w w:val="84"/>
              </w:rPr>
              <w:t>1.</w:t>
            </w:r>
            <w:r>
              <w:rPr>
                <w:rFonts w:ascii="Arial" w:cs="Arial" w:eastAsia="Arial" w:hAnsi="Arial"/>
                <w:sz w:val="17"/>
                <w:szCs w:val="17"/>
                <w:u w:val="single" w:color="auto"/>
                <w:color w:val="0000EE"/>
                <w:w w:val="84"/>
              </w:rPr>
              <w:t>11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gridSpan w:val="31"/>
          </w:tcPr>
          <w:p>
            <w:pPr>
              <w:spacing w:after="0"/>
              <w:rPr>
                <w:sz w:val="20"/>
                <w:szCs w:val="20"/>
                <w:color w:val="auto"/>
              </w:rPr>
            </w:pPr>
            <w:r>
              <w:rPr>
                <w:rFonts w:ascii="Arial" w:cs="Arial" w:eastAsia="Arial" w:hAnsi="Arial"/>
                <w:sz w:val="17"/>
                <w:szCs w:val="17"/>
                <w:color w:val="0000EE"/>
              </w:rPr>
              <w:t>Forum selection</w:t>
            </w:r>
          </w:p>
        </w:tc>
        <w:tc>
          <w:tcPr>
            <w:tcW w:w="200" w:type="dxa"/>
            <w:vAlign w:val="bottom"/>
            <w:gridSpan w:val="2"/>
          </w:tcPr>
          <w:p>
            <w:pPr>
              <w:spacing w:after="0"/>
              <w:rPr>
                <w:sz w:val="20"/>
                <w:szCs w:val="20"/>
                <w:color w:val="auto"/>
              </w:rPr>
            </w:pPr>
            <w:r>
              <w:rPr>
                <w:rFonts w:ascii="Arial" w:cs="Arial" w:eastAsia="Arial" w:hAnsi="Arial"/>
                <w:sz w:val="17"/>
                <w:szCs w:val="17"/>
                <w:color w:val="0000EE"/>
              </w:rPr>
              <w:t>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60" w:type="dxa"/>
            <w:vAlign w:val="bottom"/>
            <w:gridSpan w:val="2"/>
          </w:tcPr>
          <w:p>
            <w:pPr>
              <w:ind w:left="1260"/>
              <w:spacing w:after="0"/>
              <w:rPr>
                <w:sz w:val="20"/>
                <w:szCs w:val="20"/>
                <w:color w:val="auto"/>
              </w:rPr>
            </w:pPr>
            <w:r>
              <w:rPr>
                <w:rFonts w:ascii="Arial" w:cs="Arial" w:eastAsia="Arial" w:hAnsi="Arial"/>
                <w:sz w:val="17"/>
                <w:szCs w:val="17"/>
                <w:b w:val="1"/>
                <w:bCs w:val="1"/>
                <w:color w:val="0000EE"/>
                <w:w w:val="84"/>
              </w:rPr>
              <w:t>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gridSpan w:val="31"/>
          </w:tcPr>
          <w:p>
            <w:pPr>
              <w:spacing w:after="0"/>
              <w:rPr>
                <w:sz w:val="20"/>
                <w:szCs w:val="20"/>
                <w:color w:val="auto"/>
              </w:rPr>
            </w:pPr>
            <w:r>
              <w:rPr>
                <w:rFonts w:ascii="Arial" w:cs="Arial" w:eastAsia="Arial" w:hAnsi="Arial"/>
                <w:sz w:val="17"/>
                <w:szCs w:val="17"/>
                <w:b w:val="1"/>
                <w:bCs w:val="1"/>
                <w:color w:val="0000EE"/>
              </w:rPr>
              <w:t>POWERS AND RESPONSIBILITIES OF THE BOARD</w:t>
            </w:r>
          </w:p>
        </w:tc>
        <w:tc>
          <w:tcPr>
            <w:tcW w:w="100" w:type="dxa"/>
            <w:vAlign w:val="bottom"/>
          </w:tcPr>
          <w:p>
            <w:pPr>
              <w:spacing w:after="0"/>
              <w:rPr>
                <w:sz w:val="20"/>
                <w:szCs w:val="20"/>
                <w:color w:val="auto"/>
              </w:rPr>
            </w:pPr>
            <w:r>
              <w:rPr>
                <w:rFonts w:ascii="Arial" w:cs="Arial" w:eastAsia="Arial" w:hAnsi="Arial"/>
                <w:sz w:val="17"/>
                <w:szCs w:val="17"/>
                <w:b w:val="1"/>
                <w:bCs w:val="1"/>
                <w:color w:val="FF0000"/>
                <w:strike w:val="1"/>
                <w:w w:val="84"/>
              </w:rPr>
              <w:t>5</w:t>
            </w:r>
          </w:p>
        </w:tc>
        <w:tc>
          <w:tcPr>
            <w:tcW w:w="200" w:type="dxa"/>
            <w:vAlign w:val="bottom"/>
            <w:gridSpan w:val="2"/>
          </w:tcPr>
          <w:p>
            <w:pPr>
              <w:spacing w:after="0"/>
              <w:rPr>
                <w:sz w:val="20"/>
                <w:szCs w:val="20"/>
                <w:color w:val="auto"/>
              </w:rPr>
            </w:pPr>
            <w:r>
              <w:rPr>
                <w:rFonts w:ascii="Arial" w:cs="Arial" w:eastAsia="Arial" w:hAnsi="Arial"/>
                <w:sz w:val="17"/>
                <w:szCs w:val="17"/>
                <w:b w:val="1"/>
                <w:bCs w:val="1"/>
                <w:color w:val="0000FF"/>
              </w:rPr>
              <w:t>6</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00" w:type="dxa"/>
            <w:vAlign w:val="bottom"/>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00" w:type="dxa"/>
            <w:vAlign w:val="bottom"/>
            <w:gridSpan w:val="3"/>
          </w:tcPr>
          <w:p>
            <w:pPr>
              <w:ind w:left="1260"/>
              <w:spacing w:after="0"/>
              <w:rPr>
                <w:sz w:val="20"/>
                <w:szCs w:val="20"/>
                <w:color w:val="auto"/>
              </w:rPr>
            </w:pPr>
            <w:r>
              <w:rPr>
                <w:rFonts w:ascii="Arial" w:cs="Arial" w:eastAsia="Arial" w:hAnsi="Arial"/>
                <w:sz w:val="17"/>
                <w:szCs w:val="17"/>
                <w:color w:val="0000EE"/>
                <w:w w:val="84"/>
              </w:rPr>
              <w:t>2.</w:t>
            </w:r>
            <w:r>
              <w:rPr>
                <w:rFonts w:ascii="Arial" w:cs="Arial" w:eastAsia="Arial" w:hAnsi="Arial"/>
                <w:sz w:val="17"/>
                <w:szCs w:val="17"/>
                <w:u w:val="single" w:color="auto"/>
                <w:color w:val="0000EE"/>
                <w:w w:val="84"/>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gridSpan w:val="31"/>
          </w:tcPr>
          <w:p>
            <w:pPr>
              <w:spacing w:after="0"/>
              <w:rPr>
                <w:sz w:val="20"/>
                <w:szCs w:val="20"/>
                <w:color w:val="auto"/>
              </w:rPr>
            </w:pPr>
            <w:r>
              <w:rPr>
                <w:rFonts w:ascii="Arial" w:cs="Arial" w:eastAsia="Arial" w:hAnsi="Arial"/>
                <w:sz w:val="17"/>
                <w:szCs w:val="17"/>
                <w:color w:val="0000EE"/>
              </w:rPr>
              <w:t>Management of the business of the company</w:t>
            </w:r>
          </w:p>
        </w:tc>
        <w:tc>
          <w:tcPr>
            <w:tcW w:w="100" w:type="dxa"/>
            <w:vAlign w:val="bottom"/>
          </w:tcPr>
          <w:p>
            <w:pPr>
              <w:spacing w:after="0"/>
              <w:rPr>
                <w:sz w:val="20"/>
                <w:szCs w:val="20"/>
                <w:color w:val="auto"/>
              </w:rPr>
            </w:pPr>
            <w:r>
              <w:rPr>
                <w:rFonts w:ascii="Arial" w:cs="Arial" w:eastAsia="Arial" w:hAnsi="Arial"/>
                <w:sz w:val="17"/>
                <w:szCs w:val="17"/>
                <w:color w:val="FF0000"/>
                <w:strike w:val="1"/>
                <w:w w:val="84"/>
              </w:rPr>
              <w:t>5</w:t>
            </w:r>
          </w:p>
        </w:tc>
        <w:tc>
          <w:tcPr>
            <w:tcW w:w="200" w:type="dxa"/>
            <w:vAlign w:val="bottom"/>
            <w:gridSpan w:val="2"/>
          </w:tcPr>
          <w:p>
            <w:pPr>
              <w:spacing w:after="0"/>
              <w:rPr>
                <w:sz w:val="20"/>
                <w:szCs w:val="20"/>
                <w:color w:val="auto"/>
              </w:rPr>
            </w:pPr>
            <w:r>
              <w:rPr>
                <w:rFonts w:ascii="Arial" w:cs="Arial" w:eastAsia="Arial" w:hAnsi="Arial"/>
                <w:sz w:val="17"/>
                <w:szCs w:val="17"/>
                <w:color w:val="0000FF"/>
              </w:rPr>
              <w:t>6</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00" w:type="dxa"/>
            <w:vAlign w:val="bottom"/>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00" w:type="dxa"/>
            <w:vAlign w:val="bottom"/>
            <w:gridSpan w:val="3"/>
          </w:tcPr>
          <w:p>
            <w:pPr>
              <w:ind w:left="1260"/>
              <w:spacing w:after="0"/>
              <w:rPr>
                <w:sz w:val="20"/>
                <w:szCs w:val="20"/>
                <w:color w:val="auto"/>
              </w:rPr>
            </w:pPr>
            <w:r>
              <w:rPr>
                <w:rFonts w:ascii="Arial" w:cs="Arial" w:eastAsia="Arial" w:hAnsi="Arial"/>
                <w:sz w:val="17"/>
                <w:szCs w:val="17"/>
                <w:color w:val="0000EE"/>
                <w:w w:val="84"/>
              </w:rPr>
              <w:t>2.</w:t>
            </w:r>
            <w:r>
              <w:rPr>
                <w:rFonts w:ascii="Arial" w:cs="Arial" w:eastAsia="Arial" w:hAnsi="Arial"/>
                <w:sz w:val="17"/>
                <w:szCs w:val="17"/>
                <w:u w:val="single" w:color="auto"/>
                <w:color w:val="0000EE"/>
                <w:w w:val="84"/>
              </w:rPr>
              <w:t>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gridSpan w:val="31"/>
          </w:tcPr>
          <w:p>
            <w:pPr>
              <w:spacing w:after="0"/>
              <w:rPr>
                <w:sz w:val="20"/>
                <w:szCs w:val="20"/>
                <w:color w:val="auto"/>
              </w:rPr>
            </w:pPr>
            <w:r>
              <w:rPr>
                <w:rFonts w:ascii="Arial" w:cs="Arial" w:eastAsia="Arial" w:hAnsi="Arial"/>
                <w:sz w:val="17"/>
                <w:szCs w:val="17"/>
                <w:color w:val="0000EE"/>
              </w:rPr>
              <w:t>Delegation by the board</w:t>
            </w:r>
          </w:p>
        </w:tc>
        <w:tc>
          <w:tcPr>
            <w:tcW w:w="100" w:type="dxa"/>
            <w:vAlign w:val="bottom"/>
          </w:tcPr>
          <w:p>
            <w:pPr>
              <w:spacing w:after="0"/>
              <w:rPr>
                <w:sz w:val="20"/>
                <w:szCs w:val="20"/>
                <w:color w:val="auto"/>
              </w:rPr>
            </w:pPr>
            <w:r>
              <w:rPr>
                <w:rFonts w:ascii="Arial" w:cs="Arial" w:eastAsia="Arial" w:hAnsi="Arial"/>
                <w:sz w:val="17"/>
                <w:szCs w:val="17"/>
                <w:color w:val="FF0000"/>
                <w:strike w:val="1"/>
                <w:w w:val="84"/>
              </w:rPr>
              <w:t>5</w:t>
            </w:r>
          </w:p>
        </w:tc>
        <w:tc>
          <w:tcPr>
            <w:tcW w:w="200" w:type="dxa"/>
            <w:vAlign w:val="bottom"/>
            <w:gridSpan w:val="2"/>
          </w:tcPr>
          <w:p>
            <w:pPr>
              <w:spacing w:after="0"/>
              <w:rPr>
                <w:sz w:val="20"/>
                <w:szCs w:val="20"/>
                <w:color w:val="auto"/>
              </w:rPr>
            </w:pPr>
            <w:r>
              <w:rPr>
                <w:rFonts w:ascii="Arial" w:cs="Arial" w:eastAsia="Arial" w:hAnsi="Arial"/>
                <w:sz w:val="17"/>
                <w:szCs w:val="17"/>
                <w:color w:val="0000FF"/>
              </w:rPr>
              <w:t>6</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00" w:type="dxa"/>
            <w:vAlign w:val="bottom"/>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00" w:type="dxa"/>
            <w:vAlign w:val="bottom"/>
            <w:gridSpan w:val="3"/>
          </w:tcPr>
          <w:p>
            <w:pPr>
              <w:ind w:left="1260"/>
              <w:spacing w:after="0"/>
              <w:rPr>
                <w:sz w:val="20"/>
                <w:szCs w:val="20"/>
                <w:color w:val="auto"/>
              </w:rPr>
            </w:pPr>
            <w:r>
              <w:rPr>
                <w:rFonts w:ascii="Arial" w:cs="Arial" w:eastAsia="Arial" w:hAnsi="Arial"/>
                <w:sz w:val="17"/>
                <w:szCs w:val="17"/>
                <w:color w:val="0000EE"/>
                <w:w w:val="84"/>
              </w:rPr>
              <w:t>2.</w:t>
            </w:r>
            <w:r>
              <w:rPr>
                <w:rFonts w:ascii="Arial" w:cs="Arial" w:eastAsia="Arial" w:hAnsi="Arial"/>
                <w:sz w:val="17"/>
                <w:szCs w:val="17"/>
                <w:u w:val="single" w:color="auto"/>
                <w:color w:val="0000EE"/>
                <w:w w:val="84"/>
              </w:rPr>
              <w:t>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gridSpan w:val="31"/>
          </w:tcPr>
          <w:p>
            <w:pPr>
              <w:spacing w:after="0"/>
              <w:rPr>
                <w:sz w:val="20"/>
                <w:szCs w:val="20"/>
                <w:color w:val="auto"/>
              </w:rPr>
            </w:pPr>
            <w:r>
              <w:rPr>
                <w:rFonts w:ascii="Arial" w:cs="Arial" w:eastAsia="Arial" w:hAnsi="Arial"/>
                <w:sz w:val="17"/>
                <w:szCs w:val="17"/>
                <w:color w:val="0000EE"/>
              </w:rPr>
              <w:t>Committees</w:t>
            </w:r>
          </w:p>
        </w:tc>
        <w:tc>
          <w:tcPr>
            <w:tcW w:w="100" w:type="dxa"/>
            <w:vAlign w:val="bottom"/>
          </w:tcPr>
          <w:p>
            <w:pPr>
              <w:spacing w:after="0"/>
              <w:rPr>
                <w:sz w:val="20"/>
                <w:szCs w:val="20"/>
                <w:color w:val="auto"/>
              </w:rPr>
            </w:pPr>
            <w:r>
              <w:rPr>
                <w:rFonts w:ascii="Arial" w:cs="Arial" w:eastAsia="Arial" w:hAnsi="Arial"/>
                <w:sz w:val="17"/>
                <w:szCs w:val="17"/>
                <w:color w:val="FF0000"/>
                <w:strike w:val="1"/>
                <w:w w:val="84"/>
              </w:rPr>
              <w:t>5</w:t>
            </w:r>
          </w:p>
        </w:tc>
        <w:tc>
          <w:tcPr>
            <w:tcW w:w="200" w:type="dxa"/>
            <w:vAlign w:val="bottom"/>
            <w:gridSpan w:val="2"/>
          </w:tcPr>
          <w:p>
            <w:pPr>
              <w:spacing w:after="0"/>
              <w:rPr>
                <w:sz w:val="20"/>
                <w:szCs w:val="20"/>
                <w:color w:val="auto"/>
              </w:rPr>
            </w:pPr>
            <w:r>
              <w:rPr>
                <w:rFonts w:ascii="Arial" w:cs="Arial" w:eastAsia="Arial" w:hAnsi="Arial"/>
                <w:sz w:val="17"/>
                <w:szCs w:val="17"/>
                <w:color w:val="0000FF"/>
              </w:rPr>
              <w:t>6</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00" w:type="dxa"/>
            <w:vAlign w:val="bottom"/>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60" w:type="dxa"/>
            <w:vAlign w:val="bottom"/>
            <w:gridSpan w:val="2"/>
          </w:tcPr>
          <w:p>
            <w:pPr>
              <w:ind w:left="1260"/>
              <w:spacing w:after="0"/>
              <w:rPr>
                <w:sz w:val="20"/>
                <w:szCs w:val="20"/>
                <w:color w:val="auto"/>
              </w:rPr>
            </w:pPr>
            <w:r>
              <w:rPr>
                <w:rFonts w:ascii="Arial" w:cs="Arial" w:eastAsia="Arial" w:hAnsi="Arial"/>
                <w:sz w:val="17"/>
                <w:szCs w:val="17"/>
                <w:b w:val="1"/>
                <w:bCs w:val="1"/>
                <w:color w:val="0000EE"/>
                <w:w w:val="84"/>
              </w:rPr>
              <w:t>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gridSpan w:val="31"/>
          </w:tcPr>
          <w:p>
            <w:pPr>
              <w:spacing w:after="0"/>
              <w:rPr>
                <w:sz w:val="20"/>
                <w:szCs w:val="20"/>
                <w:color w:val="auto"/>
              </w:rPr>
            </w:pPr>
            <w:r>
              <w:rPr>
                <w:rFonts w:ascii="Arial" w:cs="Arial" w:eastAsia="Arial" w:hAnsi="Arial"/>
                <w:sz w:val="17"/>
                <w:szCs w:val="17"/>
                <w:b w:val="1"/>
                <w:bCs w:val="1"/>
                <w:color w:val="0000EE"/>
              </w:rPr>
              <w:t>PROCEEDINGS OF THE BOARD</w:t>
            </w:r>
          </w:p>
        </w:tc>
        <w:tc>
          <w:tcPr>
            <w:tcW w:w="100" w:type="dxa"/>
            <w:vAlign w:val="bottom"/>
          </w:tcPr>
          <w:p>
            <w:pPr>
              <w:spacing w:after="0"/>
              <w:rPr>
                <w:sz w:val="20"/>
                <w:szCs w:val="20"/>
                <w:color w:val="auto"/>
              </w:rPr>
            </w:pPr>
            <w:r>
              <w:rPr>
                <w:rFonts w:ascii="Arial" w:cs="Arial" w:eastAsia="Arial" w:hAnsi="Arial"/>
                <w:sz w:val="17"/>
                <w:szCs w:val="17"/>
                <w:b w:val="1"/>
                <w:bCs w:val="1"/>
                <w:color w:val="FF0000"/>
                <w:strike w:val="1"/>
                <w:w w:val="84"/>
              </w:rPr>
              <w:t>5</w:t>
            </w:r>
          </w:p>
        </w:tc>
        <w:tc>
          <w:tcPr>
            <w:tcW w:w="200" w:type="dxa"/>
            <w:vAlign w:val="bottom"/>
            <w:gridSpan w:val="2"/>
          </w:tcPr>
          <w:p>
            <w:pPr>
              <w:spacing w:after="0"/>
              <w:rPr>
                <w:sz w:val="20"/>
                <w:szCs w:val="20"/>
                <w:color w:val="auto"/>
              </w:rPr>
            </w:pPr>
            <w:r>
              <w:rPr>
                <w:rFonts w:ascii="Arial" w:cs="Arial" w:eastAsia="Arial" w:hAnsi="Arial"/>
                <w:sz w:val="17"/>
                <w:szCs w:val="17"/>
                <w:b w:val="1"/>
                <w:bCs w:val="1"/>
                <w:color w:val="0000FF"/>
              </w:rPr>
              <w:t>6</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00" w:type="dxa"/>
            <w:vAlign w:val="bottom"/>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00" w:type="dxa"/>
            <w:vAlign w:val="bottom"/>
            <w:gridSpan w:val="3"/>
          </w:tcPr>
          <w:p>
            <w:pPr>
              <w:ind w:left="1260"/>
              <w:spacing w:after="0"/>
              <w:rPr>
                <w:sz w:val="20"/>
                <w:szCs w:val="20"/>
                <w:color w:val="auto"/>
              </w:rPr>
            </w:pPr>
            <w:r>
              <w:rPr>
                <w:rFonts w:ascii="Arial" w:cs="Arial" w:eastAsia="Arial" w:hAnsi="Arial"/>
                <w:sz w:val="17"/>
                <w:szCs w:val="17"/>
                <w:color w:val="0000EE"/>
                <w:w w:val="84"/>
              </w:rPr>
              <w:t>3.</w:t>
            </w:r>
            <w:r>
              <w:rPr>
                <w:rFonts w:ascii="Arial" w:cs="Arial" w:eastAsia="Arial" w:hAnsi="Arial"/>
                <w:sz w:val="17"/>
                <w:szCs w:val="17"/>
                <w:u w:val="single" w:color="auto"/>
                <w:color w:val="0000EE"/>
                <w:w w:val="84"/>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gridSpan w:val="31"/>
          </w:tcPr>
          <w:p>
            <w:pPr>
              <w:spacing w:after="0"/>
              <w:rPr>
                <w:sz w:val="20"/>
                <w:szCs w:val="20"/>
                <w:color w:val="auto"/>
              </w:rPr>
            </w:pPr>
            <w:r>
              <w:rPr>
                <w:rFonts w:ascii="Arial" w:cs="Arial" w:eastAsia="Arial" w:hAnsi="Arial"/>
                <w:sz w:val="17"/>
                <w:szCs w:val="17"/>
                <w:color w:val="0000EE"/>
              </w:rPr>
              <w:t>Board meetings</w:t>
            </w:r>
          </w:p>
        </w:tc>
        <w:tc>
          <w:tcPr>
            <w:tcW w:w="100" w:type="dxa"/>
            <w:vAlign w:val="bottom"/>
          </w:tcPr>
          <w:p>
            <w:pPr>
              <w:spacing w:after="0"/>
              <w:rPr>
                <w:sz w:val="20"/>
                <w:szCs w:val="20"/>
                <w:color w:val="auto"/>
              </w:rPr>
            </w:pPr>
            <w:r>
              <w:rPr>
                <w:rFonts w:ascii="Arial" w:cs="Arial" w:eastAsia="Arial" w:hAnsi="Arial"/>
                <w:sz w:val="17"/>
                <w:szCs w:val="17"/>
                <w:color w:val="FF0000"/>
                <w:strike w:val="1"/>
                <w:w w:val="84"/>
              </w:rPr>
              <w:t>5</w:t>
            </w:r>
          </w:p>
        </w:tc>
        <w:tc>
          <w:tcPr>
            <w:tcW w:w="200" w:type="dxa"/>
            <w:vAlign w:val="bottom"/>
            <w:gridSpan w:val="2"/>
          </w:tcPr>
          <w:p>
            <w:pPr>
              <w:spacing w:after="0"/>
              <w:rPr>
                <w:sz w:val="20"/>
                <w:szCs w:val="20"/>
                <w:color w:val="auto"/>
              </w:rPr>
            </w:pPr>
            <w:r>
              <w:rPr>
                <w:rFonts w:ascii="Arial" w:cs="Arial" w:eastAsia="Arial" w:hAnsi="Arial"/>
                <w:sz w:val="17"/>
                <w:szCs w:val="17"/>
                <w:color w:val="0000FF"/>
              </w:rPr>
              <w:t>6</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00" w:type="dxa"/>
            <w:vAlign w:val="bottom"/>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00" w:type="dxa"/>
            <w:vAlign w:val="bottom"/>
            <w:gridSpan w:val="3"/>
          </w:tcPr>
          <w:p>
            <w:pPr>
              <w:ind w:left="1260"/>
              <w:spacing w:after="0"/>
              <w:rPr>
                <w:sz w:val="20"/>
                <w:szCs w:val="20"/>
                <w:color w:val="auto"/>
              </w:rPr>
            </w:pPr>
            <w:r>
              <w:rPr>
                <w:rFonts w:ascii="Arial" w:cs="Arial" w:eastAsia="Arial" w:hAnsi="Arial"/>
                <w:sz w:val="17"/>
                <w:szCs w:val="17"/>
                <w:color w:val="0000EE"/>
                <w:w w:val="84"/>
              </w:rPr>
              <w:t>3.</w:t>
            </w:r>
            <w:r>
              <w:rPr>
                <w:rFonts w:ascii="Arial" w:cs="Arial" w:eastAsia="Arial" w:hAnsi="Arial"/>
                <w:sz w:val="17"/>
                <w:szCs w:val="17"/>
                <w:u w:val="single" w:color="auto"/>
                <w:color w:val="0000EE"/>
                <w:w w:val="84"/>
              </w:rPr>
              <w:t>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gridSpan w:val="31"/>
          </w:tcPr>
          <w:p>
            <w:pPr>
              <w:spacing w:after="0"/>
              <w:rPr>
                <w:sz w:val="20"/>
                <w:szCs w:val="20"/>
                <w:color w:val="auto"/>
              </w:rPr>
            </w:pPr>
            <w:r>
              <w:rPr>
                <w:rFonts w:ascii="Arial" w:cs="Arial" w:eastAsia="Arial" w:hAnsi="Arial"/>
                <w:sz w:val="17"/>
                <w:szCs w:val="17"/>
                <w:color w:val="0000EE"/>
              </w:rPr>
              <w:t>Convening board meetings</w:t>
            </w:r>
          </w:p>
        </w:tc>
        <w:tc>
          <w:tcPr>
            <w:tcW w:w="100" w:type="dxa"/>
            <w:vAlign w:val="bottom"/>
          </w:tcPr>
          <w:p>
            <w:pPr>
              <w:spacing w:after="0"/>
              <w:rPr>
                <w:sz w:val="20"/>
                <w:szCs w:val="20"/>
                <w:color w:val="auto"/>
              </w:rPr>
            </w:pPr>
            <w:r>
              <w:rPr>
                <w:rFonts w:ascii="Arial" w:cs="Arial" w:eastAsia="Arial" w:hAnsi="Arial"/>
                <w:sz w:val="17"/>
                <w:szCs w:val="17"/>
                <w:color w:val="FF0000"/>
                <w:strike w:val="1"/>
                <w:w w:val="84"/>
              </w:rPr>
              <w:t>6</w:t>
            </w:r>
          </w:p>
        </w:tc>
        <w:tc>
          <w:tcPr>
            <w:tcW w:w="200" w:type="dxa"/>
            <w:vAlign w:val="bottom"/>
            <w:gridSpan w:val="2"/>
          </w:tcPr>
          <w:p>
            <w:pPr>
              <w:spacing w:after="0"/>
              <w:rPr>
                <w:sz w:val="20"/>
                <w:szCs w:val="20"/>
                <w:color w:val="auto"/>
              </w:rPr>
            </w:pPr>
            <w:r>
              <w:rPr>
                <w:rFonts w:ascii="Arial" w:cs="Arial" w:eastAsia="Arial" w:hAnsi="Arial"/>
                <w:sz w:val="17"/>
                <w:szCs w:val="17"/>
                <w:color w:val="0000FF"/>
              </w:rPr>
              <w:t>7</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8"/>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00" w:type="dxa"/>
            <w:vAlign w:val="bottom"/>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00" w:type="dxa"/>
            <w:vAlign w:val="bottom"/>
            <w:gridSpan w:val="3"/>
          </w:tcPr>
          <w:p>
            <w:pPr>
              <w:ind w:left="1260"/>
              <w:spacing w:after="0"/>
              <w:rPr>
                <w:sz w:val="20"/>
                <w:szCs w:val="20"/>
                <w:color w:val="auto"/>
              </w:rPr>
            </w:pPr>
            <w:r>
              <w:rPr>
                <w:rFonts w:ascii="Arial" w:cs="Arial" w:eastAsia="Arial" w:hAnsi="Arial"/>
                <w:sz w:val="17"/>
                <w:szCs w:val="17"/>
                <w:color w:val="0000EE"/>
                <w:w w:val="84"/>
              </w:rPr>
              <w:t>3.</w:t>
            </w:r>
            <w:r>
              <w:rPr>
                <w:rFonts w:ascii="Arial" w:cs="Arial" w:eastAsia="Arial" w:hAnsi="Arial"/>
                <w:sz w:val="17"/>
                <w:szCs w:val="17"/>
                <w:u w:val="single" w:color="auto"/>
                <w:color w:val="0000EE"/>
                <w:w w:val="84"/>
              </w:rPr>
              <w:t>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gridSpan w:val="31"/>
          </w:tcPr>
          <w:p>
            <w:pPr>
              <w:spacing w:after="0"/>
              <w:rPr>
                <w:sz w:val="20"/>
                <w:szCs w:val="20"/>
                <w:color w:val="auto"/>
              </w:rPr>
            </w:pPr>
            <w:r>
              <w:rPr>
                <w:rFonts w:ascii="Arial" w:cs="Arial" w:eastAsia="Arial" w:hAnsi="Arial"/>
                <w:sz w:val="17"/>
                <w:szCs w:val="17"/>
                <w:color w:val="0000EE"/>
              </w:rPr>
              <w:t>Notice of board meetings</w:t>
            </w:r>
          </w:p>
        </w:tc>
        <w:tc>
          <w:tcPr>
            <w:tcW w:w="100" w:type="dxa"/>
            <w:vAlign w:val="bottom"/>
          </w:tcPr>
          <w:p>
            <w:pPr>
              <w:spacing w:after="0"/>
              <w:rPr>
                <w:sz w:val="20"/>
                <w:szCs w:val="20"/>
                <w:color w:val="auto"/>
              </w:rPr>
            </w:pPr>
            <w:r>
              <w:rPr>
                <w:rFonts w:ascii="Arial" w:cs="Arial" w:eastAsia="Arial" w:hAnsi="Arial"/>
                <w:sz w:val="17"/>
                <w:szCs w:val="17"/>
                <w:color w:val="FF0000"/>
                <w:strike w:val="1"/>
                <w:w w:val="84"/>
              </w:rPr>
              <w:t>6</w:t>
            </w:r>
          </w:p>
        </w:tc>
        <w:tc>
          <w:tcPr>
            <w:tcW w:w="200" w:type="dxa"/>
            <w:vAlign w:val="bottom"/>
            <w:gridSpan w:val="2"/>
          </w:tcPr>
          <w:p>
            <w:pPr>
              <w:spacing w:after="0"/>
              <w:rPr>
                <w:sz w:val="20"/>
                <w:szCs w:val="20"/>
                <w:color w:val="auto"/>
              </w:rPr>
            </w:pPr>
            <w:r>
              <w:rPr>
                <w:rFonts w:ascii="Arial" w:cs="Arial" w:eastAsia="Arial" w:hAnsi="Arial"/>
                <w:sz w:val="17"/>
                <w:szCs w:val="17"/>
                <w:color w:val="0000FF"/>
              </w:rPr>
              <w:t>7</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8"/>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00" w:type="dxa"/>
            <w:vAlign w:val="bottom"/>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00" w:type="dxa"/>
            <w:vAlign w:val="bottom"/>
            <w:gridSpan w:val="3"/>
          </w:tcPr>
          <w:p>
            <w:pPr>
              <w:ind w:left="1260"/>
              <w:spacing w:after="0"/>
              <w:rPr>
                <w:sz w:val="20"/>
                <w:szCs w:val="20"/>
                <w:color w:val="auto"/>
              </w:rPr>
            </w:pPr>
            <w:r>
              <w:rPr>
                <w:rFonts w:ascii="Arial" w:cs="Arial" w:eastAsia="Arial" w:hAnsi="Arial"/>
                <w:sz w:val="17"/>
                <w:szCs w:val="17"/>
                <w:color w:val="0000EE"/>
                <w:w w:val="84"/>
              </w:rPr>
              <w:t>3.</w:t>
            </w:r>
            <w:r>
              <w:rPr>
                <w:rFonts w:ascii="Arial" w:cs="Arial" w:eastAsia="Arial" w:hAnsi="Arial"/>
                <w:sz w:val="17"/>
                <w:szCs w:val="17"/>
                <w:u w:val="single" w:color="auto"/>
                <w:color w:val="0000EE"/>
                <w:w w:val="84"/>
              </w:rPr>
              <w:t>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gridSpan w:val="31"/>
          </w:tcPr>
          <w:p>
            <w:pPr>
              <w:spacing w:after="0"/>
              <w:rPr>
                <w:sz w:val="20"/>
                <w:szCs w:val="20"/>
                <w:color w:val="auto"/>
              </w:rPr>
            </w:pPr>
            <w:r>
              <w:rPr>
                <w:rFonts w:ascii="Arial" w:cs="Arial" w:eastAsia="Arial" w:hAnsi="Arial"/>
                <w:sz w:val="17"/>
                <w:szCs w:val="17"/>
                <w:color w:val="0000EE"/>
              </w:rPr>
              <w:t>Failure to give notice</w:t>
            </w:r>
          </w:p>
        </w:tc>
        <w:tc>
          <w:tcPr>
            <w:tcW w:w="100" w:type="dxa"/>
            <w:vAlign w:val="bottom"/>
          </w:tcPr>
          <w:p>
            <w:pPr>
              <w:spacing w:after="0"/>
              <w:rPr>
                <w:sz w:val="20"/>
                <w:szCs w:val="20"/>
                <w:color w:val="auto"/>
              </w:rPr>
            </w:pPr>
            <w:r>
              <w:rPr>
                <w:rFonts w:ascii="Arial" w:cs="Arial" w:eastAsia="Arial" w:hAnsi="Arial"/>
                <w:sz w:val="17"/>
                <w:szCs w:val="17"/>
                <w:color w:val="FF0000"/>
                <w:strike w:val="1"/>
                <w:w w:val="84"/>
              </w:rPr>
              <w:t>6</w:t>
            </w:r>
          </w:p>
        </w:tc>
        <w:tc>
          <w:tcPr>
            <w:tcW w:w="200" w:type="dxa"/>
            <w:vAlign w:val="bottom"/>
            <w:gridSpan w:val="2"/>
          </w:tcPr>
          <w:p>
            <w:pPr>
              <w:spacing w:after="0"/>
              <w:rPr>
                <w:sz w:val="20"/>
                <w:szCs w:val="20"/>
                <w:color w:val="auto"/>
              </w:rPr>
            </w:pPr>
            <w:r>
              <w:rPr>
                <w:rFonts w:ascii="Arial" w:cs="Arial" w:eastAsia="Arial" w:hAnsi="Arial"/>
                <w:sz w:val="17"/>
                <w:szCs w:val="17"/>
                <w:color w:val="0000FF"/>
              </w:rPr>
              <w:t>7</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8"/>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00" w:type="dxa"/>
            <w:vAlign w:val="bottom"/>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00" w:type="dxa"/>
            <w:vAlign w:val="bottom"/>
            <w:gridSpan w:val="3"/>
          </w:tcPr>
          <w:p>
            <w:pPr>
              <w:ind w:left="1260"/>
              <w:spacing w:after="0"/>
              <w:rPr>
                <w:sz w:val="20"/>
                <w:szCs w:val="20"/>
                <w:color w:val="auto"/>
              </w:rPr>
            </w:pPr>
            <w:r>
              <w:rPr>
                <w:rFonts w:ascii="Arial" w:cs="Arial" w:eastAsia="Arial" w:hAnsi="Arial"/>
                <w:sz w:val="17"/>
                <w:szCs w:val="17"/>
                <w:color w:val="0000EE"/>
                <w:w w:val="84"/>
              </w:rPr>
              <w:t>3.</w:t>
            </w:r>
            <w:r>
              <w:rPr>
                <w:rFonts w:ascii="Arial" w:cs="Arial" w:eastAsia="Arial" w:hAnsi="Arial"/>
                <w:sz w:val="17"/>
                <w:szCs w:val="17"/>
                <w:u w:val="single" w:color="auto"/>
                <w:color w:val="0000EE"/>
                <w:w w:val="84"/>
              </w:rPr>
              <w:t>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gridSpan w:val="31"/>
          </w:tcPr>
          <w:p>
            <w:pPr>
              <w:spacing w:after="0"/>
              <w:rPr>
                <w:sz w:val="20"/>
                <w:szCs w:val="20"/>
                <w:color w:val="auto"/>
              </w:rPr>
            </w:pPr>
            <w:r>
              <w:rPr>
                <w:rFonts w:ascii="Arial" w:cs="Arial" w:eastAsia="Arial" w:hAnsi="Arial"/>
                <w:sz w:val="17"/>
                <w:szCs w:val="17"/>
                <w:color w:val="0000EE"/>
              </w:rPr>
              <w:t>Conduct of board meetings</w:t>
            </w:r>
          </w:p>
        </w:tc>
        <w:tc>
          <w:tcPr>
            <w:tcW w:w="100" w:type="dxa"/>
            <w:vAlign w:val="bottom"/>
          </w:tcPr>
          <w:p>
            <w:pPr>
              <w:spacing w:after="0"/>
              <w:rPr>
                <w:sz w:val="20"/>
                <w:szCs w:val="20"/>
                <w:color w:val="auto"/>
              </w:rPr>
            </w:pPr>
            <w:r>
              <w:rPr>
                <w:rFonts w:ascii="Arial" w:cs="Arial" w:eastAsia="Arial" w:hAnsi="Arial"/>
                <w:sz w:val="17"/>
                <w:szCs w:val="17"/>
                <w:color w:val="FF0000"/>
                <w:strike w:val="1"/>
                <w:w w:val="84"/>
              </w:rPr>
              <w:t>6</w:t>
            </w:r>
          </w:p>
        </w:tc>
        <w:tc>
          <w:tcPr>
            <w:tcW w:w="200" w:type="dxa"/>
            <w:vAlign w:val="bottom"/>
            <w:gridSpan w:val="2"/>
          </w:tcPr>
          <w:p>
            <w:pPr>
              <w:spacing w:after="0"/>
              <w:rPr>
                <w:sz w:val="20"/>
                <w:szCs w:val="20"/>
                <w:color w:val="auto"/>
              </w:rPr>
            </w:pPr>
            <w:r>
              <w:rPr>
                <w:rFonts w:ascii="Arial" w:cs="Arial" w:eastAsia="Arial" w:hAnsi="Arial"/>
                <w:sz w:val="17"/>
                <w:szCs w:val="17"/>
                <w:color w:val="0000FF"/>
              </w:rPr>
              <w:t>7</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8"/>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380" w:type="dxa"/>
            <w:vAlign w:val="bottom"/>
            <w:tcBorders>
              <w:left w:val="single" w:sz="8" w:color="0000EE"/>
            </w:tcBorders>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00" w:type="dxa"/>
            <w:vAlign w:val="bottom"/>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00" w:type="dxa"/>
            <w:vAlign w:val="bottom"/>
            <w:gridSpan w:val="3"/>
          </w:tcPr>
          <w:p>
            <w:pPr>
              <w:ind w:left="1260"/>
              <w:spacing w:after="0"/>
              <w:rPr>
                <w:sz w:val="20"/>
                <w:szCs w:val="20"/>
                <w:color w:val="auto"/>
              </w:rPr>
            </w:pPr>
            <w:r>
              <w:rPr>
                <w:rFonts w:ascii="Arial" w:cs="Arial" w:eastAsia="Arial" w:hAnsi="Arial"/>
                <w:sz w:val="17"/>
                <w:szCs w:val="17"/>
                <w:color w:val="0000EE"/>
                <w:w w:val="84"/>
              </w:rPr>
              <w:t>3.</w:t>
            </w:r>
            <w:r>
              <w:rPr>
                <w:rFonts w:ascii="Arial" w:cs="Arial" w:eastAsia="Arial" w:hAnsi="Arial"/>
                <w:sz w:val="17"/>
                <w:szCs w:val="17"/>
                <w:u w:val="single" w:color="auto"/>
                <w:color w:val="0000EE"/>
                <w:w w:val="84"/>
              </w:rPr>
              <w:t>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gridSpan w:val="31"/>
          </w:tcPr>
          <w:p>
            <w:pPr>
              <w:spacing w:after="0"/>
              <w:rPr>
                <w:sz w:val="20"/>
                <w:szCs w:val="20"/>
                <w:color w:val="auto"/>
              </w:rPr>
            </w:pPr>
            <w:r>
              <w:rPr>
                <w:rFonts w:ascii="Arial" w:cs="Arial" w:eastAsia="Arial" w:hAnsi="Arial"/>
                <w:sz w:val="17"/>
                <w:szCs w:val="17"/>
                <w:color w:val="0000EE"/>
              </w:rPr>
              <w:t>Director may participate and vote by proxy</w:t>
            </w:r>
          </w:p>
        </w:tc>
        <w:tc>
          <w:tcPr>
            <w:tcW w:w="100" w:type="dxa"/>
            <w:vAlign w:val="bottom"/>
          </w:tcPr>
          <w:p>
            <w:pPr>
              <w:spacing w:after="0"/>
              <w:rPr>
                <w:sz w:val="20"/>
                <w:szCs w:val="20"/>
                <w:color w:val="auto"/>
              </w:rPr>
            </w:pPr>
            <w:r>
              <w:rPr>
                <w:rFonts w:ascii="Arial" w:cs="Arial" w:eastAsia="Arial" w:hAnsi="Arial"/>
                <w:sz w:val="17"/>
                <w:szCs w:val="17"/>
                <w:color w:val="FF0000"/>
                <w:strike w:val="1"/>
                <w:w w:val="84"/>
              </w:rPr>
              <w:t>6</w:t>
            </w:r>
          </w:p>
        </w:tc>
        <w:tc>
          <w:tcPr>
            <w:tcW w:w="200" w:type="dxa"/>
            <w:vAlign w:val="bottom"/>
            <w:gridSpan w:val="2"/>
          </w:tcPr>
          <w:p>
            <w:pPr>
              <w:spacing w:after="0"/>
              <w:rPr>
                <w:sz w:val="20"/>
                <w:szCs w:val="20"/>
                <w:color w:val="auto"/>
              </w:rPr>
            </w:pPr>
            <w:r>
              <w:rPr>
                <w:rFonts w:ascii="Arial" w:cs="Arial" w:eastAsia="Arial" w:hAnsi="Arial"/>
                <w:sz w:val="17"/>
                <w:szCs w:val="17"/>
                <w:color w:val="0000FF"/>
              </w:rPr>
              <w:t>7</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8"/>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00" w:type="dxa"/>
            <w:vAlign w:val="bottom"/>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00" w:type="dxa"/>
            <w:vAlign w:val="bottom"/>
            <w:gridSpan w:val="3"/>
          </w:tcPr>
          <w:p>
            <w:pPr>
              <w:ind w:left="1260"/>
              <w:spacing w:after="0"/>
              <w:rPr>
                <w:sz w:val="20"/>
                <w:szCs w:val="20"/>
                <w:color w:val="auto"/>
              </w:rPr>
            </w:pPr>
            <w:r>
              <w:rPr>
                <w:rFonts w:ascii="Arial" w:cs="Arial" w:eastAsia="Arial" w:hAnsi="Arial"/>
                <w:sz w:val="17"/>
                <w:szCs w:val="17"/>
                <w:color w:val="0000EE"/>
                <w:w w:val="84"/>
              </w:rPr>
              <w:t>3.</w:t>
            </w:r>
            <w:r>
              <w:rPr>
                <w:rFonts w:ascii="Arial" w:cs="Arial" w:eastAsia="Arial" w:hAnsi="Arial"/>
                <w:sz w:val="17"/>
                <w:szCs w:val="17"/>
                <w:u w:val="single" w:color="auto"/>
                <w:color w:val="0000EE"/>
                <w:w w:val="84"/>
              </w:rPr>
              <w:t>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gridSpan w:val="31"/>
          </w:tcPr>
          <w:p>
            <w:pPr>
              <w:spacing w:after="0"/>
              <w:rPr>
                <w:sz w:val="20"/>
                <w:szCs w:val="20"/>
                <w:color w:val="auto"/>
              </w:rPr>
            </w:pPr>
            <w:r>
              <w:rPr>
                <w:rFonts w:ascii="Arial" w:cs="Arial" w:eastAsia="Arial" w:hAnsi="Arial"/>
                <w:sz w:val="17"/>
                <w:szCs w:val="17"/>
                <w:color w:val="0000EE"/>
              </w:rPr>
              <w:t>Quorum for board meeting</w:t>
            </w:r>
          </w:p>
        </w:tc>
        <w:tc>
          <w:tcPr>
            <w:tcW w:w="100" w:type="dxa"/>
            <w:vAlign w:val="bottom"/>
          </w:tcPr>
          <w:p>
            <w:pPr>
              <w:spacing w:after="0"/>
              <w:rPr>
                <w:sz w:val="20"/>
                <w:szCs w:val="20"/>
                <w:color w:val="auto"/>
              </w:rPr>
            </w:pPr>
            <w:r>
              <w:rPr>
                <w:rFonts w:ascii="Arial" w:cs="Arial" w:eastAsia="Arial" w:hAnsi="Arial"/>
                <w:sz w:val="17"/>
                <w:szCs w:val="17"/>
                <w:color w:val="FF0000"/>
                <w:strike w:val="1"/>
                <w:w w:val="84"/>
              </w:rPr>
              <w:t>7</w:t>
            </w:r>
          </w:p>
        </w:tc>
        <w:tc>
          <w:tcPr>
            <w:tcW w:w="200" w:type="dxa"/>
            <w:vAlign w:val="bottom"/>
            <w:gridSpan w:val="2"/>
          </w:tcPr>
          <w:p>
            <w:pPr>
              <w:spacing w:after="0"/>
              <w:rPr>
                <w:sz w:val="20"/>
                <w:szCs w:val="20"/>
                <w:color w:val="auto"/>
              </w:rPr>
            </w:pPr>
            <w:r>
              <w:rPr>
                <w:rFonts w:ascii="Arial" w:cs="Arial" w:eastAsia="Arial" w:hAnsi="Arial"/>
                <w:sz w:val="17"/>
                <w:szCs w:val="17"/>
                <w:color w:val="0000FF"/>
              </w:rPr>
              <w:t>8</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8"/>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00" w:type="dxa"/>
            <w:vAlign w:val="bottom"/>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00" w:type="dxa"/>
            <w:vAlign w:val="bottom"/>
            <w:gridSpan w:val="3"/>
          </w:tcPr>
          <w:p>
            <w:pPr>
              <w:ind w:left="1260"/>
              <w:spacing w:after="0"/>
              <w:rPr>
                <w:sz w:val="20"/>
                <w:szCs w:val="20"/>
                <w:color w:val="auto"/>
              </w:rPr>
            </w:pPr>
            <w:r>
              <w:rPr>
                <w:rFonts w:ascii="Arial" w:cs="Arial" w:eastAsia="Arial" w:hAnsi="Arial"/>
                <w:sz w:val="17"/>
                <w:szCs w:val="17"/>
                <w:color w:val="0000EE"/>
                <w:w w:val="84"/>
              </w:rPr>
              <w:t>3.</w:t>
            </w:r>
            <w:r>
              <w:rPr>
                <w:rFonts w:ascii="Arial" w:cs="Arial" w:eastAsia="Arial" w:hAnsi="Arial"/>
                <w:sz w:val="17"/>
                <w:szCs w:val="17"/>
                <w:u w:val="single" w:color="auto"/>
                <w:color w:val="0000EE"/>
                <w:w w:val="84"/>
              </w:rPr>
              <w:t>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gridSpan w:val="31"/>
          </w:tcPr>
          <w:p>
            <w:pPr>
              <w:spacing w:after="0"/>
              <w:rPr>
                <w:sz w:val="20"/>
                <w:szCs w:val="20"/>
                <w:color w:val="auto"/>
              </w:rPr>
            </w:pPr>
            <w:r>
              <w:rPr>
                <w:rFonts w:ascii="Arial" w:cs="Arial" w:eastAsia="Arial" w:hAnsi="Arial"/>
                <w:sz w:val="17"/>
                <w:szCs w:val="17"/>
                <w:color w:val="0000EE"/>
              </w:rPr>
              <w:t>Chair and deputy chair of the board</w:t>
            </w:r>
          </w:p>
        </w:tc>
        <w:tc>
          <w:tcPr>
            <w:tcW w:w="100" w:type="dxa"/>
            <w:vAlign w:val="bottom"/>
          </w:tcPr>
          <w:p>
            <w:pPr>
              <w:spacing w:after="0"/>
              <w:rPr>
                <w:sz w:val="20"/>
                <w:szCs w:val="20"/>
                <w:color w:val="auto"/>
              </w:rPr>
            </w:pPr>
            <w:r>
              <w:rPr>
                <w:rFonts w:ascii="Arial" w:cs="Arial" w:eastAsia="Arial" w:hAnsi="Arial"/>
                <w:sz w:val="17"/>
                <w:szCs w:val="17"/>
                <w:color w:val="FF0000"/>
                <w:strike w:val="1"/>
                <w:w w:val="84"/>
              </w:rPr>
              <w:t>7</w:t>
            </w:r>
          </w:p>
        </w:tc>
        <w:tc>
          <w:tcPr>
            <w:tcW w:w="200" w:type="dxa"/>
            <w:vAlign w:val="bottom"/>
            <w:gridSpan w:val="2"/>
          </w:tcPr>
          <w:p>
            <w:pPr>
              <w:spacing w:after="0"/>
              <w:rPr>
                <w:sz w:val="20"/>
                <w:szCs w:val="20"/>
                <w:color w:val="auto"/>
              </w:rPr>
            </w:pPr>
            <w:r>
              <w:rPr>
                <w:rFonts w:ascii="Arial" w:cs="Arial" w:eastAsia="Arial" w:hAnsi="Arial"/>
                <w:sz w:val="17"/>
                <w:szCs w:val="17"/>
                <w:color w:val="0000FF"/>
              </w:rPr>
              <w:t>8</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8"/>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00" w:type="dxa"/>
            <w:vAlign w:val="bottom"/>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00" w:type="dxa"/>
            <w:vAlign w:val="bottom"/>
            <w:gridSpan w:val="3"/>
          </w:tcPr>
          <w:p>
            <w:pPr>
              <w:ind w:left="1260"/>
              <w:spacing w:after="0"/>
              <w:rPr>
                <w:sz w:val="20"/>
                <w:szCs w:val="20"/>
                <w:color w:val="auto"/>
              </w:rPr>
            </w:pPr>
            <w:r>
              <w:rPr>
                <w:rFonts w:ascii="Arial" w:cs="Arial" w:eastAsia="Arial" w:hAnsi="Arial"/>
                <w:sz w:val="17"/>
                <w:szCs w:val="17"/>
                <w:color w:val="0000EE"/>
                <w:w w:val="84"/>
              </w:rPr>
              <w:t>3.</w:t>
            </w:r>
            <w:r>
              <w:rPr>
                <w:rFonts w:ascii="Arial" w:cs="Arial" w:eastAsia="Arial" w:hAnsi="Arial"/>
                <w:sz w:val="17"/>
                <w:szCs w:val="17"/>
                <w:u w:val="single" w:color="auto"/>
                <w:color w:val="0000EE"/>
                <w:w w:val="84"/>
              </w:rPr>
              <w:t>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gridSpan w:val="31"/>
          </w:tcPr>
          <w:p>
            <w:pPr>
              <w:spacing w:after="0"/>
              <w:rPr>
                <w:sz w:val="20"/>
                <w:szCs w:val="20"/>
                <w:color w:val="auto"/>
              </w:rPr>
            </w:pPr>
            <w:r>
              <w:rPr>
                <w:rFonts w:ascii="Arial" w:cs="Arial" w:eastAsia="Arial" w:hAnsi="Arial"/>
                <w:sz w:val="17"/>
                <w:szCs w:val="17"/>
                <w:color w:val="0000EE"/>
              </w:rPr>
              <w:t>Chair of board meeting</w:t>
            </w:r>
          </w:p>
        </w:tc>
        <w:tc>
          <w:tcPr>
            <w:tcW w:w="100" w:type="dxa"/>
            <w:vAlign w:val="bottom"/>
          </w:tcPr>
          <w:p>
            <w:pPr>
              <w:spacing w:after="0"/>
              <w:rPr>
                <w:sz w:val="20"/>
                <w:szCs w:val="20"/>
                <w:color w:val="auto"/>
              </w:rPr>
            </w:pPr>
            <w:r>
              <w:rPr>
                <w:rFonts w:ascii="Arial" w:cs="Arial" w:eastAsia="Arial" w:hAnsi="Arial"/>
                <w:sz w:val="17"/>
                <w:szCs w:val="17"/>
                <w:color w:val="FF0000"/>
                <w:strike w:val="1"/>
                <w:w w:val="84"/>
              </w:rPr>
              <w:t>7</w:t>
            </w:r>
          </w:p>
        </w:tc>
        <w:tc>
          <w:tcPr>
            <w:tcW w:w="200" w:type="dxa"/>
            <w:vAlign w:val="bottom"/>
            <w:gridSpan w:val="2"/>
          </w:tcPr>
          <w:p>
            <w:pPr>
              <w:spacing w:after="0"/>
              <w:rPr>
                <w:sz w:val="20"/>
                <w:szCs w:val="20"/>
                <w:color w:val="auto"/>
              </w:rPr>
            </w:pPr>
            <w:r>
              <w:rPr>
                <w:rFonts w:ascii="Arial" w:cs="Arial" w:eastAsia="Arial" w:hAnsi="Arial"/>
                <w:sz w:val="17"/>
                <w:szCs w:val="17"/>
                <w:color w:val="0000FF"/>
              </w:rPr>
              <w:t>8</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8"/>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00" w:type="dxa"/>
            <w:vAlign w:val="bottom"/>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80" w:type="dxa"/>
            <w:vAlign w:val="bottom"/>
            <w:gridSpan w:val="4"/>
          </w:tcPr>
          <w:p>
            <w:pPr>
              <w:ind w:left="1260"/>
              <w:spacing w:after="0"/>
              <w:rPr>
                <w:sz w:val="20"/>
                <w:szCs w:val="20"/>
                <w:color w:val="auto"/>
              </w:rPr>
            </w:pPr>
            <w:r>
              <w:rPr>
                <w:rFonts w:ascii="Arial" w:cs="Arial" w:eastAsia="Arial" w:hAnsi="Arial"/>
                <w:sz w:val="17"/>
                <w:szCs w:val="17"/>
                <w:color w:val="0000EE"/>
                <w:w w:val="84"/>
              </w:rPr>
              <w:t>3.</w:t>
            </w:r>
            <w:r>
              <w:rPr>
                <w:rFonts w:ascii="Arial" w:cs="Arial" w:eastAsia="Arial" w:hAnsi="Arial"/>
                <w:sz w:val="17"/>
                <w:szCs w:val="17"/>
                <w:u w:val="single" w:color="auto"/>
                <w:color w:val="0000EE"/>
                <w:w w:val="84"/>
              </w:rPr>
              <w:t>10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gridSpan w:val="31"/>
          </w:tcPr>
          <w:p>
            <w:pPr>
              <w:spacing w:after="0"/>
              <w:rPr>
                <w:sz w:val="20"/>
                <w:szCs w:val="20"/>
                <w:color w:val="auto"/>
              </w:rPr>
            </w:pPr>
            <w:r>
              <w:rPr>
                <w:rFonts w:ascii="Arial" w:cs="Arial" w:eastAsia="Arial" w:hAnsi="Arial"/>
                <w:sz w:val="17"/>
                <w:szCs w:val="17"/>
                <w:color w:val="0000EE"/>
              </w:rPr>
              <w:t>How board resolutions are decided</w:t>
            </w:r>
          </w:p>
        </w:tc>
        <w:tc>
          <w:tcPr>
            <w:tcW w:w="100" w:type="dxa"/>
            <w:vAlign w:val="bottom"/>
          </w:tcPr>
          <w:p>
            <w:pPr>
              <w:spacing w:after="0"/>
              <w:rPr>
                <w:sz w:val="20"/>
                <w:szCs w:val="20"/>
                <w:color w:val="auto"/>
              </w:rPr>
            </w:pPr>
            <w:r>
              <w:rPr>
                <w:rFonts w:ascii="Arial" w:cs="Arial" w:eastAsia="Arial" w:hAnsi="Arial"/>
                <w:sz w:val="17"/>
                <w:szCs w:val="17"/>
                <w:color w:val="FF0000"/>
                <w:strike w:val="1"/>
                <w:w w:val="84"/>
              </w:rPr>
              <w:t>7</w:t>
            </w:r>
          </w:p>
        </w:tc>
        <w:tc>
          <w:tcPr>
            <w:tcW w:w="200" w:type="dxa"/>
            <w:vAlign w:val="bottom"/>
            <w:gridSpan w:val="2"/>
          </w:tcPr>
          <w:p>
            <w:pPr>
              <w:spacing w:after="0"/>
              <w:rPr>
                <w:sz w:val="20"/>
                <w:szCs w:val="20"/>
                <w:color w:val="auto"/>
              </w:rPr>
            </w:pPr>
            <w:r>
              <w:rPr>
                <w:rFonts w:ascii="Arial" w:cs="Arial" w:eastAsia="Arial" w:hAnsi="Arial"/>
                <w:sz w:val="17"/>
                <w:szCs w:val="17"/>
                <w:color w:val="0000FF"/>
              </w:rPr>
              <w:t>8</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8"/>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5"/>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00" w:type="dxa"/>
            <w:vAlign w:val="bottom"/>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80" w:type="dxa"/>
            <w:vAlign w:val="bottom"/>
            <w:gridSpan w:val="4"/>
          </w:tcPr>
          <w:p>
            <w:pPr>
              <w:ind w:left="1260"/>
              <w:spacing w:after="0"/>
              <w:rPr>
                <w:sz w:val="20"/>
                <w:szCs w:val="20"/>
                <w:color w:val="auto"/>
              </w:rPr>
            </w:pPr>
            <w:r>
              <w:rPr>
                <w:rFonts w:ascii="Arial" w:cs="Arial" w:eastAsia="Arial" w:hAnsi="Arial"/>
                <w:sz w:val="17"/>
                <w:szCs w:val="17"/>
                <w:color w:val="0000EE"/>
                <w:w w:val="84"/>
              </w:rPr>
              <w:t>3.</w:t>
            </w:r>
            <w:r>
              <w:rPr>
                <w:rFonts w:ascii="Arial" w:cs="Arial" w:eastAsia="Arial" w:hAnsi="Arial"/>
                <w:sz w:val="17"/>
                <w:szCs w:val="17"/>
                <w:u w:val="single" w:color="auto"/>
                <w:color w:val="0000EE"/>
                <w:w w:val="84"/>
              </w:rPr>
              <w:t>11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gridSpan w:val="31"/>
          </w:tcPr>
          <w:p>
            <w:pPr>
              <w:spacing w:after="0"/>
              <w:rPr>
                <w:sz w:val="20"/>
                <w:szCs w:val="20"/>
                <w:color w:val="auto"/>
              </w:rPr>
            </w:pPr>
            <w:r>
              <w:rPr>
                <w:rFonts w:ascii="Arial" w:cs="Arial" w:eastAsia="Arial" w:hAnsi="Arial"/>
                <w:sz w:val="17"/>
                <w:szCs w:val="17"/>
                <w:color w:val="0000EE"/>
              </w:rPr>
              <w:t>Voting rights of alternate directors and proxies</w:t>
            </w:r>
          </w:p>
        </w:tc>
        <w:tc>
          <w:tcPr>
            <w:tcW w:w="100" w:type="dxa"/>
            <w:vAlign w:val="bottom"/>
          </w:tcPr>
          <w:p>
            <w:pPr>
              <w:spacing w:after="0"/>
              <w:rPr>
                <w:sz w:val="20"/>
                <w:szCs w:val="20"/>
                <w:color w:val="auto"/>
              </w:rPr>
            </w:pPr>
            <w:r>
              <w:rPr>
                <w:rFonts w:ascii="Arial" w:cs="Arial" w:eastAsia="Arial" w:hAnsi="Arial"/>
                <w:sz w:val="17"/>
                <w:szCs w:val="17"/>
                <w:color w:val="FF0000"/>
                <w:strike w:val="1"/>
                <w:w w:val="84"/>
              </w:rPr>
              <w:t>7</w:t>
            </w:r>
          </w:p>
        </w:tc>
        <w:tc>
          <w:tcPr>
            <w:tcW w:w="200" w:type="dxa"/>
            <w:vAlign w:val="bottom"/>
            <w:gridSpan w:val="2"/>
          </w:tcPr>
          <w:p>
            <w:pPr>
              <w:spacing w:after="0"/>
              <w:rPr>
                <w:sz w:val="20"/>
                <w:szCs w:val="20"/>
                <w:color w:val="auto"/>
              </w:rPr>
            </w:pPr>
            <w:r>
              <w:rPr>
                <w:rFonts w:ascii="Arial" w:cs="Arial" w:eastAsia="Arial" w:hAnsi="Arial"/>
                <w:sz w:val="17"/>
                <w:szCs w:val="17"/>
                <w:color w:val="0000FF"/>
              </w:rPr>
              <w:t>8</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8"/>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5"/>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50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00" w:type="dxa"/>
            <w:vAlign w:val="bottom"/>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80" w:type="dxa"/>
            <w:vAlign w:val="bottom"/>
            <w:gridSpan w:val="4"/>
          </w:tcPr>
          <w:p>
            <w:pPr>
              <w:ind w:left="1260"/>
              <w:spacing w:after="0"/>
              <w:rPr>
                <w:sz w:val="20"/>
                <w:szCs w:val="20"/>
                <w:color w:val="auto"/>
              </w:rPr>
            </w:pPr>
            <w:r>
              <w:rPr>
                <w:rFonts w:ascii="Arial" w:cs="Arial" w:eastAsia="Arial" w:hAnsi="Arial"/>
                <w:sz w:val="17"/>
                <w:szCs w:val="17"/>
                <w:color w:val="0000EE"/>
                <w:w w:val="84"/>
              </w:rPr>
              <w:t>3.</w:t>
            </w:r>
            <w:r>
              <w:rPr>
                <w:rFonts w:ascii="Arial" w:cs="Arial" w:eastAsia="Arial" w:hAnsi="Arial"/>
                <w:sz w:val="17"/>
                <w:szCs w:val="17"/>
                <w:u w:val="single" w:color="auto"/>
                <w:color w:val="0000EE"/>
                <w:w w:val="84"/>
              </w:rPr>
              <w:t>12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gridSpan w:val="31"/>
          </w:tcPr>
          <w:p>
            <w:pPr>
              <w:spacing w:after="0"/>
              <w:rPr>
                <w:sz w:val="20"/>
                <w:szCs w:val="20"/>
                <w:color w:val="auto"/>
              </w:rPr>
            </w:pPr>
            <w:r>
              <w:rPr>
                <w:rFonts w:ascii="Arial" w:cs="Arial" w:eastAsia="Arial" w:hAnsi="Arial"/>
                <w:sz w:val="17"/>
                <w:szCs w:val="17"/>
                <w:color w:val="0000EE"/>
              </w:rPr>
              <w:t>Written resolutions</w:t>
            </w:r>
          </w:p>
        </w:tc>
        <w:tc>
          <w:tcPr>
            <w:tcW w:w="100" w:type="dxa"/>
            <w:vAlign w:val="bottom"/>
          </w:tcPr>
          <w:p>
            <w:pPr>
              <w:spacing w:after="0"/>
              <w:rPr>
                <w:sz w:val="20"/>
                <w:szCs w:val="20"/>
                <w:color w:val="auto"/>
              </w:rPr>
            </w:pPr>
            <w:r>
              <w:rPr>
                <w:rFonts w:ascii="Arial" w:cs="Arial" w:eastAsia="Arial" w:hAnsi="Arial"/>
                <w:sz w:val="17"/>
                <w:szCs w:val="17"/>
                <w:color w:val="FF0000"/>
                <w:strike w:val="1"/>
                <w:w w:val="84"/>
              </w:rPr>
              <w:t>7</w:t>
            </w:r>
          </w:p>
        </w:tc>
        <w:tc>
          <w:tcPr>
            <w:tcW w:w="200" w:type="dxa"/>
            <w:vAlign w:val="bottom"/>
            <w:gridSpan w:val="2"/>
          </w:tcPr>
          <w:p>
            <w:pPr>
              <w:spacing w:after="0"/>
              <w:rPr>
                <w:sz w:val="20"/>
                <w:szCs w:val="20"/>
                <w:color w:val="auto"/>
              </w:rPr>
            </w:pPr>
            <w:r>
              <w:rPr>
                <w:rFonts w:ascii="Arial" w:cs="Arial" w:eastAsia="Arial" w:hAnsi="Arial"/>
                <w:sz w:val="17"/>
                <w:szCs w:val="17"/>
                <w:color w:val="0000FF"/>
              </w:rPr>
              <w:t>8</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8"/>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00" w:type="dxa"/>
            <w:vAlign w:val="bottom"/>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80" w:type="dxa"/>
            <w:vAlign w:val="bottom"/>
            <w:gridSpan w:val="4"/>
          </w:tcPr>
          <w:p>
            <w:pPr>
              <w:ind w:left="1260"/>
              <w:spacing w:after="0"/>
              <w:rPr>
                <w:sz w:val="20"/>
                <w:szCs w:val="20"/>
                <w:color w:val="auto"/>
              </w:rPr>
            </w:pPr>
            <w:r>
              <w:rPr>
                <w:rFonts w:ascii="Arial" w:cs="Arial" w:eastAsia="Arial" w:hAnsi="Arial"/>
                <w:sz w:val="17"/>
                <w:szCs w:val="17"/>
                <w:color w:val="0000EE"/>
                <w:w w:val="84"/>
              </w:rPr>
              <w:t>3.</w:t>
            </w:r>
            <w:r>
              <w:rPr>
                <w:rFonts w:ascii="Arial" w:cs="Arial" w:eastAsia="Arial" w:hAnsi="Arial"/>
                <w:sz w:val="17"/>
                <w:szCs w:val="17"/>
                <w:u w:val="single" w:color="auto"/>
                <w:color w:val="0000EE"/>
                <w:w w:val="84"/>
              </w:rPr>
              <w:t>13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gridSpan w:val="31"/>
          </w:tcPr>
          <w:p>
            <w:pPr>
              <w:spacing w:after="0"/>
              <w:rPr>
                <w:sz w:val="20"/>
                <w:szCs w:val="20"/>
                <w:color w:val="auto"/>
              </w:rPr>
            </w:pPr>
            <w:r>
              <w:rPr>
                <w:rFonts w:ascii="Arial" w:cs="Arial" w:eastAsia="Arial" w:hAnsi="Arial"/>
                <w:sz w:val="17"/>
                <w:szCs w:val="17"/>
                <w:color w:val="0000EE"/>
              </w:rPr>
              <w:t>Assenting to a written resolution</w:t>
            </w:r>
          </w:p>
        </w:tc>
        <w:tc>
          <w:tcPr>
            <w:tcW w:w="100" w:type="dxa"/>
            <w:vAlign w:val="bottom"/>
          </w:tcPr>
          <w:p>
            <w:pPr>
              <w:spacing w:after="0"/>
              <w:rPr>
                <w:sz w:val="20"/>
                <w:szCs w:val="20"/>
                <w:color w:val="auto"/>
              </w:rPr>
            </w:pPr>
            <w:r>
              <w:rPr>
                <w:rFonts w:ascii="Arial" w:cs="Arial" w:eastAsia="Arial" w:hAnsi="Arial"/>
                <w:sz w:val="17"/>
                <w:szCs w:val="17"/>
                <w:color w:val="FF0000"/>
                <w:strike w:val="1"/>
                <w:w w:val="84"/>
              </w:rPr>
              <w:t>8</w:t>
            </w:r>
          </w:p>
        </w:tc>
        <w:tc>
          <w:tcPr>
            <w:tcW w:w="200" w:type="dxa"/>
            <w:vAlign w:val="bottom"/>
            <w:gridSpan w:val="2"/>
          </w:tcPr>
          <w:p>
            <w:pPr>
              <w:spacing w:after="0"/>
              <w:rPr>
                <w:sz w:val="20"/>
                <w:szCs w:val="20"/>
                <w:color w:val="auto"/>
              </w:rPr>
            </w:pPr>
            <w:r>
              <w:rPr>
                <w:rFonts w:ascii="Arial" w:cs="Arial" w:eastAsia="Arial" w:hAnsi="Arial"/>
                <w:sz w:val="17"/>
                <w:szCs w:val="17"/>
                <w:color w:val="0000FF"/>
              </w:rPr>
              <w:t>9</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gridSpan w:val="9"/>
            <w:shd w:val="clear" w:color="auto" w:fill="0000EE"/>
          </w:tcPr>
          <w:p>
            <w:pPr>
              <w:spacing w:after="0" w:line="20" w:lineRule="exact"/>
              <w:rPr>
                <w:sz w:val="1"/>
                <w:szCs w:val="1"/>
                <w:color w:val="auto"/>
              </w:rPr>
            </w:pPr>
          </w:p>
        </w:tc>
        <w:tc>
          <w:tcPr>
            <w:tcW w:w="500" w:type="dxa"/>
            <w:vAlign w:val="bottom"/>
            <w:tcBorders>
              <w:right w:val="single" w:sz="8" w:color="0000EE"/>
            </w:tcBorders>
            <w:gridSpan w:val="5"/>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500" w:type="dxa"/>
            <w:vAlign w:val="bottom"/>
            <w:tcBorders>
              <w:left w:val="single" w:sz="8" w:color="0000EE"/>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00" w:type="dxa"/>
            <w:vAlign w:val="bottom"/>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80" w:type="dxa"/>
            <w:vAlign w:val="bottom"/>
            <w:gridSpan w:val="4"/>
          </w:tcPr>
          <w:p>
            <w:pPr>
              <w:ind w:left="1260"/>
              <w:spacing w:after="0"/>
              <w:rPr>
                <w:sz w:val="20"/>
                <w:szCs w:val="20"/>
                <w:color w:val="auto"/>
              </w:rPr>
            </w:pPr>
            <w:r>
              <w:rPr>
                <w:rFonts w:ascii="Arial" w:cs="Arial" w:eastAsia="Arial" w:hAnsi="Arial"/>
                <w:sz w:val="17"/>
                <w:szCs w:val="17"/>
                <w:color w:val="0000EE"/>
                <w:w w:val="84"/>
              </w:rPr>
              <w:t>3.</w:t>
            </w:r>
            <w:r>
              <w:rPr>
                <w:rFonts w:ascii="Arial" w:cs="Arial" w:eastAsia="Arial" w:hAnsi="Arial"/>
                <w:sz w:val="17"/>
                <w:szCs w:val="17"/>
                <w:u w:val="single" w:color="auto"/>
                <w:color w:val="0000EE"/>
                <w:w w:val="84"/>
              </w:rPr>
              <w:t>14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gridSpan w:val="31"/>
          </w:tcPr>
          <w:p>
            <w:pPr>
              <w:spacing w:after="0"/>
              <w:rPr>
                <w:sz w:val="20"/>
                <w:szCs w:val="20"/>
                <w:color w:val="auto"/>
              </w:rPr>
            </w:pPr>
            <w:r>
              <w:rPr>
                <w:rFonts w:ascii="Arial" w:cs="Arial" w:eastAsia="Arial" w:hAnsi="Arial"/>
                <w:sz w:val="17"/>
                <w:szCs w:val="17"/>
                <w:color w:val="0000EE"/>
              </w:rPr>
              <w:t>Validity of acts done by directors despite formal defect</w:t>
            </w:r>
          </w:p>
        </w:tc>
        <w:tc>
          <w:tcPr>
            <w:tcW w:w="100" w:type="dxa"/>
            <w:vAlign w:val="bottom"/>
          </w:tcPr>
          <w:p>
            <w:pPr>
              <w:spacing w:after="0"/>
              <w:rPr>
                <w:sz w:val="20"/>
                <w:szCs w:val="20"/>
                <w:color w:val="auto"/>
              </w:rPr>
            </w:pPr>
            <w:r>
              <w:rPr>
                <w:rFonts w:ascii="Arial" w:cs="Arial" w:eastAsia="Arial" w:hAnsi="Arial"/>
                <w:sz w:val="17"/>
                <w:szCs w:val="17"/>
                <w:color w:val="FF0000"/>
                <w:strike w:val="1"/>
                <w:w w:val="84"/>
              </w:rPr>
              <w:t>8</w:t>
            </w:r>
          </w:p>
        </w:tc>
        <w:tc>
          <w:tcPr>
            <w:tcW w:w="200" w:type="dxa"/>
            <w:vAlign w:val="bottom"/>
            <w:gridSpan w:val="2"/>
          </w:tcPr>
          <w:p>
            <w:pPr>
              <w:spacing w:after="0"/>
              <w:rPr>
                <w:sz w:val="20"/>
                <w:szCs w:val="20"/>
                <w:color w:val="auto"/>
              </w:rPr>
            </w:pPr>
            <w:r>
              <w:rPr>
                <w:rFonts w:ascii="Arial" w:cs="Arial" w:eastAsia="Arial" w:hAnsi="Arial"/>
                <w:sz w:val="17"/>
                <w:szCs w:val="17"/>
                <w:color w:val="0000FF"/>
              </w:rPr>
              <w:t>9</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gridSpan w:val="9"/>
            <w:shd w:val="clear" w:color="auto" w:fill="0000EE"/>
          </w:tcPr>
          <w:p>
            <w:pPr>
              <w:spacing w:after="0" w:line="20" w:lineRule="exact"/>
              <w:rPr>
                <w:sz w:val="1"/>
                <w:szCs w:val="1"/>
                <w:color w:val="auto"/>
              </w:rPr>
            </w:pPr>
          </w:p>
        </w:tc>
        <w:tc>
          <w:tcPr>
            <w:tcW w:w="500" w:type="dxa"/>
            <w:vAlign w:val="bottom"/>
            <w:tcBorders>
              <w:right w:val="single" w:sz="8" w:color="0000EE"/>
            </w:tcBorders>
            <w:gridSpan w:val="5"/>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50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160" w:type="dxa"/>
            <w:vAlign w:val="bottom"/>
            <w:tcBorders>
              <w:left w:val="single" w:sz="8" w:color="0000EE"/>
            </w:tcBorders>
            <w:gridSpan w:val="5"/>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00" w:type="dxa"/>
            <w:vAlign w:val="bottom"/>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60" w:type="dxa"/>
            <w:vAlign w:val="bottom"/>
            <w:gridSpan w:val="2"/>
          </w:tcPr>
          <w:p>
            <w:pPr>
              <w:ind w:left="1260"/>
              <w:spacing w:after="0"/>
              <w:rPr>
                <w:sz w:val="20"/>
                <w:szCs w:val="20"/>
                <w:color w:val="auto"/>
              </w:rPr>
            </w:pPr>
            <w:r>
              <w:rPr>
                <w:rFonts w:ascii="Arial" w:cs="Arial" w:eastAsia="Arial" w:hAnsi="Arial"/>
                <w:sz w:val="17"/>
                <w:szCs w:val="17"/>
                <w:b w:val="1"/>
                <w:bCs w:val="1"/>
                <w:color w:val="0000EE"/>
                <w:w w:val="84"/>
              </w:rPr>
              <w:t>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gridSpan w:val="31"/>
          </w:tcPr>
          <w:p>
            <w:pPr>
              <w:spacing w:after="0"/>
              <w:rPr>
                <w:sz w:val="20"/>
                <w:szCs w:val="20"/>
                <w:color w:val="auto"/>
              </w:rPr>
            </w:pPr>
            <w:r>
              <w:rPr>
                <w:rFonts w:ascii="Arial" w:cs="Arial" w:eastAsia="Arial" w:hAnsi="Arial"/>
                <w:sz w:val="17"/>
                <w:szCs w:val="17"/>
                <w:b w:val="1"/>
                <w:bCs w:val="1"/>
                <w:color w:val="0000EE"/>
              </w:rPr>
              <w:t>APPOINTMENT, RETIREMENT AND REMOVAL OF DIRECTORS</w:t>
            </w:r>
          </w:p>
        </w:tc>
        <w:tc>
          <w:tcPr>
            <w:tcW w:w="100" w:type="dxa"/>
            <w:vAlign w:val="bottom"/>
          </w:tcPr>
          <w:p>
            <w:pPr>
              <w:spacing w:after="0"/>
              <w:rPr>
                <w:sz w:val="20"/>
                <w:szCs w:val="20"/>
                <w:color w:val="auto"/>
              </w:rPr>
            </w:pPr>
            <w:r>
              <w:rPr>
                <w:rFonts w:ascii="Arial" w:cs="Arial" w:eastAsia="Arial" w:hAnsi="Arial"/>
                <w:sz w:val="17"/>
                <w:szCs w:val="17"/>
                <w:b w:val="1"/>
                <w:bCs w:val="1"/>
                <w:color w:val="FF0000"/>
                <w:strike w:val="1"/>
                <w:w w:val="84"/>
              </w:rPr>
              <w:t>8</w:t>
            </w:r>
          </w:p>
        </w:tc>
        <w:tc>
          <w:tcPr>
            <w:tcW w:w="200" w:type="dxa"/>
            <w:vAlign w:val="bottom"/>
            <w:gridSpan w:val="2"/>
          </w:tcPr>
          <w:p>
            <w:pPr>
              <w:spacing w:after="0"/>
              <w:rPr>
                <w:sz w:val="20"/>
                <w:szCs w:val="20"/>
                <w:color w:val="auto"/>
              </w:rPr>
            </w:pPr>
            <w:r>
              <w:rPr>
                <w:rFonts w:ascii="Arial" w:cs="Arial" w:eastAsia="Arial" w:hAnsi="Arial"/>
                <w:sz w:val="17"/>
                <w:szCs w:val="17"/>
                <w:b w:val="1"/>
                <w:bCs w:val="1"/>
                <w:color w:val="0000FF"/>
              </w:rPr>
              <w:t>9</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gridSpan w:val="9"/>
            <w:shd w:val="clear" w:color="auto" w:fill="0000EE"/>
          </w:tcPr>
          <w:p>
            <w:pPr>
              <w:spacing w:after="0" w:line="20" w:lineRule="exact"/>
              <w:rPr>
                <w:sz w:val="1"/>
                <w:szCs w:val="1"/>
                <w:color w:val="auto"/>
              </w:rPr>
            </w:pPr>
          </w:p>
        </w:tc>
        <w:tc>
          <w:tcPr>
            <w:tcW w:w="500" w:type="dxa"/>
            <w:vAlign w:val="bottom"/>
            <w:tcBorders>
              <w:right w:val="single" w:sz="8" w:color="0000EE"/>
            </w:tcBorders>
            <w:gridSpan w:val="5"/>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50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160" w:type="dxa"/>
            <w:vAlign w:val="bottom"/>
            <w:tcBorders>
              <w:left w:val="single" w:sz="8" w:color="0000EE"/>
            </w:tcBorders>
            <w:gridSpan w:val="7"/>
            <w:shd w:val="clear" w:color="auto" w:fill="0000EE"/>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00" w:type="dxa"/>
            <w:vAlign w:val="bottom"/>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00" w:type="dxa"/>
            <w:vAlign w:val="bottom"/>
            <w:gridSpan w:val="3"/>
          </w:tcPr>
          <w:p>
            <w:pPr>
              <w:ind w:left="1260"/>
              <w:spacing w:after="0"/>
              <w:rPr>
                <w:sz w:val="20"/>
                <w:szCs w:val="20"/>
                <w:color w:val="auto"/>
              </w:rPr>
            </w:pPr>
            <w:r>
              <w:rPr>
                <w:rFonts w:ascii="Arial" w:cs="Arial" w:eastAsia="Arial" w:hAnsi="Arial"/>
                <w:sz w:val="17"/>
                <w:szCs w:val="17"/>
                <w:color w:val="0000EE"/>
                <w:w w:val="84"/>
              </w:rPr>
              <w:t>4.</w:t>
            </w:r>
            <w:r>
              <w:rPr>
                <w:rFonts w:ascii="Arial" w:cs="Arial" w:eastAsia="Arial" w:hAnsi="Arial"/>
                <w:sz w:val="17"/>
                <w:szCs w:val="17"/>
                <w:u w:val="single" w:color="auto"/>
                <w:color w:val="0000EE"/>
                <w:w w:val="84"/>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gridSpan w:val="31"/>
          </w:tcPr>
          <w:p>
            <w:pPr>
              <w:spacing w:after="0"/>
              <w:rPr>
                <w:sz w:val="20"/>
                <w:szCs w:val="20"/>
                <w:color w:val="auto"/>
              </w:rPr>
            </w:pPr>
            <w:r>
              <w:rPr>
                <w:rFonts w:ascii="Arial" w:cs="Arial" w:eastAsia="Arial" w:hAnsi="Arial"/>
                <w:sz w:val="17"/>
                <w:szCs w:val="17"/>
                <w:color w:val="0000EE"/>
              </w:rPr>
              <w:t>Number of directors</w:t>
            </w:r>
          </w:p>
        </w:tc>
        <w:tc>
          <w:tcPr>
            <w:tcW w:w="100" w:type="dxa"/>
            <w:vAlign w:val="bottom"/>
          </w:tcPr>
          <w:p>
            <w:pPr>
              <w:spacing w:after="0"/>
              <w:rPr>
                <w:sz w:val="20"/>
                <w:szCs w:val="20"/>
                <w:color w:val="auto"/>
              </w:rPr>
            </w:pPr>
            <w:r>
              <w:rPr>
                <w:rFonts w:ascii="Arial" w:cs="Arial" w:eastAsia="Arial" w:hAnsi="Arial"/>
                <w:sz w:val="17"/>
                <w:szCs w:val="17"/>
                <w:color w:val="FF0000"/>
                <w:strike w:val="1"/>
                <w:w w:val="84"/>
              </w:rPr>
              <w:t>8</w:t>
            </w:r>
          </w:p>
        </w:tc>
        <w:tc>
          <w:tcPr>
            <w:tcW w:w="200" w:type="dxa"/>
            <w:vAlign w:val="bottom"/>
            <w:gridSpan w:val="2"/>
          </w:tcPr>
          <w:p>
            <w:pPr>
              <w:spacing w:after="0"/>
              <w:rPr>
                <w:sz w:val="20"/>
                <w:szCs w:val="20"/>
                <w:color w:val="auto"/>
              </w:rPr>
            </w:pPr>
            <w:r>
              <w:rPr>
                <w:rFonts w:ascii="Arial" w:cs="Arial" w:eastAsia="Arial" w:hAnsi="Arial"/>
                <w:sz w:val="17"/>
                <w:szCs w:val="17"/>
                <w:color w:val="0000FF"/>
              </w:rPr>
              <w:t>9</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gridSpan w:val="9"/>
            <w:shd w:val="clear" w:color="auto" w:fill="0000EE"/>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20" w:type="dxa"/>
            <w:vAlign w:val="bottom"/>
            <w:gridSpan w:val="10"/>
          </w:tcPr>
          <w:p>
            <w:pPr>
              <w:spacing w:after="0" w:line="20" w:lineRule="exact"/>
              <w:rPr>
                <w:sz w:val="1"/>
                <w:szCs w:val="1"/>
                <w:color w:val="auto"/>
              </w:rPr>
            </w:pPr>
          </w:p>
        </w:tc>
        <w:tc>
          <w:tcPr>
            <w:tcW w:w="100" w:type="dxa"/>
            <w:vAlign w:val="bottom"/>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00" w:type="dxa"/>
            <w:vAlign w:val="bottom"/>
            <w:gridSpan w:val="3"/>
          </w:tcPr>
          <w:p>
            <w:pPr>
              <w:ind w:left="1260"/>
              <w:spacing w:after="0"/>
              <w:rPr>
                <w:sz w:val="20"/>
                <w:szCs w:val="20"/>
                <w:color w:val="auto"/>
              </w:rPr>
            </w:pPr>
            <w:r>
              <w:rPr>
                <w:rFonts w:ascii="Arial" w:cs="Arial" w:eastAsia="Arial" w:hAnsi="Arial"/>
                <w:sz w:val="17"/>
                <w:szCs w:val="17"/>
                <w:color w:val="0000EE"/>
                <w:w w:val="84"/>
              </w:rPr>
              <w:t>4.</w:t>
            </w:r>
            <w:r>
              <w:rPr>
                <w:rFonts w:ascii="Arial" w:cs="Arial" w:eastAsia="Arial" w:hAnsi="Arial"/>
                <w:sz w:val="17"/>
                <w:szCs w:val="17"/>
                <w:u w:val="single" w:color="auto"/>
                <w:color w:val="0000EE"/>
                <w:w w:val="84"/>
              </w:rPr>
              <w:t>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gridSpan w:val="31"/>
          </w:tcPr>
          <w:p>
            <w:pPr>
              <w:spacing w:after="0"/>
              <w:rPr>
                <w:sz w:val="20"/>
                <w:szCs w:val="20"/>
                <w:color w:val="auto"/>
              </w:rPr>
            </w:pPr>
            <w:r>
              <w:rPr>
                <w:rFonts w:ascii="Arial" w:cs="Arial" w:eastAsia="Arial" w:hAnsi="Arial"/>
                <w:sz w:val="17"/>
                <w:szCs w:val="17"/>
                <w:color w:val="0000EE"/>
              </w:rPr>
              <w:t>Board may act despite vacancy</w:t>
            </w:r>
          </w:p>
        </w:tc>
        <w:tc>
          <w:tcPr>
            <w:tcW w:w="100" w:type="dxa"/>
            <w:vAlign w:val="bottom"/>
          </w:tcPr>
          <w:p>
            <w:pPr>
              <w:spacing w:after="0"/>
              <w:rPr>
                <w:sz w:val="20"/>
                <w:szCs w:val="20"/>
                <w:color w:val="auto"/>
              </w:rPr>
            </w:pPr>
            <w:r>
              <w:rPr>
                <w:rFonts w:ascii="Arial" w:cs="Arial" w:eastAsia="Arial" w:hAnsi="Arial"/>
                <w:sz w:val="17"/>
                <w:szCs w:val="17"/>
                <w:color w:val="FF0000"/>
                <w:strike w:val="1"/>
                <w:w w:val="84"/>
              </w:rPr>
              <w:t>8</w:t>
            </w:r>
          </w:p>
        </w:tc>
        <w:tc>
          <w:tcPr>
            <w:tcW w:w="200" w:type="dxa"/>
            <w:vAlign w:val="bottom"/>
            <w:gridSpan w:val="2"/>
          </w:tcPr>
          <w:p>
            <w:pPr>
              <w:spacing w:after="0"/>
              <w:rPr>
                <w:sz w:val="20"/>
                <w:szCs w:val="20"/>
                <w:color w:val="auto"/>
              </w:rPr>
            </w:pPr>
            <w:r>
              <w:rPr>
                <w:rFonts w:ascii="Arial" w:cs="Arial" w:eastAsia="Arial" w:hAnsi="Arial"/>
                <w:sz w:val="17"/>
                <w:szCs w:val="17"/>
                <w:color w:val="0000FF"/>
              </w:rPr>
              <w:t>9</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40" w:type="dxa"/>
            <w:vAlign w:val="bottom"/>
            <w:tcBorders>
              <w:right w:val="single" w:sz="8" w:color="0000EE"/>
            </w:tcBorders>
            <w:gridSpan w:val="14"/>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20" w:type="dxa"/>
            <w:vAlign w:val="bottom"/>
            <w:gridSpan w:val="10"/>
          </w:tcPr>
          <w:p>
            <w:pPr>
              <w:spacing w:after="0" w:line="20" w:lineRule="exact"/>
              <w:rPr>
                <w:sz w:val="1"/>
                <w:szCs w:val="1"/>
                <w:color w:val="auto"/>
              </w:rPr>
            </w:pPr>
          </w:p>
        </w:tc>
        <w:tc>
          <w:tcPr>
            <w:tcW w:w="100" w:type="dxa"/>
            <w:vAlign w:val="bottom"/>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00" w:type="dxa"/>
            <w:vAlign w:val="bottom"/>
            <w:gridSpan w:val="3"/>
          </w:tcPr>
          <w:p>
            <w:pPr>
              <w:ind w:left="1260"/>
              <w:spacing w:after="0"/>
              <w:rPr>
                <w:sz w:val="20"/>
                <w:szCs w:val="20"/>
                <w:color w:val="auto"/>
              </w:rPr>
            </w:pPr>
            <w:r>
              <w:rPr>
                <w:rFonts w:ascii="Arial" w:cs="Arial" w:eastAsia="Arial" w:hAnsi="Arial"/>
                <w:sz w:val="17"/>
                <w:szCs w:val="17"/>
                <w:color w:val="0000EE"/>
                <w:w w:val="84"/>
              </w:rPr>
              <w:t>4.</w:t>
            </w:r>
            <w:r>
              <w:rPr>
                <w:rFonts w:ascii="Arial" w:cs="Arial" w:eastAsia="Arial" w:hAnsi="Arial"/>
                <w:sz w:val="17"/>
                <w:szCs w:val="17"/>
                <w:u w:val="single" w:color="auto"/>
                <w:color w:val="0000EE"/>
                <w:w w:val="84"/>
              </w:rPr>
              <w:t>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gridSpan w:val="31"/>
          </w:tcPr>
          <w:p>
            <w:pPr>
              <w:spacing w:after="0"/>
              <w:rPr>
                <w:sz w:val="20"/>
                <w:szCs w:val="20"/>
                <w:color w:val="auto"/>
              </w:rPr>
            </w:pPr>
            <w:r>
              <w:rPr>
                <w:rFonts w:ascii="Arial" w:cs="Arial" w:eastAsia="Arial" w:hAnsi="Arial"/>
                <w:sz w:val="17"/>
                <w:szCs w:val="17"/>
                <w:color w:val="0000EE"/>
              </w:rPr>
              <w:t>Appointment of directors by the board</w:t>
            </w:r>
          </w:p>
        </w:tc>
        <w:tc>
          <w:tcPr>
            <w:tcW w:w="100" w:type="dxa"/>
            <w:vAlign w:val="bottom"/>
          </w:tcPr>
          <w:p>
            <w:pPr>
              <w:spacing w:after="0"/>
              <w:rPr>
                <w:sz w:val="20"/>
                <w:szCs w:val="20"/>
                <w:color w:val="auto"/>
              </w:rPr>
            </w:pPr>
            <w:r>
              <w:rPr>
                <w:rFonts w:ascii="Arial" w:cs="Arial" w:eastAsia="Arial" w:hAnsi="Arial"/>
                <w:sz w:val="17"/>
                <w:szCs w:val="17"/>
                <w:color w:val="FF0000"/>
                <w:strike w:val="1"/>
                <w:w w:val="84"/>
              </w:rPr>
              <w:t>9</w:t>
            </w:r>
          </w:p>
        </w:tc>
        <w:tc>
          <w:tcPr>
            <w:tcW w:w="320" w:type="dxa"/>
            <w:vAlign w:val="bottom"/>
            <w:gridSpan w:val="3"/>
          </w:tcPr>
          <w:p>
            <w:pPr>
              <w:spacing w:after="0"/>
              <w:rPr>
                <w:sz w:val="20"/>
                <w:szCs w:val="20"/>
                <w:color w:val="auto"/>
              </w:rPr>
            </w:pPr>
            <w:r>
              <w:rPr>
                <w:rFonts w:ascii="Arial" w:cs="Arial" w:eastAsia="Arial" w:hAnsi="Arial"/>
                <w:sz w:val="17"/>
                <w:szCs w:val="17"/>
                <w:color w:val="0000FF"/>
              </w:rPr>
              <w:t>10</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40" w:type="dxa"/>
            <w:vAlign w:val="bottom"/>
            <w:tcBorders>
              <w:right w:val="single" w:sz="8" w:color="0000EE"/>
            </w:tcBorders>
            <w:gridSpan w:val="14"/>
            <w:shd w:val="clear" w:color="auto" w:fill="0000EE"/>
          </w:tcPr>
          <w:p>
            <w:pPr>
              <w:spacing w:after="0" w:line="20" w:lineRule="exact"/>
              <w:rPr>
                <w:sz w:val="1"/>
                <w:szCs w:val="1"/>
                <w:color w:val="auto"/>
              </w:rPr>
            </w:pPr>
          </w:p>
        </w:tc>
        <w:tc>
          <w:tcPr>
            <w:tcW w:w="880" w:type="dxa"/>
            <w:vAlign w:val="bottom"/>
            <w:tcBorders>
              <w:left w:val="single" w:sz="8" w:color="0000EE"/>
            </w:tcBorders>
            <w:gridSpan w:val="6"/>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20" w:type="dxa"/>
            <w:vAlign w:val="bottom"/>
            <w:gridSpan w:val="10"/>
          </w:tcPr>
          <w:p>
            <w:pPr>
              <w:spacing w:after="0" w:line="20" w:lineRule="exact"/>
              <w:rPr>
                <w:sz w:val="1"/>
                <w:szCs w:val="1"/>
                <w:color w:val="auto"/>
              </w:rPr>
            </w:pPr>
          </w:p>
        </w:tc>
        <w:tc>
          <w:tcPr>
            <w:tcW w:w="100" w:type="dxa"/>
            <w:vAlign w:val="bottom"/>
            <w:shd w:val="clear" w:color="auto" w:fill="FF0000"/>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00" w:type="dxa"/>
            <w:vAlign w:val="bottom"/>
            <w:gridSpan w:val="3"/>
          </w:tcPr>
          <w:p>
            <w:pPr>
              <w:ind w:left="1260"/>
              <w:spacing w:after="0"/>
              <w:rPr>
                <w:sz w:val="20"/>
                <w:szCs w:val="20"/>
                <w:color w:val="auto"/>
              </w:rPr>
            </w:pPr>
            <w:r>
              <w:rPr>
                <w:rFonts w:ascii="Arial" w:cs="Arial" w:eastAsia="Arial" w:hAnsi="Arial"/>
                <w:sz w:val="17"/>
                <w:szCs w:val="17"/>
                <w:color w:val="0000EE"/>
                <w:w w:val="84"/>
              </w:rPr>
              <w:t>4.</w:t>
            </w:r>
            <w:r>
              <w:rPr>
                <w:rFonts w:ascii="Arial" w:cs="Arial" w:eastAsia="Arial" w:hAnsi="Arial"/>
                <w:sz w:val="17"/>
                <w:szCs w:val="17"/>
                <w:u w:val="single" w:color="auto"/>
                <w:color w:val="0000EE"/>
                <w:w w:val="84"/>
              </w:rPr>
              <w:t>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gridSpan w:val="31"/>
          </w:tcPr>
          <w:p>
            <w:pPr>
              <w:spacing w:after="0"/>
              <w:rPr>
                <w:sz w:val="20"/>
                <w:szCs w:val="20"/>
                <w:color w:val="auto"/>
              </w:rPr>
            </w:pPr>
            <w:r>
              <w:rPr>
                <w:rFonts w:ascii="Arial" w:cs="Arial" w:eastAsia="Arial" w:hAnsi="Arial"/>
                <w:sz w:val="17"/>
                <w:szCs w:val="17"/>
                <w:color w:val="0000EE"/>
              </w:rPr>
              <w:t>Election of directors at general meeting</w:t>
            </w:r>
          </w:p>
        </w:tc>
        <w:tc>
          <w:tcPr>
            <w:tcW w:w="100" w:type="dxa"/>
            <w:vAlign w:val="bottom"/>
          </w:tcPr>
          <w:p>
            <w:pPr>
              <w:spacing w:after="0"/>
              <w:rPr>
                <w:sz w:val="20"/>
                <w:szCs w:val="20"/>
                <w:color w:val="auto"/>
              </w:rPr>
            </w:pPr>
            <w:r>
              <w:rPr>
                <w:rFonts w:ascii="Arial" w:cs="Arial" w:eastAsia="Arial" w:hAnsi="Arial"/>
                <w:sz w:val="17"/>
                <w:szCs w:val="17"/>
                <w:color w:val="FF0000"/>
                <w:strike w:val="1"/>
                <w:w w:val="84"/>
              </w:rPr>
              <w:t>9</w:t>
            </w:r>
          </w:p>
        </w:tc>
        <w:tc>
          <w:tcPr>
            <w:tcW w:w="320" w:type="dxa"/>
            <w:vAlign w:val="bottom"/>
            <w:gridSpan w:val="3"/>
          </w:tcPr>
          <w:p>
            <w:pPr>
              <w:spacing w:after="0"/>
              <w:rPr>
                <w:sz w:val="20"/>
                <w:szCs w:val="20"/>
                <w:color w:val="auto"/>
              </w:rPr>
            </w:pPr>
            <w:r>
              <w:rPr>
                <w:rFonts w:ascii="Arial" w:cs="Arial" w:eastAsia="Arial" w:hAnsi="Arial"/>
                <w:sz w:val="17"/>
                <w:szCs w:val="17"/>
                <w:color w:val="0000FF"/>
              </w:rPr>
              <w:t>10</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40" w:type="dxa"/>
            <w:vAlign w:val="bottom"/>
            <w:tcBorders>
              <w:right w:val="single" w:sz="8" w:color="0000EE"/>
            </w:tcBorders>
            <w:gridSpan w:val="14"/>
            <w:shd w:val="clear" w:color="auto" w:fill="0000EE"/>
          </w:tcPr>
          <w:p>
            <w:pPr>
              <w:spacing w:after="0" w:line="20" w:lineRule="exact"/>
              <w:rPr>
                <w:sz w:val="1"/>
                <w:szCs w:val="1"/>
                <w:color w:val="auto"/>
              </w:rPr>
            </w:pPr>
          </w:p>
        </w:tc>
        <w:tc>
          <w:tcPr>
            <w:tcW w:w="980" w:type="dxa"/>
            <w:vAlign w:val="bottom"/>
            <w:tcBorders>
              <w:left w:val="single" w:sz="8" w:color="0000EE"/>
            </w:tcBorders>
            <w:gridSpan w:val="7"/>
            <w:shd w:val="clear" w:color="auto" w:fill="0000EE"/>
          </w:tcPr>
          <w:p>
            <w:pPr>
              <w:spacing w:after="0" w:line="20" w:lineRule="exact"/>
              <w:rPr>
                <w:sz w:val="1"/>
                <w:szCs w:val="1"/>
                <w:color w:val="auto"/>
              </w:rPr>
            </w:pPr>
          </w:p>
        </w:tc>
        <w:tc>
          <w:tcPr>
            <w:tcW w:w="3920" w:type="dxa"/>
            <w:vAlign w:val="bottom"/>
            <w:gridSpan w:val="10"/>
          </w:tcPr>
          <w:p>
            <w:pPr>
              <w:spacing w:after="0" w:line="20" w:lineRule="exact"/>
              <w:rPr>
                <w:sz w:val="1"/>
                <w:szCs w:val="1"/>
                <w:color w:val="auto"/>
              </w:rPr>
            </w:pPr>
          </w:p>
        </w:tc>
        <w:tc>
          <w:tcPr>
            <w:tcW w:w="100" w:type="dxa"/>
            <w:vAlign w:val="bottom"/>
            <w:shd w:val="clear" w:color="auto" w:fill="FF0000"/>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00" w:type="dxa"/>
            <w:vAlign w:val="bottom"/>
            <w:gridSpan w:val="3"/>
          </w:tcPr>
          <w:p>
            <w:pPr>
              <w:ind w:left="1260"/>
              <w:spacing w:after="0"/>
              <w:rPr>
                <w:sz w:val="20"/>
                <w:szCs w:val="20"/>
                <w:color w:val="auto"/>
              </w:rPr>
            </w:pPr>
            <w:r>
              <w:rPr>
                <w:rFonts w:ascii="Arial" w:cs="Arial" w:eastAsia="Arial" w:hAnsi="Arial"/>
                <w:sz w:val="17"/>
                <w:szCs w:val="17"/>
                <w:color w:val="0000EE"/>
                <w:w w:val="84"/>
              </w:rPr>
              <w:t>4.</w:t>
            </w:r>
            <w:r>
              <w:rPr>
                <w:rFonts w:ascii="Arial" w:cs="Arial" w:eastAsia="Arial" w:hAnsi="Arial"/>
                <w:sz w:val="17"/>
                <w:szCs w:val="17"/>
                <w:u w:val="single" w:color="auto"/>
                <w:color w:val="0000EE"/>
                <w:w w:val="84"/>
              </w:rPr>
              <w:t>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gridSpan w:val="31"/>
          </w:tcPr>
          <w:p>
            <w:pPr>
              <w:spacing w:after="0"/>
              <w:rPr>
                <w:sz w:val="20"/>
                <w:szCs w:val="20"/>
                <w:color w:val="auto"/>
              </w:rPr>
            </w:pPr>
            <w:r>
              <w:rPr>
                <w:rFonts w:ascii="Arial" w:cs="Arial" w:eastAsia="Arial" w:hAnsi="Arial"/>
                <w:sz w:val="17"/>
                <w:szCs w:val="17"/>
                <w:color w:val="0000EE"/>
              </w:rPr>
              <w:t>Term of office of directors</w:t>
            </w:r>
          </w:p>
        </w:tc>
        <w:tc>
          <w:tcPr>
            <w:tcW w:w="300" w:type="dxa"/>
            <w:vAlign w:val="bottom"/>
            <w:gridSpan w:val="3"/>
          </w:tcPr>
          <w:p>
            <w:pPr>
              <w:spacing w:after="0"/>
              <w:rPr>
                <w:sz w:val="20"/>
                <w:szCs w:val="20"/>
                <w:color w:val="auto"/>
              </w:rPr>
            </w:pPr>
            <w:r>
              <w:rPr>
                <w:rFonts w:ascii="Arial" w:cs="Arial" w:eastAsia="Arial" w:hAnsi="Arial"/>
                <w:sz w:val="17"/>
                <w:szCs w:val="17"/>
                <w:color w:val="0000EE"/>
              </w:rPr>
              <w:t>10</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280" w:type="dxa"/>
            <w:vAlign w:val="bottom"/>
            <w:tcBorders>
              <w:bottom w:val="single" w:sz="8" w:color="auto"/>
            </w:tcBorders>
          </w:tcPr>
          <w:p>
            <w:pPr>
              <w:spacing w:after="0"/>
              <w:rPr>
                <w:sz w:val="21"/>
                <w:szCs w:val="21"/>
                <w:color w:val="auto"/>
              </w:rPr>
            </w:pPr>
          </w:p>
        </w:tc>
        <w:tc>
          <w:tcPr>
            <w:tcW w:w="80" w:type="dxa"/>
            <w:vAlign w:val="bottom"/>
            <w:tcBorders>
              <w:top w:val="single" w:sz="8" w:color="0000EE"/>
              <w:bottom w:val="single" w:sz="8" w:color="auto"/>
            </w:tcBorders>
          </w:tcPr>
          <w:p>
            <w:pPr>
              <w:spacing w:after="0"/>
              <w:rPr>
                <w:sz w:val="21"/>
                <w:szCs w:val="21"/>
                <w:color w:val="auto"/>
              </w:rPr>
            </w:pPr>
          </w:p>
        </w:tc>
        <w:tc>
          <w:tcPr>
            <w:tcW w:w="140" w:type="dxa"/>
            <w:vAlign w:val="bottom"/>
            <w:tcBorders>
              <w:top w:val="single" w:sz="8" w:color="0000EE"/>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00" w:type="dxa"/>
            <w:vAlign w:val="bottom"/>
            <w:tcBorders>
              <w:top w:val="single" w:sz="8" w:color="0000EE"/>
              <w:bottom w:val="single" w:sz="8" w:color="auto"/>
            </w:tcBorders>
          </w:tcPr>
          <w:p>
            <w:pPr>
              <w:spacing w:after="0"/>
              <w:rPr>
                <w:sz w:val="21"/>
                <w:szCs w:val="21"/>
                <w:color w:val="auto"/>
              </w:rPr>
            </w:pPr>
          </w:p>
        </w:tc>
        <w:tc>
          <w:tcPr>
            <w:tcW w:w="420" w:type="dxa"/>
            <w:vAlign w:val="bottom"/>
            <w:tcBorders>
              <w:top w:val="single" w:sz="8" w:color="0000EE"/>
              <w:bottom w:val="single" w:sz="8" w:color="auto"/>
            </w:tcBorders>
          </w:tcPr>
          <w:p>
            <w:pPr>
              <w:spacing w:after="0"/>
              <w:rPr>
                <w:sz w:val="21"/>
                <w:szCs w:val="21"/>
                <w:color w:val="auto"/>
              </w:rPr>
            </w:pPr>
          </w:p>
        </w:tc>
        <w:tc>
          <w:tcPr>
            <w:tcW w:w="120" w:type="dxa"/>
            <w:vAlign w:val="bottom"/>
            <w:tcBorders>
              <w:top w:val="single" w:sz="8" w:color="0000EE"/>
              <w:bottom w:val="single" w:sz="8" w:color="auto"/>
            </w:tcBorders>
          </w:tcPr>
          <w:p>
            <w:pPr>
              <w:spacing w:after="0"/>
              <w:rPr>
                <w:sz w:val="21"/>
                <w:szCs w:val="21"/>
                <w:color w:val="auto"/>
              </w:rPr>
            </w:pPr>
          </w:p>
        </w:tc>
        <w:tc>
          <w:tcPr>
            <w:tcW w:w="100" w:type="dxa"/>
            <w:vAlign w:val="bottom"/>
            <w:tcBorders>
              <w:top w:val="single" w:sz="8" w:color="0000EE"/>
              <w:bottom w:val="single" w:sz="8" w:color="auto"/>
            </w:tcBorders>
          </w:tcPr>
          <w:p>
            <w:pPr>
              <w:spacing w:after="0"/>
              <w:rPr>
                <w:sz w:val="21"/>
                <w:szCs w:val="21"/>
                <w:color w:val="auto"/>
              </w:rPr>
            </w:pPr>
          </w:p>
        </w:tc>
        <w:tc>
          <w:tcPr>
            <w:tcW w:w="80" w:type="dxa"/>
            <w:vAlign w:val="bottom"/>
            <w:tcBorders>
              <w:top w:val="single" w:sz="8" w:color="0000EE"/>
              <w:bottom w:val="single" w:sz="8" w:color="auto"/>
            </w:tcBorders>
          </w:tcPr>
          <w:p>
            <w:pPr>
              <w:spacing w:after="0"/>
              <w:rPr>
                <w:sz w:val="21"/>
                <w:szCs w:val="21"/>
                <w:color w:val="auto"/>
              </w:rPr>
            </w:pPr>
          </w:p>
        </w:tc>
        <w:tc>
          <w:tcPr>
            <w:tcW w:w="80" w:type="dxa"/>
            <w:vAlign w:val="bottom"/>
            <w:tcBorders>
              <w:top w:val="single" w:sz="8" w:color="0000EE"/>
              <w:bottom w:val="single" w:sz="8" w:color="auto"/>
            </w:tcBorders>
          </w:tcPr>
          <w:p>
            <w:pPr>
              <w:spacing w:after="0"/>
              <w:rPr>
                <w:sz w:val="21"/>
                <w:szCs w:val="21"/>
                <w:color w:val="auto"/>
              </w:rPr>
            </w:pPr>
          </w:p>
        </w:tc>
        <w:tc>
          <w:tcPr>
            <w:tcW w:w="20" w:type="dxa"/>
            <w:vAlign w:val="bottom"/>
            <w:tcBorders>
              <w:top w:val="single" w:sz="8" w:color="0000EE"/>
              <w:bottom w:val="single" w:sz="8" w:color="auto"/>
            </w:tcBorders>
          </w:tcPr>
          <w:p>
            <w:pPr>
              <w:spacing w:after="0"/>
              <w:rPr>
                <w:sz w:val="21"/>
                <w:szCs w:val="21"/>
                <w:color w:val="auto"/>
              </w:rPr>
            </w:pPr>
          </w:p>
        </w:tc>
        <w:tc>
          <w:tcPr>
            <w:tcW w:w="220" w:type="dxa"/>
            <w:vAlign w:val="bottom"/>
            <w:tcBorders>
              <w:top w:val="single" w:sz="8" w:color="0000EE"/>
              <w:bottom w:val="single" w:sz="8" w:color="auto"/>
            </w:tcBorders>
          </w:tcPr>
          <w:p>
            <w:pPr>
              <w:spacing w:after="0"/>
              <w:rPr>
                <w:sz w:val="21"/>
                <w:szCs w:val="21"/>
                <w:color w:val="auto"/>
              </w:rPr>
            </w:pPr>
          </w:p>
        </w:tc>
        <w:tc>
          <w:tcPr>
            <w:tcW w:w="100" w:type="dxa"/>
            <w:vAlign w:val="bottom"/>
            <w:tcBorders>
              <w:top w:val="single" w:sz="8" w:color="0000EE"/>
              <w:bottom w:val="single" w:sz="8" w:color="auto"/>
            </w:tcBorders>
          </w:tcPr>
          <w:p>
            <w:pPr>
              <w:spacing w:after="0"/>
              <w:rPr>
                <w:sz w:val="21"/>
                <w:szCs w:val="21"/>
                <w:color w:val="auto"/>
              </w:rPr>
            </w:pPr>
          </w:p>
        </w:tc>
        <w:tc>
          <w:tcPr>
            <w:tcW w:w="80" w:type="dxa"/>
            <w:vAlign w:val="bottom"/>
            <w:tcBorders>
              <w:top w:val="single" w:sz="8" w:color="0000EE"/>
              <w:bottom w:val="single" w:sz="8" w:color="auto"/>
            </w:tcBorders>
          </w:tcPr>
          <w:p>
            <w:pPr>
              <w:spacing w:after="0"/>
              <w:rPr>
                <w:sz w:val="21"/>
                <w:szCs w:val="21"/>
                <w:color w:val="auto"/>
              </w:rPr>
            </w:pPr>
          </w:p>
        </w:tc>
        <w:tc>
          <w:tcPr>
            <w:tcW w:w="160" w:type="dxa"/>
            <w:vAlign w:val="bottom"/>
            <w:tcBorders>
              <w:top w:val="single" w:sz="8" w:color="0000EE"/>
              <w:bottom w:val="single" w:sz="8" w:color="auto"/>
            </w:tcBorders>
          </w:tcPr>
          <w:p>
            <w:pPr>
              <w:spacing w:after="0"/>
              <w:rPr>
                <w:sz w:val="21"/>
                <w:szCs w:val="21"/>
                <w:color w:val="auto"/>
              </w:rPr>
            </w:pPr>
          </w:p>
        </w:tc>
        <w:tc>
          <w:tcPr>
            <w:tcW w:w="80" w:type="dxa"/>
            <w:vAlign w:val="bottom"/>
            <w:tcBorders>
              <w:top w:val="single" w:sz="8" w:color="0000EE"/>
              <w:bottom w:val="single" w:sz="8" w:color="auto"/>
            </w:tcBorders>
          </w:tcPr>
          <w:p>
            <w:pPr>
              <w:spacing w:after="0"/>
              <w:rPr>
                <w:sz w:val="21"/>
                <w:szCs w:val="21"/>
                <w:color w:val="auto"/>
              </w:rPr>
            </w:pPr>
          </w:p>
        </w:tc>
        <w:tc>
          <w:tcPr>
            <w:tcW w:w="80" w:type="dxa"/>
            <w:vAlign w:val="bottom"/>
            <w:tcBorders>
              <w:top w:val="single" w:sz="8" w:color="0000EE"/>
              <w:bottom w:val="single" w:sz="8" w:color="auto"/>
            </w:tcBorders>
          </w:tcPr>
          <w:p>
            <w:pPr>
              <w:spacing w:after="0"/>
              <w:rPr>
                <w:sz w:val="21"/>
                <w:szCs w:val="21"/>
                <w:color w:val="auto"/>
              </w:rPr>
            </w:pPr>
          </w:p>
        </w:tc>
        <w:tc>
          <w:tcPr>
            <w:tcW w:w="100" w:type="dxa"/>
            <w:vAlign w:val="bottom"/>
            <w:tcBorders>
              <w:top w:val="single" w:sz="8" w:color="0000EE"/>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0" w:type="dxa"/>
            <w:vAlign w:val="bottom"/>
            <w:tcBorders>
              <w:top w:val="single" w:sz="8" w:color="0000EE"/>
              <w:bottom w:val="single" w:sz="8" w:color="auto"/>
            </w:tcBorders>
          </w:tcPr>
          <w:p>
            <w:pPr>
              <w:spacing w:after="0"/>
              <w:rPr>
                <w:sz w:val="21"/>
                <w:szCs w:val="21"/>
                <w:color w:val="auto"/>
              </w:rPr>
            </w:pPr>
          </w:p>
        </w:tc>
        <w:tc>
          <w:tcPr>
            <w:tcW w:w="100" w:type="dxa"/>
            <w:vAlign w:val="bottom"/>
            <w:tcBorders>
              <w:top w:val="single" w:sz="8" w:color="0000EE"/>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3904615</wp:posOffset>
            </wp:positionH>
            <wp:positionV relativeFrom="paragraph">
              <wp:posOffset>-5164455</wp:posOffset>
            </wp:positionV>
            <wp:extent cx="12954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9540" cy="8255"/>
                    </a:xfrm>
                    <a:prstGeom prst="rect">
                      <a:avLst/>
                    </a:prstGeom>
                    <a:noFill/>
                  </pic:spPr>
                </pic:pic>
              </a:graphicData>
            </a:graphic>
          </wp:anchor>
        </w:drawing>
        <w:drawing>
          <wp:anchor simplePos="0" relativeHeight="251657728" behindDoc="1" locked="0" layoutInCell="0" allowOverlap="1">
            <wp:simplePos x="0" y="0"/>
            <wp:positionH relativeFrom="column">
              <wp:posOffset>2056130</wp:posOffset>
            </wp:positionH>
            <wp:positionV relativeFrom="paragraph">
              <wp:posOffset>-3908425</wp:posOffset>
            </wp:positionV>
            <wp:extent cx="77025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70255" cy="8255"/>
                    </a:xfrm>
                    <a:prstGeom prst="rect">
                      <a:avLst/>
                    </a:prstGeom>
                    <a:noFill/>
                  </pic:spPr>
                </pic:pic>
              </a:graphicData>
            </a:graphic>
          </wp:anchor>
        </w:drawing>
      </w:r>
    </w:p>
    <w:p>
      <w:pPr>
        <w:sectPr>
          <w:pgSz w:w="11900" w:h="16838" w:orient="portrait"/>
          <w:cols w:equalWidth="0" w:num="1">
            <w:col w:w="10680"/>
          </w:cols>
          <w:pgMar w:left="600" w:top="115" w:right="619" w:bottom="1440" w:gutter="0" w:footer="0" w:header="0"/>
        </w:sectPr>
      </w:pPr>
    </w:p>
    <w:bookmarkStart w:id="90" w:name="page91"/>
    <w:bookmarkEnd w:id="90"/>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112395</wp:posOffset>
            </wp:positionV>
            <wp:extent cx="615315" cy="32448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gridSpan w:val="2"/>
          </w:tcPr>
          <w:p>
            <w:pPr>
              <w:spacing w:after="0"/>
              <w:rPr>
                <w:sz w:val="20"/>
                <w:szCs w:val="20"/>
                <w:color w:val="auto"/>
              </w:rPr>
            </w:pPr>
            <w:r>
              <w:rPr>
                <w:rFonts w:ascii="Arial" w:cs="Arial" w:eastAsia="Arial" w:hAnsi="Arial"/>
                <w:sz w:val="17"/>
                <w:szCs w:val="17"/>
                <w:color w:val="FF0000"/>
                <w:strike w:val="1"/>
                <w:w w:val="75"/>
              </w:rPr>
              <w:t>4.</w:t>
            </w:r>
            <w:r>
              <w:rPr>
                <w:rFonts w:ascii="Arial" w:cs="Arial" w:eastAsia="Arial" w:hAnsi="Arial"/>
                <w:sz w:val="17"/>
                <w:szCs w:val="17"/>
                <w:u w:val="single" w:color="auto"/>
                <w:color w:val="FF0000"/>
                <w:strike w:val="1"/>
                <w:w w:val="75"/>
              </w:rPr>
              <w:t>5</w:t>
            </w:r>
          </w:p>
        </w:tc>
        <w:tc>
          <w:tcPr>
            <w:tcW w:w="420" w:type="dxa"/>
            <w:vAlign w:val="bottom"/>
            <w:gridSpan w:val="3"/>
          </w:tcPr>
          <w:p>
            <w:pPr>
              <w:jc w:val="right"/>
              <w:ind w:right="180"/>
              <w:spacing w:after="0"/>
              <w:rPr>
                <w:sz w:val="20"/>
                <w:szCs w:val="20"/>
                <w:color w:val="auto"/>
              </w:rPr>
            </w:pPr>
            <w:r>
              <w:rPr>
                <w:rFonts w:ascii="Arial" w:cs="Arial" w:eastAsia="Arial" w:hAnsi="Arial"/>
                <w:sz w:val="17"/>
                <w:szCs w:val="17"/>
                <w:color w:val="0000FF"/>
                <w:w w:val="92"/>
              </w:rPr>
              <w:t>4.6</w:t>
            </w:r>
          </w:p>
        </w:tc>
        <w:tc>
          <w:tcPr>
            <w:tcW w:w="200" w:type="dxa"/>
            <w:vAlign w:val="bottom"/>
          </w:tcPr>
          <w:p>
            <w:pPr>
              <w:spacing w:after="0"/>
              <w:rPr>
                <w:sz w:val="16"/>
                <w:szCs w:val="16"/>
                <w:color w:val="auto"/>
              </w:rPr>
            </w:pPr>
          </w:p>
        </w:tc>
        <w:tc>
          <w:tcPr>
            <w:tcW w:w="6980" w:type="dxa"/>
            <w:vAlign w:val="bottom"/>
            <w:gridSpan w:val="30"/>
          </w:tcPr>
          <w:p>
            <w:pPr>
              <w:spacing w:after="0"/>
              <w:rPr>
                <w:sz w:val="20"/>
                <w:szCs w:val="20"/>
                <w:color w:val="auto"/>
              </w:rPr>
            </w:pPr>
            <w:r>
              <w:rPr>
                <w:rFonts w:ascii="Arial" w:cs="Arial" w:eastAsia="Arial" w:hAnsi="Arial"/>
                <w:sz w:val="17"/>
                <w:szCs w:val="17"/>
                <w:color w:val="0000EE"/>
              </w:rPr>
              <w:t>Director ceases to hold office</w:t>
            </w:r>
          </w:p>
        </w:tc>
        <w:tc>
          <w:tcPr>
            <w:tcW w:w="80" w:type="dxa"/>
            <w:vAlign w:val="bottom"/>
          </w:tcPr>
          <w:p>
            <w:pPr>
              <w:spacing w:after="0"/>
              <w:rPr>
                <w:sz w:val="20"/>
                <w:szCs w:val="20"/>
                <w:color w:val="auto"/>
              </w:rPr>
            </w:pPr>
            <w:r>
              <w:rPr>
                <w:rFonts w:ascii="Arial" w:cs="Arial" w:eastAsia="Arial" w:hAnsi="Arial"/>
                <w:sz w:val="15"/>
                <w:szCs w:val="15"/>
                <w:color w:val="FF0000"/>
                <w:strike w:val="1"/>
                <w:w w:val="71"/>
              </w:rPr>
              <w:t>9</w:t>
            </w:r>
          </w:p>
        </w:tc>
        <w:tc>
          <w:tcPr>
            <w:tcW w:w="280" w:type="dxa"/>
            <w:vAlign w:val="bottom"/>
            <w:gridSpan w:val="2"/>
          </w:tcPr>
          <w:p>
            <w:pPr>
              <w:jc w:val="right"/>
              <w:ind w:right="22"/>
              <w:spacing w:after="0"/>
              <w:rPr>
                <w:sz w:val="20"/>
                <w:szCs w:val="20"/>
                <w:color w:val="auto"/>
              </w:rPr>
            </w:pPr>
            <w:r>
              <w:rPr>
                <w:rFonts w:ascii="Arial" w:cs="Arial" w:eastAsia="Arial" w:hAnsi="Arial"/>
                <w:sz w:val="17"/>
                <w:szCs w:val="17"/>
                <w:color w:val="0000FF"/>
                <w:w w:val="84"/>
              </w:rPr>
              <w:t>11</w:t>
            </w:r>
          </w:p>
        </w:tc>
        <w:tc>
          <w:tcPr>
            <w:tcW w:w="1220" w:type="dxa"/>
            <w:vAlign w:val="bottom"/>
          </w:tcPr>
          <w:p>
            <w:pPr>
              <w:spacing w:after="0"/>
              <w:rPr>
                <w:sz w:val="16"/>
                <w:szCs w:val="16"/>
                <w:color w:val="auto"/>
              </w:rPr>
            </w:pPr>
          </w:p>
        </w:tc>
      </w:tr>
      <w:tr>
        <w:trPr>
          <w:trHeight w:val="20"/>
        </w:trPr>
        <w:tc>
          <w:tcPr>
            <w:tcW w:w="1280" w:type="dxa"/>
            <w:vAlign w:val="bottom"/>
            <w:gridSpan w:val="2"/>
          </w:tcPr>
          <w:p>
            <w:pPr>
              <w:spacing w:after="0" w:line="20" w:lineRule="exact"/>
              <w:rPr>
                <w:sz w:val="1"/>
                <w:szCs w:val="1"/>
                <w:color w:val="auto"/>
              </w:rPr>
            </w:pPr>
          </w:p>
        </w:tc>
        <w:tc>
          <w:tcPr>
            <w:tcW w:w="80" w:type="dxa"/>
            <w:vAlign w:val="bottom"/>
            <w:shd w:val="clear" w:color="auto" w:fill="FF0000"/>
          </w:tcPr>
          <w:p>
            <w:pPr>
              <w:spacing w:after="0" w:line="20" w:lineRule="exact"/>
              <w:rPr>
                <w:sz w:val="1"/>
                <w:szCs w:val="1"/>
                <w:color w:val="auto"/>
              </w:rPr>
            </w:pPr>
          </w:p>
        </w:tc>
        <w:tc>
          <w:tcPr>
            <w:tcW w:w="140" w:type="dxa"/>
            <w:vAlign w:val="bottom"/>
            <w:shd w:val="clear" w:color="auto" w:fill="FF0000"/>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FF0000"/>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03"/>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gridSpan w:val="2"/>
          </w:tcPr>
          <w:p>
            <w:pPr>
              <w:spacing w:after="0"/>
              <w:rPr>
                <w:sz w:val="20"/>
                <w:szCs w:val="20"/>
                <w:color w:val="auto"/>
              </w:rPr>
            </w:pPr>
            <w:r>
              <w:rPr>
                <w:rFonts w:ascii="Arial" w:cs="Arial" w:eastAsia="Arial" w:hAnsi="Arial"/>
                <w:sz w:val="17"/>
                <w:szCs w:val="17"/>
                <w:color w:val="FF0000"/>
                <w:strike w:val="1"/>
                <w:w w:val="75"/>
              </w:rPr>
              <w:t>4.</w:t>
            </w:r>
            <w:r>
              <w:rPr>
                <w:rFonts w:ascii="Arial" w:cs="Arial" w:eastAsia="Arial" w:hAnsi="Arial"/>
                <w:sz w:val="17"/>
                <w:szCs w:val="17"/>
                <w:u w:val="single" w:color="auto"/>
                <w:color w:val="FF0000"/>
                <w:strike w:val="1"/>
                <w:w w:val="75"/>
              </w:rPr>
              <w:t>6</w:t>
            </w:r>
          </w:p>
        </w:tc>
        <w:tc>
          <w:tcPr>
            <w:tcW w:w="420" w:type="dxa"/>
            <w:vAlign w:val="bottom"/>
            <w:gridSpan w:val="3"/>
          </w:tcPr>
          <w:p>
            <w:pPr>
              <w:jc w:val="right"/>
              <w:ind w:right="180"/>
              <w:spacing w:after="0"/>
              <w:rPr>
                <w:sz w:val="20"/>
                <w:szCs w:val="20"/>
                <w:color w:val="auto"/>
              </w:rPr>
            </w:pPr>
            <w:r>
              <w:rPr>
                <w:rFonts w:ascii="Arial" w:cs="Arial" w:eastAsia="Arial" w:hAnsi="Arial"/>
                <w:sz w:val="17"/>
                <w:szCs w:val="17"/>
                <w:color w:val="0000FF"/>
                <w:w w:val="92"/>
              </w:rPr>
              <w:t>4.7</w:t>
            </w:r>
          </w:p>
        </w:tc>
        <w:tc>
          <w:tcPr>
            <w:tcW w:w="200" w:type="dxa"/>
            <w:vAlign w:val="bottom"/>
          </w:tcPr>
          <w:p>
            <w:pPr>
              <w:spacing w:after="0"/>
              <w:rPr>
                <w:sz w:val="17"/>
                <w:szCs w:val="17"/>
                <w:color w:val="auto"/>
              </w:rPr>
            </w:pPr>
          </w:p>
        </w:tc>
        <w:tc>
          <w:tcPr>
            <w:tcW w:w="6980" w:type="dxa"/>
            <w:vAlign w:val="bottom"/>
            <w:gridSpan w:val="30"/>
          </w:tcPr>
          <w:p>
            <w:pPr>
              <w:spacing w:after="0"/>
              <w:rPr>
                <w:sz w:val="20"/>
                <w:szCs w:val="20"/>
                <w:color w:val="auto"/>
              </w:rPr>
            </w:pPr>
            <w:r>
              <w:rPr>
                <w:rFonts w:ascii="Arial" w:cs="Arial" w:eastAsia="Arial" w:hAnsi="Arial"/>
                <w:sz w:val="17"/>
                <w:szCs w:val="17"/>
                <w:color w:val="0000EE"/>
              </w:rPr>
              <w:t>Alternate directors</w:t>
            </w:r>
          </w:p>
        </w:tc>
        <w:tc>
          <w:tcPr>
            <w:tcW w:w="260" w:type="dxa"/>
            <w:vAlign w:val="bottom"/>
            <w:gridSpan w:val="2"/>
          </w:tcPr>
          <w:p>
            <w:pPr>
              <w:spacing w:after="0"/>
              <w:rPr>
                <w:sz w:val="20"/>
                <w:szCs w:val="20"/>
                <w:color w:val="auto"/>
              </w:rPr>
            </w:pPr>
            <w:r>
              <w:rPr>
                <w:rFonts w:ascii="Arial" w:cs="Arial" w:eastAsia="Arial" w:hAnsi="Arial"/>
                <w:sz w:val="17"/>
                <w:szCs w:val="17"/>
                <w:color w:val="FF0000"/>
                <w:strike w:val="1"/>
              </w:rPr>
              <w:t>10</w:t>
            </w:r>
          </w:p>
        </w:tc>
        <w:tc>
          <w:tcPr>
            <w:tcW w:w="1320" w:type="dxa"/>
            <w:vAlign w:val="bottom"/>
            <w:gridSpan w:val="2"/>
          </w:tcPr>
          <w:p>
            <w:pPr>
              <w:spacing w:after="0"/>
              <w:rPr>
                <w:sz w:val="20"/>
                <w:szCs w:val="20"/>
                <w:color w:val="auto"/>
              </w:rPr>
            </w:pPr>
            <w:r>
              <w:rPr>
                <w:rFonts w:ascii="Arial" w:cs="Arial" w:eastAsia="Arial" w:hAnsi="Arial"/>
                <w:sz w:val="17"/>
                <w:szCs w:val="17"/>
                <w:color w:val="0000FF"/>
              </w:rPr>
              <w:t>12</w:t>
            </w:r>
          </w:p>
        </w:tc>
      </w:tr>
      <w:tr>
        <w:trPr>
          <w:trHeight w:val="20"/>
        </w:trPr>
        <w:tc>
          <w:tcPr>
            <w:tcW w:w="1280" w:type="dxa"/>
            <w:vAlign w:val="bottom"/>
            <w:gridSpan w:val="2"/>
          </w:tcPr>
          <w:p>
            <w:pPr>
              <w:spacing w:after="0" w:line="20" w:lineRule="exact"/>
              <w:rPr>
                <w:sz w:val="1"/>
                <w:szCs w:val="1"/>
                <w:color w:val="auto"/>
              </w:rPr>
            </w:pPr>
          </w:p>
        </w:tc>
        <w:tc>
          <w:tcPr>
            <w:tcW w:w="80" w:type="dxa"/>
            <w:vAlign w:val="bottom"/>
            <w:shd w:val="clear" w:color="auto" w:fill="FF0000"/>
          </w:tcPr>
          <w:p>
            <w:pPr>
              <w:spacing w:after="0" w:line="20" w:lineRule="exact"/>
              <w:rPr>
                <w:sz w:val="1"/>
                <w:szCs w:val="1"/>
                <w:color w:val="auto"/>
              </w:rPr>
            </w:pPr>
          </w:p>
        </w:tc>
        <w:tc>
          <w:tcPr>
            <w:tcW w:w="140" w:type="dxa"/>
            <w:vAlign w:val="bottom"/>
            <w:shd w:val="clear" w:color="auto" w:fill="FF0000"/>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right w:val="single" w:sz="8" w:color="FF0000"/>
            </w:tcBorders>
            <w:gridSpan w:val="2"/>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r>
      <w:tr>
        <w:trPr>
          <w:trHeight w:val="203"/>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gridSpan w:val="2"/>
          </w:tcPr>
          <w:p>
            <w:pPr>
              <w:spacing w:after="0"/>
              <w:rPr>
                <w:sz w:val="20"/>
                <w:szCs w:val="20"/>
                <w:color w:val="auto"/>
              </w:rPr>
            </w:pPr>
            <w:r>
              <w:rPr>
                <w:rFonts w:ascii="Arial" w:cs="Arial" w:eastAsia="Arial" w:hAnsi="Arial"/>
                <w:sz w:val="17"/>
                <w:szCs w:val="17"/>
                <w:color w:val="FF0000"/>
                <w:strike w:val="1"/>
                <w:w w:val="75"/>
              </w:rPr>
              <w:t>4.</w:t>
            </w:r>
            <w:r>
              <w:rPr>
                <w:rFonts w:ascii="Arial" w:cs="Arial" w:eastAsia="Arial" w:hAnsi="Arial"/>
                <w:sz w:val="17"/>
                <w:szCs w:val="17"/>
                <w:u w:val="single" w:color="auto"/>
                <w:color w:val="FF0000"/>
                <w:strike w:val="1"/>
                <w:w w:val="75"/>
              </w:rPr>
              <w:t>7</w:t>
            </w:r>
          </w:p>
        </w:tc>
        <w:tc>
          <w:tcPr>
            <w:tcW w:w="420" w:type="dxa"/>
            <w:vAlign w:val="bottom"/>
            <w:gridSpan w:val="3"/>
          </w:tcPr>
          <w:p>
            <w:pPr>
              <w:jc w:val="right"/>
              <w:ind w:right="180"/>
              <w:spacing w:after="0"/>
              <w:rPr>
                <w:sz w:val="20"/>
                <w:szCs w:val="20"/>
                <w:color w:val="auto"/>
              </w:rPr>
            </w:pPr>
            <w:r>
              <w:rPr>
                <w:rFonts w:ascii="Arial" w:cs="Arial" w:eastAsia="Arial" w:hAnsi="Arial"/>
                <w:sz w:val="17"/>
                <w:szCs w:val="17"/>
                <w:color w:val="0000FF"/>
                <w:w w:val="92"/>
              </w:rPr>
              <w:t>4.8</w:t>
            </w:r>
          </w:p>
        </w:tc>
        <w:tc>
          <w:tcPr>
            <w:tcW w:w="200" w:type="dxa"/>
            <w:vAlign w:val="bottom"/>
          </w:tcPr>
          <w:p>
            <w:pPr>
              <w:spacing w:after="0"/>
              <w:rPr>
                <w:sz w:val="17"/>
                <w:szCs w:val="17"/>
                <w:color w:val="auto"/>
              </w:rPr>
            </w:pPr>
          </w:p>
        </w:tc>
        <w:tc>
          <w:tcPr>
            <w:tcW w:w="6980" w:type="dxa"/>
            <w:vAlign w:val="bottom"/>
            <w:gridSpan w:val="30"/>
          </w:tcPr>
          <w:p>
            <w:pPr>
              <w:spacing w:after="0"/>
              <w:rPr>
                <w:sz w:val="20"/>
                <w:szCs w:val="20"/>
                <w:color w:val="auto"/>
              </w:rPr>
            </w:pPr>
            <w:r>
              <w:rPr>
                <w:rFonts w:ascii="Arial" w:cs="Arial" w:eastAsia="Arial" w:hAnsi="Arial"/>
                <w:sz w:val="17"/>
                <w:szCs w:val="17"/>
                <w:color w:val="0000EE"/>
              </w:rPr>
              <w:t>No share qualification</w:t>
            </w:r>
          </w:p>
        </w:tc>
        <w:tc>
          <w:tcPr>
            <w:tcW w:w="260" w:type="dxa"/>
            <w:vAlign w:val="bottom"/>
            <w:gridSpan w:val="2"/>
          </w:tcPr>
          <w:p>
            <w:pPr>
              <w:spacing w:after="0"/>
              <w:rPr>
                <w:sz w:val="20"/>
                <w:szCs w:val="20"/>
                <w:color w:val="auto"/>
              </w:rPr>
            </w:pPr>
            <w:r>
              <w:rPr>
                <w:rFonts w:ascii="Arial" w:cs="Arial" w:eastAsia="Arial" w:hAnsi="Arial"/>
                <w:sz w:val="17"/>
                <w:szCs w:val="17"/>
                <w:color w:val="FF0000"/>
                <w:strike w:val="1"/>
              </w:rPr>
              <w:t>10</w:t>
            </w:r>
          </w:p>
        </w:tc>
        <w:tc>
          <w:tcPr>
            <w:tcW w:w="1320" w:type="dxa"/>
            <w:vAlign w:val="bottom"/>
            <w:gridSpan w:val="2"/>
          </w:tcPr>
          <w:p>
            <w:pPr>
              <w:spacing w:after="0"/>
              <w:rPr>
                <w:sz w:val="20"/>
                <w:szCs w:val="20"/>
                <w:color w:val="auto"/>
              </w:rPr>
            </w:pPr>
            <w:r>
              <w:rPr>
                <w:rFonts w:ascii="Arial" w:cs="Arial" w:eastAsia="Arial" w:hAnsi="Arial"/>
                <w:sz w:val="17"/>
                <w:szCs w:val="17"/>
                <w:color w:val="0000FF"/>
              </w:rPr>
              <w:t>12</w:t>
            </w:r>
          </w:p>
        </w:tc>
      </w:tr>
      <w:tr>
        <w:trPr>
          <w:trHeight w:val="20"/>
        </w:trPr>
        <w:tc>
          <w:tcPr>
            <w:tcW w:w="1280" w:type="dxa"/>
            <w:vAlign w:val="bottom"/>
            <w:gridSpan w:val="2"/>
          </w:tcPr>
          <w:p>
            <w:pPr>
              <w:spacing w:after="0" w:line="20" w:lineRule="exact"/>
              <w:rPr>
                <w:sz w:val="1"/>
                <w:szCs w:val="1"/>
                <w:color w:val="auto"/>
              </w:rPr>
            </w:pPr>
          </w:p>
        </w:tc>
        <w:tc>
          <w:tcPr>
            <w:tcW w:w="80" w:type="dxa"/>
            <w:vAlign w:val="bottom"/>
            <w:shd w:val="clear" w:color="auto" w:fill="FF0000"/>
          </w:tcPr>
          <w:p>
            <w:pPr>
              <w:spacing w:after="0" w:line="20" w:lineRule="exact"/>
              <w:rPr>
                <w:sz w:val="1"/>
                <w:szCs w:val="1"/>
                <w:color w:val="auto"/>
              </w:rPr>
            </w:pPr>
          </w:p>
        </w:tc>
        <w:tc>
          <w:tcPr>
            <w:tcW w:w="140" w:type="dxa"/>
            <w:vAlign w:val="bottom"/>
            <w:shd w:val="clear" w:color="auto" w:fill="FF0000"/>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right w:val="single" w:sz="8" w:color="FF0000"/>
            </w:tcBorders>
            <w:gridSpan w:val="2"/>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r>
      <w:tr>
        <w:trPr>
          <w:trHeight w:val="203"/>
        </w:trPr>
        <w:tc>
          <w:tcPr>
            <w:tcW w:w="1360" w:type="dxa"/>
            <w:vAlign w:val="bottom"/>
            <w:gridSpan w:val="3"/>
          </w:tcPr>
          <w:p>
            <w:pPr>
              <w:ind w:left="1260"/>
              <w:spacing w:after="0"/>
              <w:rPr>
                <w:sz w:val="20"/>
                <w:szCs w:val="20"/>
                <w:color w:val="auto"/>
              </w:rPr>
            </w:pPr>
            <w:r>
              <w:rPr>
                <w:rFonts w:ascii="Arial" w:cs="Arial" w:eastAsia="Arial" w:hAnsi="Arial"/>
                <w:sz w:val="17"/>
                <w:szCs w:val="17"/>
                <w:b w:val="1"/>
                <w:bCs w:val="1"/>
                <w:color w:val="0000EE"/>
                <w:w w:val="84"/>
              </w:rPr>
              <w:t>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80" w:type="dxa"/>
            <w:vAlign w:val="bottom"/>
            <w:gridSpan w:val="30"/>
          </w:tcPr>
          <w:p>
            <w:pPr>
              <w:spacing w:after="0"/>
              <w:rPr>
                <w:sz w:val="20"/>
                <w:szCs w:val="20"/>
                <w:color w:val="auto"/>
              </w:rPr>
            </w:pPr>
            <w:r>
              <w:rPr>
                <w:rFonts w:ascii="Arial" w:cs="Arial" w:eastAsia="Arial" w:hAnsi="Arial"/>
                <w:sz w:val="17"/>
                <w:szCs w:val="17"/>
                <w:b w:val="1"/>
                <w:bCs w:val="1"/>
                <w:color w:val="0000EE"/>
              </w:rPr>
              <w:t>PAYMENTS TO DIRECTORS</w:t>
            </w:r>
          </w:p>
        </w:tc>
        <w:tc>
          <w:tcPr>
            <w:tcW w:w="260" w:type="dxa"/>
            <w:vAlign w:val="bottom"/>
            <w:gridSpan w:val="2"/>
          </w:tcPr>
          <w:p>
            <w:pPr>
              <w:spacing w:after="0"/>
              <w:rPr>
                <w:sz w:val="20"/>
                <w:szCs w:val="20"/>
                <w:color w:val="auto"/>
              </w:rPr>
            </w:pPr>
            <w:r>
              <w:rPr>
                <w:rFonts w:ascii="Arial" w:cs="Arial" w:eastAsia="Arial" w:hAnsi="Arial"/>
                <w:sz w:val="17"/>
                <w:szCs w:val="17"/>
                <w:b w:val="1"/>
                <w:bCs w:val="1"/>
                <w:color w:val="FF0000"/>
                <w:strike w:val="1"/>
              </w:rPr>
              <w:t>10</w:t>
            </w:r>
          </w:p>
        </w:tc>
        <w:tc>
          <w:tcPr>
            <w:tcW w:w="1320" w:type="dxa"/>
            <w:vAlign w:val="bottom"/>
            <w:gridSpan w:val="2"/>
          </w:tcPr>
          <w:p>
            <w:pPr>
              <w:spacing w:after="0"/>
              <w:rPr>
                <w:sz w:val="20"/>
                <w:szCs w:val="20"/>
                <w:color w:val="auto"/>
              </w:rPr>
            </w:pPr>
            <w:r>
              <w:rPr>
                <w:rFonts w:ascii="Arial" w:cs="Arial" w:eastAsia="Arial" w:hAnsi="Arial"/>
                <w:sz w:val="17"/>
                <w:szCs w:val="17"/>
                <w:b w:val="1"/>
                <w:bCs w:val="1"/>
                <w:color w:val="0000FF"/>
              </w:rPr>
              <w:t>12</w:t>
            </w:r>
          </w:p>
        </w:tc>
      </w:tr>
      <w:tr>
        <w:trPr>
          <w:trHeight w:val="20"/>
        </w:trPr>
        <w:tc>
          <w:tcPr>
            <w:tcW w:w="126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right w:val="single" w:sz="8" w:color="FF0000"/>
            </w:tcBorders>
            <w:gridSpan w:val="2"/>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r>
      <w:tr>
        <w:trPr>
          <w:trHeight w:val="203"/>
        </w:trPr>
        <w:tc>
          <w:tcPr>
            <w:tcW w:w="1500" w:type="dxa"/>
            <w:vAlign w:val="bottom"/>
            <w:gridSpan w:val="4"/>
          </w:tcPr>
          <w:p>
            <w:pPr>
              <w:ind w:left="1260"/>
              <w:spacing w:after="0"/>
              <w:rPr>
                <w:sz w:val="20"/>
                <w:szCs w:val="20"/>
                <w:color w:val="auto"/>
              </w:rPr>
            </w:pPr>
            <w:r>
              <w:rPr>
                <w:rFonts w:ascii="Arial" w:cs="Arial" w:eastAsia="Arial" w:hAnsi="Arial"/>
                <w:sz w:val="17"/>
                <w:szCs w:val="17"/>
                <w:color w:val="0000EE"/>
                <w:w w:val="84"/>
              </w:rPr>
              <w:t>5.</w:t>
            </w:r>
            <w:r>
              <w:rPr>
                <w:rFonts w:ascii="Arial" w:cs="Arial" w:eastAsia="Arial" w:hAnsi="Arial"/>
                <w:sz w:val="17"/>
                <w:szCs w:val="17"/>
                <w:u w:val="single" w:color="auto"/>
                <w:color w:val="0000EE"/>
                <w:w w:val="84"/>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80" w:type="dxa"/>
            <w:vAlign w:val="bottom"/>
            <w:gridSpan w:val="30"/>
          </w:tcPr>
          <w:p>
            <w:pPr>
              <w:spacing w:after="0"/>
              <w:rPr>
                <w:sz w:val="20"/>
                <w:szCs w:val="20"/>
                <w:color w:val="auto"/>
              </w:rPr>
            </w:pPr>
            <w:r>
              <w:rPr>
                <w:rFonts w:ascii="Arial" w:cs="Arial" w:eastAsia="Arial" w:hAnsi="Arial"/>
                <w:sz w:val="17"/>
                <w:szCs w:val="17"/>
                <w:color w:val="0000EE"/>
              </w:rPr>
              <w:t>Directors’ fees</w:t>
            </w:r>
          </w:p>
        </w:tc>
        <w:tc>
          <w:tcPr>
            <w:tcW w:w="260" w:type="dxa"/>
            <w:vAlign w:val="bottom"/>
            <w:gridSpan w:val="2"/>
          </w:tcPr>
          <w:p>
            <w:pPr>
              <w:spacing w:after="0"/>
              <w:rPr>
                <w:sz w:val="20"/>
                <w:szCs w:val="20"/>
                <w:color w:val="auto"/>
              </w:rPr>
            </w:pPr>
            <w:r>
              <w:rPr>
                <w:rFonts w:ascii="Arial" w:cs="Arial" w:eastAsia="Arial" w:hAnsi="Arial"/>
                <w:sz w:val="17"/>
                <w:szCs w:val="17"/>
                <w:color w:val="FF0000"/>
                <w:strike w:val="1"/>
              </w:rPr>
              <w:t>10</w:t>
            </w:r>
          </w:p>
        </w:tc>
        <w:tc>
          <w:tcPr>
            <w:tcW w:w="1320" w:type="dxa"/>
            <w:vAlign w:val="bottom"/>
            <w:gridSpan w:val="2"/>
          </w:tcPr>
          <w:p>
            <w:pPr>
              <w:spacing w:after="0"/>
              <w:rPr>
                <w:sz w:val="20"/>
                <w:szCs w:val="20"/>
                <w:color w:val="auto"/>
              </w:rPr>
            </w:pPr>
            <w:r>
              <w:rPr>
                <w:rFonts w:ascii="Arial" w:cs="Arial" w:eastAsia="Arial" w:hAnsi="Arial"/>
                <w:sz w:val="17"/>
                <w:szCs w:val="17"/>
                <w:color w:val="0000FF"/>
              </w:rPr>
              <w:t>12</w:t>
            </w:r>
          </w:p>
        </w:tc>
      </w:tr>
      <w:tr>
        <w:trPr>
          <w:trHeight w:val="20"/>
        </w:trPr>
        <w:tc>
          <w:tcPr>
            <w:tcW w:w="12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right w:val="single" w:sz="8" w:color="FF0000"/>
            </w:tcBorders>
            <w:gridSpan w:val="2"/>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r>
      <w:tr>
        <w:trPr>
          <w:trHeight w:val="203"/>
        </w:trPr>
        <w:tc>
          <w:tcPr>
            <w:tcW w:w="1500" w:type="dxa"/>
            <w:vAlign w:val="bottom"/>
            <w:gridSpan w:val="4"/>
          </w:tcPr>
          <w:p>
            <w:pPr>
              <w:ind w:left="1260"/>
              <w:spacing w:after="0"/>
              <w:rPr>
                <w:sz w:val="20"/>
                <w:szCs w:val="20"/>
                <w:color w:val="auto"/>
              </w:rPr>
            </w:pPr>
            <w:r>
              <w:rPr>
                <w:rFonts w:ascii="Arial" w:cs="Arial" w:eastAsia="Arial" w:hAnsi="Arial"/>
                <w:sz w:val="17"/>
                <w:szCs w:val="17"/>
                <w:color w:val="0000EE"/>
                <w:w w:val="84"/>
              </w:rPr>
              <w:t>5.</w:t>
            </w:r>
            <w:r>
              <w:rPr>
                <w:rFonts w:ascii="Arial" w:cs="Arial" w:eastAsia="Arial" w:hAnsi="Arial"/>
                <w:sz w:val="17"/>
                <w:szCs w:val="17"/>
                <w:u w:val="single" w:color="auto"/>
                <w:color w:val="0000EE"/>
                <w:w w:val="84"/>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80" w:type="dxa"/>
            <w:vAlign w:val="bottom"/>
            <w:gridSpan w:val="30"/>
          </w:tcPr>
          <w:p>
            <w:pPr>
              <w:spacing w:after="0"/>
              <w:rPr>
                <w:sz w:val="20"/>
                <w:szCs w:val="20"/>
                <w:color w:val="auto"/>
              </w:rPr>
            </w:pPr>
            <w:r>
              <w:rPr>
                <w:rFonts w:ascii="Arial" w:cs="Arial" w:eastAsia="Arial" w:hAnsi="Arial"/>
                <w:sz w:val="17"/>
                <w:szCs w:val="17"/>
                <w:color w:val="0000EE"/>
              </w:rPr>
              <w:t>Manner of payment of fees</w:t>
            </w:r>
          </w:p>
        </w:tc>
        <w:tc>
          <w:tcPr>
            <w:tcW w:w="260" w:type="dxa"/>
            <w:vAlign w:val="bottom"/>
            <w:gridSpan w:val="2"/>
          </w:tcPr>
          <w:p>
            <w:pPr>
              <w:spacing w:after="0"/>
              <w:rPr>
                <w:sz w:val="20"/>
                <w:szCs w:val="20"/>
                <w:color w:val="auto"/>
              </w:rPr>
            </w:pPr>
            <w:r>
              <w:rPr>
                <w:rFonts w:ascii="Arial" w:cs="Arial" w:eastAsia="Arial" w:hAnsi="Arial"/>
                <w:sz w:val="17"/>
                <w:szCs w:val="17"/>
                <w:color w:val="FF0000"/>
                <w:strike w:val="1"/>
              </w:rPr>
              <w:t>10</w:t>
            </w:r>
          </w:p>
        </w:tc>
        <w:tc>
          <w:tcPr>
            <w:tcW w:w="1320" w:type="dxa"/>
            <w:vAlign w:val="bottom"/>
            <w:gridSpan w:val="2"/>
          </w:tcPr>
          <w:p>
            <w:pPr>
              <w:spacing w:after="0"/>
              <w:rPr>
                <w:sz w:val="20"/>
                <w:szCs w:val="20"/>
                <w:color w:val="auto"/>
              </w:rPr>
            </w:pPr>
            <w:r>
              <w:rPr>
                <w:rFonts w:ascii="Arial" w:cs="Arial" w:eastAsia="Arial" w:hAnsi="Arial"/>
                <w:sz w:val="17"/>
                <w:szCs w:val="17"/>
                <w:color w:val="0000FF"/>
              </w:rPr>
              <w:t>13</w:t>
            </w:r>
          </w:p>
        </w:tc>
      </w:tr>
      <w:tr>
        <w:trPr>
          <w:trHeight w:val="20"/>
        </w:trPr>
        <w:tc>
          <w:tcPr>
            <w:tcW w:w="12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right w:val="single" w:sz="8" w:color="FF0000"/>
            </w:tcBorders>
            <w:gridSpan w:val="2"/>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r>
      <w:tr>
        <w:trPr>
          <w:trHeight w:val="203"/>
        </w:trPr>
        <w:tc>
          <w:tcPr>
            <w:tcW w:w="1500" w:type="dxa"/>
            <w:vAlign w:val="bottom"/>
            <w:gridSpan w:val="4"/>
          </w:tcPr>
          <w:p>
            <w:pPr>
              <w:ind w:left="1260"/>
              <w:spacing w:after="0"/>
              <w:rPr>
                <w:sz w:val="20"/>
                <w:szCs w:val="20"/>
                <w:color w:val="auto"/>
              </w:rPr>
            </w:pPr>
            <w:r>
              <w:rPr>
                <w:rFonts w:ascii="Arial" w:cs="Arial" w:eastAsia="Arial" w:hAnsi="Arial"/>
                <w:sz w:val="17"/>
                <w:szCs w:val="17"/>
                <w:color w:val="0000EE"/>
                <w:w w:val="84"/>
              </w:rPr>
              <w:t>5.</w:t>
            </w:r>
            <w:r>
              <w:rPr>
                <w:rFonts w:ascii="Arial" w:cs="Arial" w:eastAsia="Arial" w:hAnsi="Arial"/>
                <w:sz w:val="17"/>
                <w:szCs w:val="17"/>
                <w:u w:val="single" w:color="auto"/>
                <w:color w:val="0000EE"/>
                <w:w w:val="84"/>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80" w:type="dxa"/>
            <w:vAlign w:val="bottom"/>
            <w:gridSpan w:val="30"/>
          </w:tcPr>
          <w:p>
            <w:pPr>
              <w:spacing w:after="0"/>
              <w:rPr>
                <w:sz w:val="20"/>
                <w:szCs w:val="20"/>
                <w:color w:val="auto"/>
              </w:rPr>
            </w:pPr>
            <w:r>
              <w:rPr>
                <w:rFonts w:ascii="Arial" w:cs="Arial" w:eastAsia="Arial" w:hAnsi="Arial"/>
                <w:sz w:val="17"/>
                <w:szCs w:val="17"/>
                <w:color w:val="0000EE"/>
              </w:rPr>
              <w:t>Additional or special services</w:t>
            </w:r>
          </w:p>
        </w:tc>
        <w:tc>
          <w:tcPr>
            <w:tcW w:w="260" w:type="dxa"/>
            <w:vAlign w:val="bottom"/>
            <w:gridSpan w:val="2"/>
          </w:tcPr>
          <w:p>
            <w:pPr>
              <w:spacing w:after="0"/>
              <w:rPr>
                <w:sz w:val="20"/>
                <w:szCs w:val="20"/>
                <w:color w:val="auto"/>
              </w:rPr>
            </w:pPr>
            <w:r>
              <w:rPr>
                <w:rFonts w:ascii="Arial" w:cs="Arial" w:eastAsia="Arial" w:hAnsi="Arial"/>
                <w:sz w:val="17"/>
                <w:szCs w:val="17"/>
                <w:color w:val="FF0000"/>
                <w:strike w:val="1"/>
              </w:rPr>
              <w:t>11</w:t>
            </w:r>
          </w:p>
        </w:tc>
        <w:tc>
          <w:tcPr>
            <w:tcW w:w="100" w:type="dxa"/>
            <w:vAlign w:val="bottom"/>
          </w:tcPr>
          <w:p>
            <w:pPr>
              <w:spacing w:after="0"/>
              <w:rPr>
                <w:sz w:val="20"/>
                <w:szCs w:val="20"/>
                <w:color w:val="auto"/>
              </w:rPr>
            </w:pPr>
            <w:r>
              <w:rPr>
                <w:rFonts w:ascii="Arial" w:cs="Arial" w:eastAsia="Arial" w:hAnsi="Arial"/>
                <w:sz w:val="7"/>
                <w:szCs w:val="7"/>
                <w:color w:val="0000FF"/>
                <w:w w:val="76"/>
              </w:rPr>
              <w:t>13</w:t>
            </w:r>
          </w:p>
        </w:tc>
        <w:tc>
          <w:tcPr>
            <w:tcW w:w="12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right w:val="single" w:sz="8" w:color="0000FF"/>
            </w:tcBorders>
            <w:gridSpan w:val="2"/>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03"/>
        </w:trPr>
        <w:tc>
          <w:tcPr>
            <w:tcW w:w="1500" w:type="dxa"/>
            <w:vAlign w:val="bottom"/>
            <w:gridSpan w:val="4"/>
          </w:tcPr>
          <w:p>
            <w:pPr>
              <w:ind w:left="1260"/>
              <w:spacing w:after="0"/>
              <w:rPr>
                <w:sz w:val="20"/>
                <w:szCs w:val="20"/>
                <w:color w:val="auto"/>
              </w:rPr>
            </w:pPr>
            <w:r>
              <w:rPr>
                <w:rFonts w:ascii="Arial" w:cs="Arial" w:eastAsia="Arial" w:hAnsi="Arial"/>
                <w:sz w:val="17"/>
                <w:szCs w:val="17"/>
                <w:color w:val="0000EE"/>
                <w:w w:val="84"/>
              </w:rPr>
              <w:t>5.</w:t>
            </w:r>
            <w:r>
              <w:rPr>
                <w:rFonts w:ascii="Arial" w:cs="Arial" w:eastAsia="Arial" w:hAnsi="Arial"/>
                <w:sz w:val="17"/>
                <w:szCs w:val="17"/>
                <w:u w:val="single" w:color="auto"/>
                <w:color w:val="0000EE"/>
                <w:w w:val="84"/>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80" w:type="dxa"/>
            <w:vAlign w:val="bottom"/>
            <w:gridSpan w:val="30"/>
          </w:tcPr>
          <w:p>
            <w:pPr>
              <w:spacing w:after="0"/>
              <w:rPr>
                <w:sz w:val="20"/>
                <w:szCs w:val="20"/>
                <w:color w:val="auto"/>
              </w:rPr>
            </w:pPr>
            <w:r>
              <w:rPr>
                <w:rFonts w:ascii="Arial" w:cs="Arial" w:eastAsia="Arial" w:hAnsi="Arial"/>
                <w:sz w:val="17"/>
                <w:szCs w:val="17"/>
                <w:color w:val="0000EE"/>
              </w:rPr>
              <w:t>Expenses</w:t>
            </w:r>
          </w:p>
        </w:tc>
        <w:tc>
          <w:tcPr>
            <w:tcW w:w="260" w:type="dxa"/>
            <w:vAlign w:val="bottom"/>
            <w:gridSpan w:val="2"/>
          </w:tcPr>
          <w:p>
            <w:pPr>
              <w:spacing w:after="0"/>
              <w:rPr>
                <w:sz w:val="20"/>
                <w:szCs w:val="20"/>
                <w:color w:val="auto"/>
              </w:rPr>
            </w:pPr>
            <w:r>
              <w:rPr>
                <w:rFonts w:ascii="Arial" w:cs="Arial" w:eastAsia="Arial" w:hAnsi="Arial"/>
                <w:sz w:val="17"/>
                <w:szCs w:val="17"/>
                <w:color w:val="FF0000"/>
                <w:strike w:val="1"/>
              </w:rPr>
              <w:t>11</w:t>
            </w:r>
          </w:p>
        </w:tc>
        <w:tc>
          <w:tcPr>
            <w:tcW w:w="100" w:type="dxa"/>
            <w:vAlign w:val="bottom"/>
          </w:tcPr>
          <w:p>
            <w:pPr>
              <w:spacing w:after="0"/>
              <w:rPr>
                <w:sz w:val="20"/>
                <w:szCs w:val="20"/>
                <w:color w:val="auto"/>
              </w:rPr>
            </w:pPr>
            <w:r>
              <w:rPr>
                <w:rFonts w:ascii="Arial" w:cs="Arial" w:eastAsia="Arial" w:hAnsi="Arial"/>
                <w:sz w:val="7"/>
                <w:szCs w:val="7"/>
                <w:color w:val="0000FF"/>
                <w:w w:val="76"/>
              </w:rPr>
              <w:t>13</w:t>
            </w:r>
          </w:p>
        </w:tc>
        <w:tc>
          <w:tcPr>
            <w:tcW w:w="12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right w:val="single" w:sz="8" w:color="0000FF"/>
            </w:tcBorders>
            <w:gridSpan w:val="2"/>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03"/>
        </w:trPr>
        <w:tc>
          <w:tcPr>
            <w:tcW w:w="1500" w:type="dxa"/>
            <w:vAlign w:val="bottom"/>
            <w:gridSpan w:val="4"/>
          </w:tcPr>
          <w:p>
            <w:pPr>
              <w:ind w:left="1260"/>
              <w:spacing w:after="0"/>
              <w:rPr>
                <w:sz w:val="20"/>
                <w:szCs w:val="20"/>
                <w:color w:val="auto"/>
              </w:rPr>
            </w:pPr>
            <w:r>
              <w:rPr>
                <w:rFonts w:ascii="Arial" w:cs="Arial" w:eastAsia="Arial" w:hAnsi="Arial"/>
                <w:sz w:val="17"/>
                <w:szCs w:val="17"/>
                <w:color w:val="0000EE"/>
                <w:w w:val="84"/>
              </w:rPr>
              <w:t>5.</w:t>
            </w:r>
            <w:r>
              <w:rPr>
                <w:rFonts w:ascii="Arial" w:cs="Arial" w:eastAsia="Arial" w:hAnsi="Arial"/>
                <w:sz w:val="17"/>
                <w:szCs w:val="17"/>
                <w:u w:val="single" w:color="auto"/>
                <w:color w:val="0000EE"/>
                <w:w w:val="84"/>
              </w:rPr>
              <w:t>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80" w:type="dxa"/>
            <w:vAlign w:val="bottom"/>
            <w:gridSpan w:val="30"/>
          </w:tcPr>
          <w:p>
            <w:pPr>
              <w:spacing w:after="0"/>
              <w:rPr>
                <w:sz w:val="20"/>
                <w:szCs w:val="20"/>
                <w:color w:val="auto"/>
              </w:rPr>
            </w:pPr>
            <w:r>
              <w:rPr>
                <w:rFonts w:ascii="Arial" w:cs="Arial" w:eastAsia="Arial" w:hAnsi="Arial"/>
                <w:sz w:val="17"/>
                <w:szCs w:val="17"/>
                <w:color w:val="0000EE"/>
              </w:rPr>
              <w:t>Retirement benefits</w:t>
            </w:r>
          </w:p>
        </w:tc>
        <w:tc>
          <w:tcPr>
            <w:tcW w:w="260" w:type="dxa"/>
            <w:vAlign w:val="bottom"/>
            <w:gridSpan w:val="2"/>
          </w:tcPr>
          <w:p>
            <w:pPr>
              <w:spacing w:after="0"/>
              <w:rPr>
                <w:sz w:val="20"/>
                <w:szCs w:val="20"/>
                <w:color w:val="auto"/>
              </w:rPr>
            </w:pPr>
            <w:r>
              <w:rPr>
                <w:rFonts w:ascii="Arial" w:cs="Arial" w:eastAsia="Arial" w:hAnsi="Arial"/>
                <w:sz w:val="17"/>
                <w:szCs w:val="17"/>
                <w:color w:val="FF0000"/>
                <w:strike w:val="1"/>
              </w:rPr>
              <w:t>11</w:t>
            </w:r>
          </w:p>
        </w:tc>
        <w:tc>
          <w:tcPr>
            <w:tcW w:w="100" w:type="dxa"/>
            <w:vAlign w:val="bottom"/>
          </w:tcPr>
          <w:p>
            <w:pPr>
              <w:spacing w:after="0"/>
              <w:rPr>
                <w:sz w:val="20"/>
                <w:szCs w:val="20"/>
                <w:color w:val="auto"/>
              </w:rPr>
            </w:pPr>
            <w:r>
              <w:rPr>
                <w:rFonts w:ascii="Arial" w:cs="Arial" w:eastAsia="Arial" w:hAnsi="Arial"/>
                <w:sz w:val="7"/>
                <w:szCs w:val="7"/>
                <w:color w:val="0000FF"/>
                <w:w w:val="76"/>
              </w:rPr>
              <w:t>13</w:t>
            </w:r>
          </w:p>
        </w:tc>
        <w:tc>
          <w:tcPr>
            <w:tcW w:w="12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right w:val="single" w:sz="8" w:color="0000FF"/>
            </w:tcBorders>
            <w:gridSpan w:val="2"/>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03"/>
        </w:trPr>
        <w:tc>
          <w:tcPr>
            <w:tcW w:w="1500" w:type="dxa"/>
            <w:vAlign w:val="bottom"/>
            <w:gridSpan w:val="4"/>
          </w:tcPr>
          <w:p>
            <w:pPr>
              <w:ind w:left="1260"/>
              <w:spacing w:after="0"/>
              <w:rPr>
                <w:sz w:val="20"/>
                <w:szCs w:val="20"/>
                <w:color w:val="auto"/>
              </w:rPr>
            </w:pPr>
            <w:r>
              <w:rPr>
                <w:rFonts w:ascii="Arial" w:cs="Arial" w:eastAsia="Arial" w:hAnsi="Arial"/>
                <w:sz w:val="17"/>
                <w:szCs w:val="17"/>
                <w:color w:val="0000EE"/>
                <w:w w:val="84"/>
              </w:rPr>
              <w:t>5.</w:t>
            </w:r>
            <w:r>
              <w:rPr>
                <w:rFonts w:ascii="Arial" w:cs="Arial" w:eastAsia="Arial" w:hAnsi="Arial"/>
                <w:sz w:val="17"/>
                <w:szCs w:val="17"/>
                <w:u w:val="single" w:color="auto"/>
                <w:color w:val="0000EE"/>
                <w:w w:val="84"/>
              </w:rPr>
              <w:t>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80" w:type="dxa"/>
            <w:vAlign w:val="bottom"/>
            <w:gridSpan w:val="30"/>
          </w:tcPr>
          <w:p>
            <w:pPr>
              <w:spacing w:after="0"/>
              <w:rPr>
                <w:sz w:val="20"/>
                <w:szCs w:val="20"/>
                <w:color w:val="auto"/>
              </w:rPr>
            </w:pPr>
            <w:r>
              <w:rPr>
                <w:rFonts w:ascii="Arial" w:cs="Arial" w:eastAsia="Arial" w:hAnsi="Arial"/>
                <w:sz w:val="17"/>
                <w:szCs w:val="17"/>
                <w:color w:val="0000EE"/>
              </w:rPr>
              <w:t>Superannuation and similar benefits</w:t>
            </w:r>
          </w:p>
        </w:tc>
        <w:tc>
          <w:tcPr>
            <w:tcW w:w="260" w:type="dxa"/>
            <w:vAlign w:val="bottom"/>
            <w:gridSpan w:val="2"/>
          </w:tcPr>
          <w:p>
            <w:pPr>
              <w:spacing w:after="0"/>
              <w:rPr>
                <w:sz w:val="20"/>
                <w:szCs w:val="20"/>
                <w:color w:val="auto"/>
              </w:rPr>
            </w:pPr>
            <w:r>
              <w:rPr>
                <w:rFonts w:ascii="Arial" w:cs="Arial" w:eastAsia="Arial" w:hAnsi="Arial"/>
                <w:sz w:val="17"/>
                <w:szCs w:val="17"/>
                <w:color w:val="FF0000"/>
                <w:strike w:val="1"/>
              </w:rPr>
              <w:t>11</w:t>
            </w:r>
          </w:p>
        </w:tc>
        <w:tc>
          <w:tcPr>
            <w:tcW w:w="100" w:type="dxa"/>
            <w:vAlign w:val="bottom"/>
          </w:tcPr>
          <w:p>
            <w:pPr>
              <w:spacing w:after="0"/>
              <w:rPr>
                <w:sz w:val="20"/>
                <w:szCs w:val="20"/>
                <w:color w:val="auto"/>
              </w:rPr>
            </w:pPr>
            <w:r>
              <w:rPr>
                <w:rFonts w:ascii="Arial" w:cs="Arial" w:eastAsia="Arial" w:hAnsi="Arial"/>
                <w:sz w:val="7"/>
                <w:szCs w:val="7"/>
                <w:color w:val="0000FF"/>
                <w:w w:val="76"/>
              </w:rPr>
              <w:t>13</w:t>
            </w:r>
          </w:p>
        </w:tc>
        <w:tc>
          <w:tcPr>
            <w:tcW w:w="12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right w:val="single" w:sz="8" w:color="0000FF"/>
            </w:tcBorders>
            <w:gridSpan w:val="2"/>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03"/>
        </w:trPr>
        <w:tc>
          <w:tcPr>
            <w:tcW w:w="1500" w:type="dxa"/>
            <w:vAlign w:val="bottom"/>
            <w:gridSpan w:val="4"/>
          </w:tcPr>
          <w:p>
            <w:pPr>
              <w:ind w:left="1260"/>
              <w:spacing w:after="0"/>
              <w:rPr>
                <w:sz w:val="20"/>
                <w:szCs w:val="20"/>
                <w:color w:val="auto"/>
              </w:rPr>
            </w:pPr>
            <w:r>
              <w:rPr>
                <w:rFonts w:ascii="Arial" w:cs="Arial" w:eastAsia="Arial" w:hAnsi="Arial"/>
                <w:sz w:val="17"/>
                <w:szCs w:val="17"/>
                <w:color w:val="0000EE"/>
                <w:w w:val="84"/>
              </w:rPr>
              <w:t>5.</w:t>
            </w:r>
            <w:r>
              <w:rPr>
                <w:rFonts w:ascii="Arial" w:cs="Arial" w:eastAsia="Arial" w:hAnsi="Arial"/>
                <w:sz w:val="17"/>
                <w:szCs w:val="17"/>
                <w:u w:val="single" w:color="auto"/>
                <w:color w:val="0000EE"/>
                <w:w w:val="84"/>
              </w:rPr>
              <w:t>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80" w:type="dxa"/>
            <w:vAlign w:val="bottom"/>
            <w:gridSpan w:val="30"/>
          </w:tcPr>
          <w:p>
            <w:pPr>
              <w:spacing w:after="0"/>
              <w:rPr>
                <w:sz w:val="20"/>
                <w:szCs w:val="20"/>
                <w:color w:val="auto"/>
              </w:rPr>
            </w:pPr>
            <w:r>
              <w:rPr>
                <w:rFonts w:ascii="Arial" w:cs="Arial" w:eastAsia="Arial" w:hAnsi="Arial"/>
                <w:sz w:val="17"/>
                <w:szCs w:val="17"/>
                <w:color w:val="0000EE"/>
              </w:rPr>
              <w:t>Incentive schemes</w:t>
            </w:r>
          </w:p>
        </w:tc>
        <w:tc>
          <w:tcPr>
            <w:tcW w:w="260" w:type="dxa"/>
            <w:vAlign w:val="bottom"/>
            <w:gridSpan w:val="2"/>
          </w:tcPr>
          <w:p>
            <w:pPr>
              <w:spacing w:after="0"/>
              <w:rPr>
                <w:sz w:val="20"/>
                <w:szCs w:val="20"/>
                <w:color w:val="auto"/>
              </w:rPr>
            </w:pPr>
            <w:r>
              <w:rPr>
                <w:rFonts w:ascii="Arial" w:cs="Arial" w:eastAsia="Arial" w:hAnsi="Arial"/>
                <w:sz w:val="17"/>
                <w:szCs w:val="17"/>
                <w:color w:val="FF0000"/>
                <w:strike w:val="1"/>
              </w:rPr>
              <w:t>11</w:t>
            </w:r>
          </w:p>
        </w:tc>
        <w:tc>
          <w:tcPr>
            <w:tcW w:w="100" w:type="dxa"/>
            <w:vAlign w:val="bottom"/>
          </w:tcPr>
          <w:p>
            <w:pPr>
              <w:spacing w:after="0"/>
              <w:rPr>
                <w:sz w:val="20"/>
                <w:szCs w:val="20"/>
                <w:color w:val="auto"/>
              </w:rPr>
            </w:pPr>
            <w:r>
              <w:rPr>
                <w:rFonts w:ascii="Arial" w:cs="Arial" w:eastAsia="Arial" w:hAnsi="Arial"/>
                <w:sz w:val="7"/>
                <w:szCs w:val="7"/>
                <w:color w:val="0000FF"/>
                <w:w w:val="76"/>
              </w:rPr>
              <w:t>13</w:t>
            </w:r>
          </w:p>
        </w:tc>
        <w:tc>
          <w:tcPr>
            <w:tcW w:w="12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right w:val="single" w:sz="8" w:color="0000FF"/>
            </w:tcBorders>
            <w:gridSpan w:val="2"/>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03"/>
        </w:trPr>
        <w:tc>
          <w:tcPr>
            <w:tcW w:w="1500" w:type="dxa"/>
            <w:vAlign w:val="bottom"/>
            <w:gridSpan w:val="4"/>
          </w:tcPr>
          <w:p>
            <w:pPr>
              <w:ind w:left="1260"/>
              <w:spacing w:after="0"/>
              <w:rPr>
                <w:sz w:val="20"/>
                <w:szCs w:val="20"/>
                <w:color w:val="auto"/>
              </w:rPr>
            </w:pPr>
            <w:r>
              <w:rPr>
                <w:rFonts w:ascii="Arial" w:cs="Arial" w:eastAsia="Arial" w:hAnsi="Arial"/>
                <w:sz w:val="17"/>
                <w:szCs w:val="17"/>
                <w:color w:val="0000EE"/>
                <w:w w:val="84"/>
              </w:rPr>
              <w:t>5.</w:t>
            </w:r>
            <w:r>
              <w:rPr>
                <w:rFonts w:ascii="Arial" w:cs="Arial" w:eastAsia="Arial" w:hAnsi="Arial"/>
                <w:sz w:val="17"/>
                <w:szCs w:val="17"/>
                <w:u w:val="single" w:color="auto"/>
                <w:color w:val="0000EE"/>
                <w:w w:val="84"/>
              </w:rPr>
              <w:t>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80" w:type="dxa"/>
            <w:vAlign w:val="bottom"/>
            <w:gridSpan w:val="30"/>
          </w:tcPr>
          <w:p>
            <w:pPr>
              <w:spacing w:after="0"/>
              <w:rPr>
                <w:sz w:val="20"/>
                <w:szCs w:val="20"/>
                <w:color w:val="auto"/>
              </w:rPr>
            </w:pPr>
            <w:r>
              <w:rPr>
                <w:rFonts w:ascii="Arial" w:cs="Arial" w:eastAsia="Arial" w:hAnsi="Arial"/>
                <w:sz w:val="17"/>
                <w:szCs w:val="17"/>
                <w:color w:val="0000EE"/>
              </w:rPr>
              <w:t>Remuneration and expenses of alternate directors</w:t>
            </w:r>
          </w:p>
        </w:tc>
        <w:tc>
          <w:tcPr>
            <w:tcW w:w="260" w:type="dxa"/>
            <w:vAlign w:val="bottom"/>
            <w:gridSpan w:val="2"/>
          </w:tcPr>
          <w:p>
            <w:pPr>
              <w:spacing w:after="0"/>
              <w:rPr>
                <w:sz w:val="20"/>
                <w:szCs w:val="20"/>
                <w:color w:val="auto"/>
              </w:rPr>
            </w:pPr>
            <w:r>
              <w:rPr>
                <w:rFonts w:ascii="Arial" w:cs="Arial" w:eastAsia="Arial" w:hAnsi="Arial"/>
                <w:sz w:val="17"/>
                <w:szCs w:val="17"/>
                <w:color w:val="FF0000"/>
                <w:strike w:val="1"/>
              </w:rPr>
              <w:t>11</w:t>
            </w:r>
          </w:p>
        </w:tc>
        <w:tc>
          <w:tcPr>
            <w:tcW w:w="100" w:type="dxa"/>
            <w:vAlign w:val="bottom"/>
          </w:tcPr>
          <w:p>
            <w:pPr>
              <w:spacing w:after="0"/>
              <w:rPr>
                <w:sz w:val="20"/>
                <w:szCs w:val="20"/>
                <w:color w:val="auto"/>
              </w:rPr>
            </w:pPr>
            <w:r>
              <w:rPr>
                <w:rFonts w:ascii="Arial" w:cs="Arial" w:eastAsia="Arial" w:hAnsi="Arial"/>
                <w:sz w:val="7"/>
                <w:szCs w:val="7"/>
                <w:color w:val="0000FF"/>
                <w:w w:val="76"/>
              </w:rPr>
              <w:t>13</w:t>
            </w:r>
          </w:p>
        </w:tc>
        <w:tc>
          <w:tcPr>
            <w:tcW w:w="12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right w:val="single" w:sz="8" w:color="0000FF"/>
            </w:tcBorders>
            <w:gridSpan w:val="2"/>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03"/>
        </w:trPr>
        <w:tc>
          <w:tcPr>
            <w:tcW w:w="1360" w:type="dxa"/>
            <w:vAlign w:val="bottom"/>
            <w:gridSpan w:val="3"/>
          </w:tcPr>
          <w:p>
            <w:pPr>
              <w:ind w:left="1260"/>
              <w:spacing w:after="0"/>
              <w:rPr>
                <w:sz w:val="20"/>
                <w:szCs w:val="20"/>
                <w:color w:val="auto"/>
              </w:rPr>
            </w:pPr>
            <w:r>
              <w:rPr>
                <w:rFonts w:ascii="Arial" w:cs="Arial" w:eastAsia="Arial" w:hAnsi="Arial"/>
                <w:sz w:val="17"/>
                <w:szCs w:val="17"/>
                <w:b w:val="1"/>
                <w:bCs w:val="1"/>
                <w:color w:val="0000EE"/>
                <w:w w:val="84"/>
              </w:rPr>
              <w:t>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80" w:type="dxa"/>
            <w:vAlign w:val="bottom"/>
            <w:gridSpan w:val="30"/>
          </w:tcPr>
          <w:p>
            <w:pPr>
              <w:spacing w:after="0"/>
              <w:rPr>
                <w:sz w:val="20"/>
                <w:szCs w:val="20"/>
                <w:color w:val="auto"/>
              </w:rPr>
            </w:pPr>
            <w:r>
              <w:rPr>
                <w:rFonts w:ascii="Arial" w:cs="Arial" w:eastAsia="Arial" w:hAnsi="Arial"/>
                <w:sz w:val="17"/>
                <w:szCs w:val="17"/>
                <w:b w:val="1"/>
                <w:bCs w:val="1"/>
                <w:color w:val="0000EE"/>
              </w:rPr>
              <w:t>INTERESTS OF DIRECTORS</w:t>
            </w:r>
          </w:p>
        </w:tc>
        <w:tc>
          <w:tcPr>
            <w:tcW w:w="260" w:type="dxa"/>
            <w:vAlign w:val="bottom"/>
            <w:gridSpan w:val="2"/>
          </w:tcPr>
          <w:p>
            <w:pPr>
              <w:spacing w:after="0"/>
              <w:rPr>
                <w:sz w:val="20"/>
                <w:szCs w:val="20"/>
                <w:color w:val="auto"/>
              </w:rPr>
            </w:pPr>
            <w:r>
              <w:rPr>
                <w:rFonts w:ascii="Arial" w:cs="Arial" w:eastAsia="Arial" w:hAnsi="Arial"/>
                <w:sz w:val="17"/>
                <w:szCs w:val="17"/>
                <w:b w:val="1"/>
                <w:bCs w:val="1"/>
                <w:color w:val="FF0000"/>
                <w:strike w:val="1"/>
              </w:rPr>
              <w:t>11</w:t>
            </w:r>
          </w:p>
        </w:tc>
        <w:tc>
          <w:tcPr>
            <w:tcW w:w="100" w:type="dxa"/>
            <w:vAlign w:val="bottom"/>
          </w:tcPr>
          <w:p>
            <w:pPr>
              <w:spacing w:after="0"/>
              <w:rPr>
                <w:sz w:val="20"/>
                <w:szCs w:val="20"/>
                <w:color w:val="auto"/>
              </w:rPr>
            </w:pPr>
            <w:r>
              <w:rPr>
                <w:rFonts w:ascii="Arial" w:cs="Arial" w:eastAsia="Arial" w:hAnsi="Arial"/>
                <w:sz w:val="7"/>
                <w:szCs w:val="7"/>
                <w:b w:val="1"/>
                <w:bCs w:val="1"/>
                <w:color w:val="0000FF"/>
                <w:w w:val="76"/>
              </w:rPr>
              <w:t>14</w:t>
            </w:r>
          </w:p>
        </w:tc>
        <w:tc>
          <w:tcPr>
            <w:tcW w:w="12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right w:val="single" w:sz="8" w:color="FF0000"/>
            </w:tcBorders>
            <w:gridSpan w:val="2"/>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r>
      <w:tr>
        <w:trPr>
          <w:trHeight w:val="203"/>
        </w:trPr>
        <w:tc>
          <w:tcPr>
            <w:tcW w:w="1500" w:type="dxa"/>
            <w:vAlign w:val="bottom"/>
            <w:gridSpan w:val="4"/>
          </w:tcPr>
          <w:p>
            <w:pPr>
              <w:ind w:left="1260"/>
              <w:spacing w:after="0"/>
              <w:rPr>
                <w:sz w:val="20"/>
                <w:szCs w:val="20"/>
                <w:color w:val="auto"/>
              </w:rPr>
            </w:pPr>
            <w:r>
              <w:rPr>
                <w:rFonts w:ascii="Arial" w:cs="Arial" w:eastAsia="Arial" w:hAnsi="Arial"/>
                <w:sz w:val="17"/>
                <w:szCs w:val="17"/>
                <w:color w:val="0000EE"/>
                <w:w w:val="84"/>
              </w:rPr>
              <w:t>6.</w:t>
            </w:r>
            <w:r>
              <w:rPr>
                <w:rFonts w:ascii="Arial" w:cs="Arial" w:eastAsia="Arial" w:hAnsi="Arial"/>
                <w:sz w:val="17"/>
                <w:szCs w:val="17"/>
                <w:u w:val="single" w:color="auto"/>
                <w:color w:val="0000EE"/>
                <w:w w:val="84"/>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80" w:type="dxa"/>
            <w:vAlign w:val="bottom"/>
            <w:gridSpan w:val="30"/>
          </w:tcPr>
          <w:p>
            <w:pPr>
              <w:spacing w:after="0"/>
              <w:rPr>
                <w:sz w:val="20"/>
                <w:szCs w:val="20"/>
                <w:color w:val="auto"/>
              </w:rPr>
            </w:pPr>
            <w:r>
              <w:rPr>
                <w:rFonts w:ascii="Arial" w:cs="Arial" w:eastAsia="Arial" w:hAnsi="Arial"/>
                <w:sz w:val="17"/>
                <w:szCs w:val="17"/>
                <w:color w:val="0000EE"/>
              </w:rPr>
              <w:t>Disclosure of interests</w:t>
            </w:r>
          </w:p>
        </w:tc>
        <w:tc>
          <w:tcPr>
            <w:tcW w:w="260" w:type="dxa"/>
            <w:vAlign w:val="bottom"/>
            <w:gridSpan w:val="2"/>
          </w:tcPr>
          <w:p>
            <w:pPr>
              <w:spacing w:after="0"/>
              <w:rPr>
                <w:sz w:val="20"/>
                <w:szCs w:val="20"/>
                <w:color w:val="auto"/>
              </w:rPr>
            </w:pPr>
            <w:r>
              <w:rPr>
                <w:rFonts w:ascii="Arial" w:cs="Arial" w:eastAsia="Arial" w:hAnsi="Arial"/>
                <w:sz w:val="17"/>
                <w:szCs w:val="17"/>
                <w:color w:val="FF0000"/>
                <w:strike w:val="1"/>
              </w:rPr>
              <w:t>11</w:t>
            </w:r>
          </w:p>
        </w:tc>
        <w:tc>
          <w:tcPr>
            <w:tcW w:w="100" w:type="dxa"/>
            <w:vAlign w:val="bottom"/>
          </w:tcPr>
          <w:p>
            <w:pPr>
              <w:spacing w:after="0"/>
              <w:rPr>
                <w:sz w:val="20"/>
                <w:szCs w:val="20"/>
                <w:color w:val="auto"/>
              </w:rPr>
            </w:pPr>
            <w:r>
              <w:rPr>
                <w:rFonts w:ascii="Arial" w:cs="Arial" w:eastAsia="Arial" w:hAnsi="Arial"/>
                <w:sz w:val="7"/>
                <w:szCs w:val="7"/>
                <w:color w:val="0000FF"/>
                <w:w w:val="76"/>
              </w:rPr>
              <w:t>14</w:t>
            </w:r>
          </w:p>
        </w:tc>
        <w:tc>
          <w:tcPr>
            <w:tcW w:w="12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right w:val="single" w:sz="8" w:color="0000FF"/>
            </w:tcBorders>
            <w:gridSpan w:val="2"/>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03"/>
        </w:trPr>
        <w:tc>
          <w:tcPr>
            <w:tcW w:w="1500" w:type="dxa"/>
            <w:vAlign w:val="bottom"/>
            <w:gridSpan w:val="4"/>
          </w:tcPr>
          <w:p>
            <w:pPr>
              <w:ind w:left="1260"/>
              <w:spacing w:after="0"/>
              <w:rPr>
                <w:sz w:val="20"/>
                <w:szCs w:val="20"/>
                <w:color w:val="auto"/>
              </w:rPr>
            </w:pPr>
            <w:r>
              <w:rPr>
                <w:rFonts w:ascii="Arial" w:cs="Arial" w:eastAsia="Arial" w:hAnsi="Arial"/>
                <w:sz w:val="17"/>
                <w:szCs w:val="17"/>
                <w:color w:val="0000EE"/>
                <w:w w:val="84"/>
              </w:rPr>
              <w:t>6.</w:t>
            </w:r>
            <w:r>
              <w:rPr>
                <w:rFonts w:ascii="Arial" w:cs="Arial" w:eastAsia="Arial" w:hAnsi="Arial"/>
                <w:sz w:val="17"/>
                <w:szCs w:val="17"/>
                <w:u w:val="single" w:color="auto"/>
                <w:color w:val="0000EE"/>
                <w:w w:val="84"/>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80" w:type="dxa"/>
            <w:vAlign w:val="bottom"/>
            <w:gridSpan w:val="30"/>
          </w:tcPr>
          <w:p>
            <w:pPr>
              <w:spacing w:after="0"/>
              <w:rPr>
                <w:sz w:val="20"/>
                <w:szCs w:val="20"/>
                <w:color w:val="auto"/>
              </w:rPr>
            </w:pPr>
            <w:r>
              <w:rPr>
                <w:rFonts w:ascii="Arial" w:cs="Arial" w:eastAsia="Arial" w:hAnsi="Arial"/>
                <w:sz w:val="17"/>
                <w:szCs w:val="17"/>
                <w:color w:val="0000EE"/>
              </w:rPr>
              <w:t>Permitted interests</w:t>
            </w:r>
          </w:p>
        </w:tc>
        <w:tc>
          <w:tcPr>
            <w:tcW w:w="260" w:type="dxa"/>
            <w:vAlign w:val="bottom"/>
            <w:gridSpan w:val="2"/>
          </w:tcPr>
          <w:p>
            <w:pPr>
              <w:spacing w:after="0"/>
              <w:rPr>
                <w:sz w:val="20"/>
                <w:szCs w:val="20"/>
                <w:color w:val="auto"/>
              </w:rPr>
            </w:pPr>
            <w:r>
              <w:rPr>
                <w:rFonts w:ascii="Arial" w:cs="Arial" w:eastAsia="Arial" w:hAnsi="Arial"/>
                <w:sz w:val="17"/>
                <w:szCs w:val="17"/>
                <w:color w:val="FF0000"/>
                <w:strike w:val="1"/>
              </w:rPr>
              <w:t>12</w:t>
            </w:r>
          </w:p>
        </w:tc>
        <w:tc>
          <w:tcPr>
            <w:tcW w:w="1320" w:type="dxa"/>
            <w:vAlign w:val="bottom"/>
            <w:gridSpan w:val="2"/>
          </w:tcPr>
          <w:p>
            <w:pPr>
              <w:spacing w:after="0"/>
              <w:rPr>
                <w:sz w:val="20"/>
                <w:szCs w:val="20"/>
                <w:color w:val="auto"/>
              </w:rPr>
            </w:pPr>
            <w:r>
              <w:rPr>
                <w:rFonts w:ascii="Arial" w:cs="Arial" w:eastAsia="Arial" w:hAnsi="Arial"/>
                <w:sz w:val="17"/>
                <w:szCs w:val="17"/>
                <w:color w:val="0000FF"/>
              </w:rPr>
              <w:t>14</w:t>
            </w:r>
          </w:p>
        </w:tc>
      </w:tr>
      <w:tr>
        <w:trPr>
          <w:trHeight w:val="20"/>
        </w:trPr>
        <w:tc>
          <w:tcPr>
            <w:tcW w:w="12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right w:val="single" w:sz="8" w:color="FF0000"/>
            </w:tcBorders>
            <w:gridSpan w:val="2"/>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r>
      <w:tr>
        <w:trPr>
          <w:trHeight w:val="203"/>
        </w:trPr>
        <w:tc>
          <w:tcPr>
            <w:tcW w:w="1500" w:type="dxa"/>
            <w:vAlign w:val="bottom"/>
            <w:gridSpan w:val="4"/>
          </w:tcPr>
          <w:p>
            <w:pPr>
              <w:ind w:left="1260"/>
              <w:spacing w:after="0"/>
              <w:rPr>
                <w:sz w:val="20"/>
                <w:szCs w:val="20"/>
                <w:color w:val="auto"/>
              </w:rPr>
            </w:pPr>
            <w:r>
              <w:rPr>
                <w:rFonts w:ascii="Arial" w:cs="Arial" w:eastAsia="Arial" w:hAnsi="Arial"/>
                <w:sz w:val="17"/>
                <w:szCs w:val="17"/>
                <w:color w:val="0000EE"/>
                <w:w w:val="84"/>
              </w:rPr>
              <w:t>6.</w:t>
            </w:r>
            <w:r>
              <w:rPr>
                <w:rFonts w:ascii="Arial" w:cs="Arial" w:eastAsia="Arial" w:hAnsi="Arial"/>
                <w:sz w:val="17"/>
                <w:szCs w:val="17"/>
                <w:u w:val="single" w:color="auto"/>
                <w:color w:val="0000EE"/>
                <w:w w:val="84"/>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80" w:type="dxa"/>
            <w:vAlign w:val="bottom"/>
            <w:gridSpan w:val="30"/>
          </w:tcPr>
          <w:p>
            <w:pPr>
              <w:spacing w:after="0"/>
              <w:rPr>
                <w:sz w:val="20"/>
                <w:szCs w:val="20"/>
                <w:color w:val="auto"/>
              </w:rPr>
            </w:pPr>
            <w:r>
              <w:rPr>
                <w:rFonts w:ascii="Arial" w:cs="Arial" w:eastAsia="Arial" w:hAnsi="Arial"/>
                <w:sz w:val="17"/>
                <w:szCs w:val="17"/>
                <w:color w:val="0000EE"/>
              </w:rPr>
              <w:t>Exercise of voting rights held by the company</w:t>
            </w:r>
          </w:p>
        </w:tc>
        <w:tc>
          <w:tcPr>
            <w:tcW w:w="260" w:type="dxa"/>
            <w:vAlign w:val="bottom"/>
            <w:gridSpan w:val="2"/>
          </w:tcPr>
          <w:p>
            <w:pPr>
              <w:spacing w:after="0"/>
              <w:rPr>
                <w:sz w:val="20"/>
                <w:szCs w:val="20"/>
                <w:color w:val="auto"/>
              </w:rPr>
            </w:pPr>
            <w:r>
              <w:rPr>
                <w:rFonts w:ascii="Arial" w:cs="Arial" w:eastAsia="Arial" w:hAnsi="Arial"/>
                <w:sz w:val="17"/>
                <w:szCs w:val="17"/>
                <w:color w:val="FF0000"/>
                <w:strike w:val="1"/>
              </w:rPr>
              <w:t>12</w:t>
            </w:r>
          </w:p>
        </w:tc>
        <w:tc>
          <w:tcPr>
            <w:tcW w:w="1320" w:type="dxa"/>
            <w:vAlign w:val="bottom"/>
            <w:gridSpan w:val="2"/>
          </w:tcPr>
          <w:p>
            <w:pPr>
              <w:spacing w:after="0"/>
              <w:rPr>
                <w:sz w:val="20"/>
                <w:szCs w:val="20"/>
                <w:color w:val="auto"/>
              </w:rPr>
            </w:pPr>
            <w:r>
              <w:rPr>
                <w:rFonts w:ascii="Arial" w:cs="Arial" w:eastAsia="Arial" w:hAnsi="Arial"/>
                <w:sz w:val="17"/>
                <w:szCs w:val="17"/>
                <w:color w:val="0000FF"/>
              </w:rPr>
              <w:t>14</w:t>
            </w:r>
          </w:p>
        </w:tc>
      </w:tr>
      <w:tr>
        <w:trPr>
          <w:trHeight w:val="20"/>
        </w:trPr>
        <w:tc>
          <w:tcPr>
            <w:tcW w:w="12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right w:val="single" w:sz="8" w:color="FF0000"/>
            </w:tcBorders>
            <w:gridSpan w:val="2"/>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r>
      <w:tr>
        <w:trPr>
          <w:trHeight w:val="203"/>
        </w:trPr>
        <w:tc>
          <w:tcPr>
            <w:tcW w:w="1500" w:type="dxa"/>
            <w:vAlign w:val="bottom"/>
            <w:gridSpan w:val="4"/>
          </w:tcPr>
          <w:p>
            <w:pPr>
              <w:ind w:left="1260"/>
              <w:spacing w:after="0"/>
              <w:rPr>
                <w:sz w:val="20"/>
                <w:szCs w:val="20"/>
                <w:color w:val="auto"/>
              </w:rPr>
            </w:pPr>
            <w:r>
              <w:rPr>
                <w:rFonts w:ascii="Arial" w:cs="Arial" w:eastAsia="Arial" w:hAnsi="Arial"/>
                <w:sz w:val="17"/>
                <w:szCs w:val="17"/>
                <w:color w:val="0000EE"/>
                <w:w w:val="84"/>
              </w:rPr>
              <w:t>6.</w:t>
            </w:r>
            <w:r>
              <w:rPr>
                <w:rFonts w:ascii="Arial" w:cs="Arial" w:eastAsia="Arial" w:hAnsi="Arial"/>
                <w:sz w:val="17"/>
                <w:szCs w:val="17"/>
                <w:u w:val="single" w:color="auto"/>
                <w:color w:val="0000EE"/>
                <w:w w:val="84"/>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80" w:type="dxa"/>
            <w:vAlign w:val="bottom"/>
            <w:gridSpan w:val="30"/>
          </w:tcPr>
          <w:p>
            <w:pPr>
              <w:spacing w:after="0"/>
              <w:rPr>
                <w:sz w:val="20"/>
                <w:szCs w:val="20"/>
                <w:color w:val="auto"/>
              </w:rPr>
            </w:pPr>
            <w:r>
              <w:rPr>
                <w:rFonts w:ascii="Arial" w:cs="Arial" w:eastAsia="Arial" w:hAnsi="Arial"/>
                <w:sz w:val="17"/>
                <w:szCs w:val="17"/>
                <w:color w:val="0000EE"/>
              </w:rPr>
              <w:t>Director with material personal interest</w:t>
            </w:r>
          </w:p>
        </w:tc>
        <w:tc>
          <w:tcPr>
            <w:tcW w:w="260" w:type="dxa"/>
            <w:vAlign w:val="bottom"/>
            <w:gridSpan w:val="2"/>
          </w:tcPr>
          <w:p>
            <w:pPr>
              <w:spacing w:after="0"/>
              <w:rPr>
                <w:sz w:val="20"/>
                <w:szCs w:val="20"/>
                <w:color w:val="auto"/>
              </w:rPr>
            </w:pPr>
            <w:r>
              <w:rPr>
                <w:rFonts w:ascii="Arial" w:cs="Arial" w:eastAsia="Arial" w:hAnsi="Arial"/>
                <w:sz w:val="17"/>
                <w:szCs w:val="17"/>
                <w:color w:val="FF0000"/>
                <w:strike w:val="1"/>
              </w:rPr>
              <w:t>12</w:t>
            </w:r>
          </w:p>
        </w:tc>
        <w:tc>
          <w:tcPr>
            <w:tcW w:w="1320" w:type="dxa"/>
            <w:vAlign w:val="bottom"/>
            <w:gridSpan w:val="2"/>
          </w:tcPr>
          <w:p>
            <w:pPr>
              <w:spacing w:after="0"/>
              <w:rPr>
                <w:sz w:val="20"/>
                <w:szCs w:val="20"/>
                <w:color w:val="auto"/>
              </w:rPr>
            </w:pPr>
            <w:r>
              <w:rPr>
                <w:rFonts w:ascii="Arial" w:cs="Arial" w:eastAsia="Arial" w:hAnsi="Arial"/>
                <w:sz w:val="17"/>
                <w:szCs w:val="17"/>
                <w:color w:val="0000FF"/>
              </w:rPr>
              <w:t>15</w:t>
            </w:r>
          </w:p>
        </w:tc>
      </w:tr>
      <w:tr>
        <w:trPr>
          <w:trHeight w:val="20"/>
        </w:trPr>
        <w:tc>
          <w:tcPr>
            <w:tcW w:w="12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right w:val="single" w:sz="8" w:color="FF0000"/>
            </w:tcBorders>
            <w:gridSpan w:val="2"/>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r>
      <w:tr>
        <w:trPr>
          <w:trHeight w:val="203"/>
        </w:trPr>
        <w:tc>
          <w:tcPr>
            <w:tcW w:w="1500" w:type="dxa"/>
            <w:vAlign w:val="bottom"/>
            <w:gridSpan w:val="4"/>
          </w:tcPr>
          <w:p>
            <w:pPr>
              <w:ind w:left="1260"/>
              <w:spacing w:after="0"/>
              <w:rPr>
                <w:sz w:val="20"/>
                <w:szCs w:val="20"/>
                <w:color w:val="auto"/>
              </w:rPr>
            </w:pPr>
            <w:r>
              <w:rPr>
                <w:rFonts w:ascii="Arial" w:cs="Arial" w:eastAsia="Arial" w:hAnsi="Arial"/>
                <w:sz w:val="17"/>
                <w:szCs w:val="17"/>
                <w:color w:val="0000EE"/>
                <w:w w:val="84"/>
              </w:rPr>
              <w:t>6.</w:t>
            </w:r>
            <w:r>
              <w:rPr>
                <w:rFonts w:ascii="Arial" w:cs="Arial" w:eastAsia="Arial" w:hAnsi="Arial"/>
                <w:sz w:val="17"/>
                <w:szCs w:val="17"/>
                <w:u w:val="single" w:color="auto"/>
                <w:color w:val="0000EE"/>
                <w:w w:val="84"/>
              </w:rPr>
              <w:t>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80" w:type="dxa"/>
            <w:vAlign w:val="bottom"/>
            <w:gridSpan w:val="30"/>
          </w:tcPr>
          <w:p>
            <w:pPr>
              <w:spacing w:after="0"/>
              <w:rPr>
                <w:sz w:val="20"/>
                <w:szCs w:val="20"/>
                <w:color w:val="auto"/>
              </w:rPr>
            </w:pPr>
            <w:r>
              <w:rPr>
                <w:rFonts w:ascii="Arial" w:cs="Arial" w:eastAsia="Arial" w:hAnsi="Arial"/>
                <w:sz w:val="17"/>
                <w:szCs w:val="17"/>
                <w:color w:val="0000EE"/>
              </w:rPr>
              <w:t>Participation despite interest</w:t>
            </w:r>
          </w:p>
        </w:tc>
        <w:tc>
          <w:tcPr>
            <w:tcW w:w="260" w:type="dxa"/>
            <w:vAlign w:val="bottom"/>
            <w:gridSpan w:val="2"/>
          </w:tcPr>
          <w:p>
            <w:pPr>
              <w:spacing w:after="0"/>
              <w:rPr>
                <w:sz w:val="20"/>
                <w:szCs w:val="20"/>
                <w:color w:val="auto"/>
              </w:rPr>
            </w:pPr>
            <w:r>
              <w:rPr>
                <w:rFonts w:ascii="Arial" w:cs="Arial" w:eastAsia="Arial" w:hAnsi="Arial"/>
                <w:sz w:val="17"/>
                <w:szCs w:val="17"/>
                <w:color w:val="FF0000"/>
                <w:strike w:val="1"/>
              </w:rPr>
              <w:t>13</w:t>
            </w:r>
          </w:p>
        </w:tc>
        <w:tc>
          <w:tcPr>
            <w:tcW w:w="1320" w:type="dxa"/>
            <w:vAlign w:val="bottom"/>
            <w:gridSpan w:val="2"/>
          </w:tcPr>
          <w:p>
            <w:pPr>
              <w:spacing w:after="0"/>
              <w:rPr>
                <w:sz w:val="20"/>
                <w:szCs w:val="20"/>
                <w:color w:val="auto"/>
              </w:rPr>
            </w:pPr>
            <w:r>
              <w:rPr>
                <w:rFonts w:ascii="Arial" w:cs="Arial" w:eastAsia="Arial" w:hAnsi="Arial"/>
                <w:sz w:val="17"/>
                <w:szCs w:val="17"/>
                <w:color w:val="0000FF"/>
              </w:rPr>
              <w:t>15</w:t>
            </w:r>
          </w:p>
        </w:tc>
      </w:tr>
      <w:tr>
        <w:trPr>
          <w:trHeight w:val="20"/>
        </w:trPr>
        <w:tc>
          <w:tcPr>
            <w:tcW w:w="126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right w:val="single" w:sz="8" w:color="FF0000"/>
            </w:tcBorders>
            <w:gridSpan w:val="2"/>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r>
      <w:tr>
        <w:trPr>
          <w:trHeight w:val="203"/>
        </w:trPr>
        <w:tc>
          <w:tcPr>
            <w:tcW w:w="1360" w:type="dxa"/>
            <w:vAlign w:val="bottom"/>
            <w:gridSpan w:val="3"/>
          </w:tcPr>
          <w:p>
            <w:pPr>
              <w:ind w:left="1260"/>
              <w:spacing w:after="0"/>
              <w:rPr>
                <w:sz w:val="20"/>
                <w:szCs w:val="20"/>
                <w:color w:val="auto"/>
              </w:rPr>
            </w:pPr>
            <w:r>
              <w:rPr>
                <w:rFonts w:ascii="Arial" w:cs="Arial" w:eastAsia="Arial" w:hAnsi="Arial"/>
                <w:sz w:val="17"/>
                <w:szCs w:val="17"/>
                <w:b w:val="1"/>
                <w:bCs w:val="1"/>
                <w:color w:val="0000EE"/>
                <w:w w:val="84"/>
              </w:rPr>
              <w:t>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80" w:type="dxa"/>
            <w:vAlign w:val="bottom"/>
            <w:gridSpan w:val="30"/>
          </w:tcPr>
          <w:p>
            <w:pPr>
              <w:spacing w:after="0"/>
              <w:rPr>
                <w:sz w:val="20"/>
                <w:szCs w:val="20"/>
                <w:color w:val="auto"/>
              </w:rPr>
            </w:pPr>
            <w:r>
              <w:rPr>
                <w:rFonts w:ascii="Arial" w:cs="Arial" w:eastAsia="Arial" w:hAnsi="Arial"/>
                <w:sz w:val="17"/>
                <w:szCs w:val="17"/>
                <w:b w:val="1"/>
                <w:bCs w:val="1"/>
                <w:color w:val="0000EE"/>
              </w:rPr>
              <w:t>EXECUTIVE OFFICERS</w:t>
            </w:r>
          </w:p>
        </w:tc>
        <w:tc>
          <w:tcPr>
            <w:tcW w:w="260" w:type="dxa"/>
            <w:vAlign w:val="bottom"/>
            <w:gridSpan w:val="2"/>
          </w:tcPr>
          <w:p>
            <w:pPr>
              <w:spacing w:after="0"/>
              <w:rPr>
                <w:sz w:val="20"/>
                <w:szCs w:val="20"/>
                <w:color w:val="auto"/>
              </w:rPr>
            </w:pPr>
            <w:r>
              <w:rPr>
                <w:rFonts w:ascii="Arial" w:cs="Arial" w:eastAsia="Arial" w:hAnsi="Arial"/>
                <w:sz w:val="17"/>
                <w:szCs w:val="17"/>
                <w:b w:val="1"/>
                <w:bCs w:val="1"/>
                <w:color w:val="FF0000"/>
                <w:strike w:val="1"/>
              </w:rPr>
              <w:t>13</w:t>
            </w:r>
          </w:p>
        </w:tc>
        <w:tc>
          <w:tcPr>
            <w:tcW w:w="1320" w:type="dxa"/>
            <w:vAlign w:val="bottom"/>
            <w:gridSpan w:val="2"/>
          </w:tcPr>
          <w:p>
            <w:pPr>
              <w:spacing w:after="0"/>
              <w:rPr>
                <w:sz w:val="20"/>
                <w:szCs w:val="20"/>
                <w:color w:val="auto"/>
              </w:rPr>
            </w:pPr>
            <w:r>
              <w:rPr>
                <w:rFonts w:ascii="Arial" w:cs="Arial" w:eastAsia="Arial" w:hAnsi="Arial"/>
                <w:sz w:val="17"/>
                <w:szCs w:val="17"/>
                <w:b w:val="1"/>
                <w:bCs w:val="1"/>
                <w:color w:val="0000FF"/>
              </w:rPr>
              <w:t>15</w:t>
            </w:r>
          </w:p>
        </w:tc>
      </w:tr>
      <w:tr>
        <w:trPr>
          <w:trHeight w:val="20"/>
        </w:trPr>
        <w:tc>
          <w:tcPr>
            <w:tcW w:w="126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right w:val="single" w:sz="8" w:color="FF0000"/>
            </w:tcBorders>
            <w:gridSpan w:val="2"/>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r>
      <w:tr>
        <w:trPr>
          <w:trHeight w:val="203"/>
        </w:trPr>
        <w:tc>
          <w:tcPr>
            <w:tcW w:w="1500" w:type="dxa"/>
            <w:vAlign w:val="bottom"/>
            <w:gridSpan w:val="4"/>
          </w:tcPr>
          <w:p>
            <w:pPr>
              <w:ind w:left="1260"/>
              <w:spacing w:after="0"/>
              <w:rPr>
                <w:sz w:val="20"/>
                <w:szCs w:val="20"/>
                <w:color w:val="auto"/>
              </w:rPr>
            </w:pPr>
            <w:r>
              <w:rPr>
                <w:rFonts w:ascii="Arial" w:cs="Arial" w:eastAsia="Arial" w:hAnsi="Arial"/>
                <w:sz w:val="17"/>
                <w:szCs w:val="17"/>
                <w:color w:val="0000EE"/>
                <w:w w:val="84"/>
              </w:rPr>
              <w:t>7.</w:t>
            </w:r>
            <w:r>
              <w:rPr>
                <w:rFonts w:ascii="Arial" w:cs="Arial" w:eastAsia="Arial" w:hAnsi="Arial"/>
                <w:sz w:val="17"/>
                <w:szCs w:val="17"/>
                <w:u w:val="single" w:color="auto"/>
                <w:color w:val="0000EE"/>
                <w:w w:val="84"/>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80" w:type="dxa"/>
            <w:vAlign w:val="bottom"/>
            <w:gridSpan w:val="30"/>
          </w:tcPr>
          <w:p>
            <w:pPr>
              <w:spacing w:after="0"/>
              <w:rPr>
                <w:sz w:val="20"/>
                <w:szCs w:val="20"/>
                <w:color w:val="auto"/>
              </w:rPr>
            </w:pPr>
            <w:r>
              <w:rPr>
                <w:rFonts w:ascii="Arial" w:cs="Arial" w:eastAsia="Arial" w:hAnsi="Arial"/>
                <w:sz w:val="17"/>
                <w:szCs w:val="17"/>
                <w:color w:val="0000EE"/>
              </w:rPr>
              <w:t>Appointment of managing directors and executive directors</w:t>
            </w:r>
          </w:p>
        </w:tc>
        <w:tc>
          <w:tcPr>
            <w:tcW w:w="260" w:type="dxa"/>
            <w:vAlign w:val="bottom"/>
            <w:gridSpan w:val="2"/>
          </w:tcPr>
          <w:p>
            <w:pPr>
              <w:spacing w:after="0"/>
              <w:rPr>
                <w:sz w:val="20"/>
                <w:szCs w:val="20"/>
                <w:color w:val="auto"/>
              </w:rPr>
            </w:pPr>
            <w:r>
              <w:rPr>
                <w:rFonts w:ascii="Arial" w:cs="Arial" w:eastAsia="Arial" w:hAnsi="Arial"/>
                <w:sz w:val="17"/>
                <w:szCs w:val="17"/>
                <w:color w:val="FF0000"/>
                <w:strike w:val="1"/>
              </w:rPr>
              <w:t>13</w:t>
            </w:r>
          </w:p>
        </w:tc>
        <w:tc>
          <w:tcPr>
            <w:tcW w:w="1320" w:type="dxa"/>
            <w:vAlign w:val="bottom"/>
            <w:gridSpan w:val="2"/>
          </w:tcPr>
          <w:p>
            <w:pPr>
              <w:spacing w:after="0"/>
              <w:rPr>
                <w:sz w:val="20"/>
                <w:szCs w:val="20"/>
                <w:color w:val="auto"/>
              </w:rPr>
            </w:pPr>
            <w:r>
              <w:rPr>
                <w:rFonts w:ascii="Arial" w:cs="Arial" w:eastAsia="Arial" w:hAnsi="Arial"/>
                <w:sz w:val="17"/>
                <w:szCs w:val="17"/>
                <w:color w:val="0000FF"/>
              </w:rPr>
              <w:t>15</w:t>
            </w:r>
          </w:p>
        </w:tc>
      </w:tr>
      <w:tr>
        <w:trPr>
          <w:trHeight w:val="20"/>
        </w:trPr>
        <w:tc>
          <w:tcPr>
            <w:tcW w:w="12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right w:val="single" w:sz="8" w:color="FF0000"/>
            </w:tcBorders>
            <w:gridSpan w:val="2"/>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r>
      <w:tr>
        <w:trPr>
          <w:trHeight w:val="203"/>
        </w:trPr>
        <w:tc>
          <w:tcPr>
            <w:tcW w:w="1500" w:type="dxa"/>
            <w:vAlign w:val="bottom"/>
            <w:gridSpan w:val="4"/>
          </w:tcPr>
          <w:p>
            <w:pPr>
              <w:ind w:left="1260"/>
              <w:spacing w:after="0"/>
              <w:rPr>
                <w:sz w:val="20"/>
                <w:szCs w:val="20"/>
                <w:color w:val="auto"/>
              </w:rPr>
            </w:pPr>
            <w:r>
              <w:rPr>
                <w:rFonts w:ascii="Arial" w:cs="Arial" w:eastAsia="Arial" w:hAnsi="Arial"/>
                <w:sz w:val="17"/>
                <w:szCs w:val="17"/>
                <w:color w:val="0000EE"/>
                <w:w w:val="84"/>
              </w:rPr>
              <w:t>7.</w:t>
            </w:r>
            <w:r>
              <w:rPr>
                <w:rFonts w:ascii="Arial" w:cs="Arial" w:eastAsia="Arial" w:hAnsi="Arial"/>
                <w:sz w:val="17"/>
                <w:szCs w:val="17"/>
                <w:u w:val="single" w:color="auto"/>
                <w:color w:val="0000EE"/>
                <w:w w:val="84"/>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80" w:type="dxa"/>
            <w:vAlign w:val="bottom"/>
            <w:gridSpan w:val="30"/>
          </w:tcPr>
          <w:p>
            <w:pPr>
              <w:spacing w:after="0"/>
              <w:rPr>
                <w:sz w:val="20"/>
                <w:szCs w:val="20"/>
                <w:color w:val="auto"/>
              </w:rPr>
            </w:pPr>
            <w:r>
              <w:rPr>
                <w:rFonts w:ascii="Arial" w:cs="Arial" w:eastAsia="Arial" w:hAnsi="Arial"/>
                <w:sz w:val="17"/>
                <w:szCs w:val="17"/>
                <w:color w:val="0000EE"/>
              </w:rPr>
              <w:t>Powers of managing directors and executive directors</w:t>
            </w:r>
          </w:p>
        </w:tc>
        <w:tc>
          <w:tcPr>
            <w:tcW w:w="260" w:type="dxa"/>
            <w:vAlign w:val="bottom"/>
            <w:gridSpan w:val="2"/>
          </w:tcPr>
          <w:p>
            <w:pPr>
              <w:spacing w:after="0"/>
              <w:rPr>
                <w:sz w:val="20"/>
                <w:szCs w:val="20"/>
                <w:color w:val="auto"/>
              </w:rPr>
            </w:pPr>
            <w:r>
              <w:rPr>
                <w:rFonts w:ascii="Arial" w:cs="Arial" w:eastAsia="Arial" w:hAnsi="Arial"/>
                <w:sz w:val="17"/>
                <w:szCs w:val="17"/>
                <w:color w:val="FF0000"/>
                <w:strike w:val="1"/>
              </w:rPr>
              <w:t>13</w:t>
            </w:r>
          </w:p>
        </w:tc>
        <w:tc>
          <w:tcPr>
            <w:tcW w:w="1320" w:type="dxa"/>
            <w:vAlign w:val="bottom"/>
            <w:gridSpan w:val="2"/>
          </w:tcPr>
          <w:p>
            <w:pPr>
              <w:spacing w:after="0"/>
              <w:rPr>
                <w:sz w:val="20"/>
                <w:szCs w:val="20"/>
                <w:color w:val="auto"/>
              </w:rPr>
            </w:pPr>
            <w:r>
              <w:rPr>
                <w:rFonts w:ascii="Arial" w:cs="Arial" w:eastAsia="Arial" w:hAnsi="Arial"/>
                <w:sz w:val="17"/>
                <w:szCs w:val="17"/>
                <w:color w:val="0000FF"/>
              </w:rPr>
              <w:t>15</w:t>
            </w:r>
          </w:p>
        </w:tc>
      </w:tr>
      <w:tr>
        <w:trPr>
          <w:trHeight w:val="20"/>
        </w:trPr>
        <w:tc>
          <w:tcPr>
            <w:tcW w:w="12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right w:val="single" w:sz="8" w:color="FF0000"/>
            </w:tcBorders>
            <w:gridSpan w:val="2"/>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r>
      <w:tr>
        <w:trPr>
          <w:trHeight w:val="203"/>
        </w:trPr>
        <w:tc>
          <w:tcPr>
            <w:tcW w:w="1500" w:type="dxa"/>
            <w:vAlign w:val="bottom"/>
            <w:gridSpan w:val="4"/>
          </w:tcPr>
          <w:p>
            <w:pPr>
              <w:ind w:left="1260"/>
              <w:spacing w:after="0"/>
              <w:rPr>
                <w:sz w:val="20"/>
                <w:szCs w:val="20"/>
                <w:color w:val="auto"/>
              </w:rPr>
            </w:pPr>
            <w:r>
              <w:rPr>
                <w:rFonts w:ascii="Arial" w:cs="Arial" w:eastAsia="Arial" w:hAnsi="Arial"/>
                <w:sz w:val="17"/>
                <w:szCs w:val="17"/>
                <w:color w:val="0000EE"/>
                <w:w w:val="84"/>
              </w:rPr>
              <w:t>7.</w:t>
            </w:r>
            <w:r>
              <w:rPr>
                <w:rFonts w:ascii="Arial" w:cs="Arial" w:eastAsia="Arial" w:hAnsi="Arial"/>
                <w:sz w:val="17"/>
                <w:szCs w:val="17"/>
                <w:u w:val="single" w:color="auto"/>
                <w:color w:val="0000EE"/>
                <w:w w:val="84"/>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80" w:type="dxa"/>
            <w:vAlign w:val="bottom"/>
            <w:gridSpan w:val="30"/>
          </w:tcPr>
          <w:p>
            <w:pPr>
              <w:spacing w:after="0"/>
              <w:rPr>
                <w:sz w:val="20"/>
                <w:szCs w:val="20"/>
                <w:color w:val="auto"/>
              </w:rPr>
            </w:pPr>
            <w:r>
              <w:rPr>
                <w:rFonts w:ascii="Arial" w:cs="Arial" w:eastAsia="Arial" w:hAnsi="Arial"/>
                <w:sz w:val="17"/>
                <w:szCs w:val="17"/>
                <w:color w:val="0000EE"/>
              </w:rPr>
              <w:t>Remuneration of managing directors and executive directors</w:t>
            </w:r>
          </w:p>
        </w:tc>
        <w:tc>
          <w:tcPr>
            <w:tcW w:w="260" w:type="dxa"/>
            <w:vAlign w:val="bottom"/>
            <w:gridSpan w:val="2"/>
          </w:tcPr>
          <w:p>
            <w:pPr>
              <w:spacing w:after="0"/>
              <w:rPr>
                <w:sz w:val="20"/>
                <w:szCs w:val="20"/>
                <w:color w:val="auto"/>
              </w:rPr>
            </w:pPr>
            <w:r>
              <w:rPr>
                <w:rFonts w:ascii="Arial" w:cs="Arial" w:eastAsia="Arial" w:hAnsi="Arial"/>
                <w:sz w:val="17"/>
                <w:szCs w:val="17"/>
                <w:color w:val="FF0000"/>
                <w:strike w:val="1"/>
              </w:rPr>
              <w:t>13</w:t>
            </w:r>
          </w:p>
        </w:tc>
        <w:tc>
          <w:tcPr>
            <w:tcW w:w="1320" w:type="dxa"/>
            <w:vAlign w:val="bottom"/>
            <w:gridSpan w:val="2"/>
          </w:tcPr>
          <w:p>
            <w:pPr>
              <w:spacing w:after="0"/>
              <w:rPr>
                <w:sz w:val="20"/>
                <w:szCs w:val="20"/>
                <w:color w:val="auto"/>
              </w:rPr>
            </w:pPr>
            <w:r>
              <w:rPr>
                <w:rFonts w:ascii="Arial" w:cs="Arial" w:eastAsia="Arial" w:hAnsi="Arial"/>
                <w:sz w:val="17"/>
                <w:szCs w:val="17"/>
                <w:color w:val="0000FF"/>
              </w:rPr>
              <w:t>15</w:t>
            </w:r>
          </w:p>
        </w:tc>
      </w:tr>
      <w:tr>
        <w:trPr>
          <w:trHeight w:val="20"/>
        </w:trPr>
        <w:tc>
          <w:tcPr>
            <w:tcW w:w="12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right w:val="single" w:sz="8" w:color="FF0000"/>
            </w:tcBorders>
            <w:gridSpan w:val="2"/>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r>
      <w:tr>
        <w:trPr>
          <w:trHeight w:val="203"/>
        </w:trPr>
        <w:tc>
          <w:tcPr>
            <w:tcW w:w="1500" w:type="dxa"/>
            <w:vAlign w:val="bottom"/>
            <w:gridSpan w:val="4"/>
          </w:tcPr>
          <w:p>
            <w:pPr>
              <w:ind w:left="1260"/>
              <w:spacing w:after="0"/>
              <w:rPr>
                <w:sz w:val="20"/>
                <w:szCs w:val="20"/>
                <w:color w:val="auto"/>
              </w:rPr>
            </w:pPr>
            <w:r>
              <w:rPr>
                <w:rFonts w:ascii="Arial" w:cs="Arial" w:eastAsia="Arial" w:hAnsi="Arial"/>
                <w:sz w:val="17"/>
                <w:szCs w:val="17"/>
                <w:color w:val="0000EE"/>
                <w:w w:val="84"/>
              </w:rPr>
              <w:t>7.</w:t>
            </w:r>
            <w:r>
              <w:rPr>
                <w:rFonts w:ascii="Arial" w:cs="Arial" w:eastAsia="Arial" w:hAnsi="Arial"/>
                <w:sz w:val="17"/>
                <w:szCs w:val="17"/>
                <w:u w:val="single" w:color="auto"/>
                <w:color w:val="0000EE"/>
                <w:w w:val="84"/>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80" w:type="dxa"/>
            <w:vAlign w:val="bottom"/>
            <w:gridSpan w:val="30"/>
          </w:tcPr>
          <w:p>
            <w:pPr>
              <w:spacing w:after="0"/>
              <w:rPr>
                <w:sz w:val="20"/>
                <w:szCs w:val="20"/>
                <w:color w:val="auto"/>
              </w:rPr>
            </w:pPr>
            <w:r>
              <w:rPr>
                <w:rFonts w:ascii="Arial" w:cs="Arial" w:eastAsia="Arial" w:hAnsi="Arial"/>
                <w:sz w:val="17"/>
                <w:szCs w:val="17"/>
                <w:color w:val="0000EE"/>
              </w:rPr>
              <w:t>Where managing director ceases to be a director</w:t>
            </w:r>
          </w:p>
        </w:tc>
        <w:tc>
          <w:tcPr>
            <w:tcW w:w="260" w:type="dxa"/>
            <w:vAlign w:val="bottom"/>
            <w:gridSpan w:val="2"/>
          </w:tcPr>
          <w:p>
            <w:pPr>
              <w:spacing w:after="0"/>
              <w:rPr>
                <w:sz w:val="20"/>
                <w:szCs w:val="20"/>
                <w:color w:val="auto"/>
              </w:rPr>
            </w:pPr>
            <w:r>
              <w:rPr>
                <w:rFonts w:ascii="Arial" w:cs="Arial" w:eastAsia="Arial" w:hAnsi="Arial"/>
                <w:sz w:val="17"/>
                <w:szCs w:val="17"/>
                <w:color w:val="FF0000"/>
                <w:strike w:val="1"/>
              </w:rPr>
              <w:t>13</w:t>
            </w:r>
          </w:p>
        </w:tc>
        <w:tc>
          <w:tcPr>
            <w:tcW w:w="1320" w:type="dxa"/>
            <w:vAlign w:val="bottom"/>
            <w:gridSpan w:val="2"/>
          </w:tcPr>
          <w:p>
            <w:pPr>
              <w:spacing w:after="0"/>
              <w:rPr>
                <w:sz w:val="20"/>
                <w:szCs w:val="20"/>
                <w:color w:val="auto"/>
              </w:rPr>
            </w:pPr>
            <w:r>
              <w:rPr>
                <w:rFonts w:ascii="Arial" w:cs="Arial" w:eastAsia="Arial" w:hAnsi="Arial"/>
                <w:sz w:val="17"/>
                <w:szCs w:val="17"/>
                <w:color w:val="0000FF"/>
              </w:rPr>
              <w:t>16</w:t>
            </w:r>
          </w:p>
        </w:tc>
      </w:tr>
      <w:tr>
        <w:trPr>
          <w:trHeight w:val="20"/>
        </w:trPr>
        <w:tc>
          <w:tcPr>
            <w:tcW w:w="12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right w:val="single" w:sz="8" w:color="FF0000"/>
            </w:tcBorders>
            <w:gridSpan w:val="2"/>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r>
      <w:tr>
        <w:trPr>
          <w:trHeight w:val="203"/>
        </w:trPr>
        <w:tc>
          <w:tcPr>
            <w:tcW w:w="1500" w:type="dxa"/>
            <w:vAlign w:val="bottom"/>
            <w:gridSpan w:val="4"/>
          </w:tcPr>
          <w:p>
            <w:pPr>
              <w:ind w:left="1260"/>
              <w:spacing w:after="0"/>
              <w:rPr>
                <w:sz w:val="20"/>
                <w:szCs w:val="20"/>
                <w:color w:val="auto"/>
              </w:rPr>
            </w:pPr>
            <w:r>
              <w:rPr>
                <w:rFonts w:ascii="Arial" w:cs="Arial" w:eastAsia="Arial" w:hAnsi="Arial"/>
                <w:sz w:val="17"/>
                <w:szCs w:val="17"/>
                <w:color w:val="0000EE"/>
                <w:w w:val="84"/>
              </w:rPr>
              <w:t>7.</w:t>
            </w:r>
            <w:r>
              <w:rPr>
                <w:rFonts w:ascii="Arial" w:cs="Arial" w:eastAsia="Arial" w:hAnsi="Arial"/>
                <w:sz w:val="17"/>
                <w:szCs w:val="17"/>
                <w:u w:val="single" w:color="auto"/>
                <w:color w:val="0000EE"/>
                <w:w w:val="84"/>
              </w:rPr>
              <w:t>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80" w:type="dxa"/>
            <w:vAlign w:val="bottom"/>
            <w:gridSpan w:val="30"/>
          </w:tcPr>
          <w:p>
            <w:pPr>
              <w:spacing w:after="0"/>
              <w:rPr>
                <w:sz w:val="20"/>
                <w:szCs w:val="20"/>
                <w:color w:val="auto"/>
              </w:rPr>
            </w:pPr>
            <w:r>
              <w:rPr>
                <w:rFonts w:ascii="Arial" w:cs="Arial" w:eastAsia="Arial" w:hAnsi="Arial"/>
                <w:sz w:val="17"/>
                <w:szCs w:val="17"/>
                <w:color w:val="0000EE"/>
              </w:rPr>
              <w:t>Where managing director or executive director ceases to be an employee or contractor</w:t>
            </w:r>
          </w:p>
        </w:tc>
        <w:tc>
          <w:tcPr>
            <w:tcW w:w="260" w:type="dxa"/>
            <w:vAlign w:val="bottom"/>
            <w:gridSpan w:val="2"/>
          </w:tcPr>
          <w:p>
            <w:pPr>
              <w:spacing w:after="0"/>
              <w:rPr>
                <w:sz w:val="20"/>
                <w:szCs w:val="20"/>
                <w:color w:val="auto"/>
              </w:rPr>
            </w:pPr>
            <w:r>
              <w:rPr>
                <w:rFonts w:ascii="Arial" w:cs="Arial" w:eastAsia="Arial" w:hAnsi="Arial"/>
                <w:sz w:val="17"/>
                <w:szCs w:val="17"/>
                <w:color w:val="FF0000"/>
                <w:strike w:val="1"/>
              </w:rPr>
              <w:t>14</w:t>
            </w:r>
          </w:p>
        </w:tc>
        <w:tc>
          <w:tcPr>
            <w:tcW w:w="1320" w:type="dxa"/>
            <w:vAlign w:val="bottom"/>
            <w:gridSpan w:val="2"/>
          </w:tcPr>
          <w:p>
            <w:pPr>
              <w:spacing w:after="0"/>
              <w:rPr>
                <w:sz w:val="20"/>
                <w:szCs w:val="20"/>
                <w:color w:val="auto"/>
              </w:rPr>
            </w:pPr>
            <w:r>
              <w:rPr>
                <w:rFonts w:ascii="Arial" w:cs="Arial" w:eastAsia="Arial" w:hAnsi="Arial"/>
                <w:sz w:val="17"/>
                <w:szCs w:val="17"/>
                <w:color w:val="0000FF"/>
              </w:rPr>
              <w:t>16</w:t>
            </w:r>
          </w:p>
        </w:tc>
      </w:tr>
      <w:tr>
        <w:trPr>
          <w:trHeight w:val="20"/>
        </w:trPr>
        <w:tc>
          <w:tcPr>
            <w:tcW w:w="12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right w:val="single" w:sz="8" w:color="FF0000"/>
            </w:tcBorders>
            <w:gridSpan w:val="2"/>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r>
      <w:tr>
        <w:trPr>
          <w:trHeight w:val="203"/>
        </w:trPr>
        <w:tc>
          <w:tcPr>
            <w:tcW w:w="1500" w:type="dxa"/>
            <w:vAlign w:val="bottom"/>
            <w:gridSpan w:val="4"/>
          </w:tcPr>
          <w:p>
            <w:pPr>
              <w:ind w:left="1260"/>
              <w:spacing w:after="0"/>
              <w:rPr>
                <w:sz w:val="20"/>
                <w:szCs w:val="20"/>
                <w:color w:val="auto"/>
              </w:rPr>
            </w:pPr>
            <w:r>
              <w:rPr>
                <w:rFonts w:ascii="Arial" w:cs="Arial" w:eastAsia="Arial" w:hAnsi="Arial"/>
                <w:sz w:val="17"/>
                <w:szCs w:val="17"/>
                <w:color w:val="0000EE"/>
                <w:w w:val="84"/>
              </w:rPr>
              <w:t>7.</w:t>
            </w:r>
            <w:r>
              <w:rPr>
                <w:rFonts w:ascii="Arial" w:cs="Arial" w:eastAsia="Arial" w:hAnsi="Arial"/>
                <w:sz w:val="17"/>
                <w:szCs w:val="17"/>
                <w:u w:val="single" w:color="auto"/>
                <w:color w:val="0000EE"/>
                <w:w w:val="84"/>
              </w:rPr>
              <w:t>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80" w:type="dxa"/>
            <w:vAlign w:val="bottom"/>
            <w:gridSpan w:val="30"/>
          </w:tcPr>
          <w:p>
            <w:pPr>
              <w:spacing w:after="0"/>
              <w:rPr>
                <w:sz w:val="20"/>
                <w:szCs w:val="20"/>
                <w:color w:val="auto"/>
              </w:rPr>
            </w:pPr>
            <w:r>
              <w:rPr>
                <w:rFonts w:ascii="Arial" w:cs="Arial" w:eastAsia="Arial" w:hAnsi="Arial"/>
                <w:sz w:val="17"/>
                <w:szCs w:val="17"/>
                <w:color w:val="0000EE"/>
              </w:rPr>
              <w:t>Secretaries</w:t>
            </w:r>
          </w:p>
        </w:tc>
        <w:tc>
          <w:tcPr>
            <w:tcW w:w="260" w:type="dxa"/>
            <w:vAlign w:val="bottom"/>
            <w:gridSpan w:val="2"/>
          </w:tcPr>
          <w:p>
            <w:pPr>
              <w:spacing w:after="0"/>
              <w:rPr>
                <w:sz w:val="20"/>
                <w:szCs w:val="20"/>
                <w:color w:val="auto"/>
              </w:rPr>
            </w:pPr>
            <w:r>
              <w:rPr>
                <w:rFonts w:ascii="Arial" w:cs="Arial" w:eastAsia="Arial" w:hAnsi="Arial"/>
                <w:sz w:val="17"/>
                <w:szCs w:val="17"/>
                <w:color w:val="FF0000"/>
                <w:strike w:val="1"/>
              </w:rPr>
              <w:t>14</w:t>
            </w:r>
          </w:p>
        </w:tc>
        <w:tc>
          <w:tcPr>
            <w:tcW w:w="1320" w:type="dxa"/>
            <w:vAlign w:val="bottom"/>
            <w:gridSpan w:val="2"/>
          </w:tcPr>
          <w:p>
            <w:pPr>
              <w:spacing w:after="0"/>
              <w:rPr>
                <w:sz w:val="20"/>
                <w:szCs w:val="20"/>
                <w:color w:val="auto"/>
              </w:rPr>
            </w:pPr>
            <w:r>
              <w:rPr>
                <w:rFonts w:ascii="Arial" w:cs="Arial" w:eastAsia="Arial" w:hAnsi="Arial"/>
                <w:sz w:val="17"/>
                <w:szCs w:val="17"/>
                <w:color w:val="0000FF"/>
              </w:rPr>
              <w:t>16</w:t>
            </w:r>
          </w:p>
        </w:tc>
      </w:tr>
      <w:tr>
        <w:trPr>
          <w:trHeight w:val="20"/>
        </w:trPr>
        <w:tc>
          <w:tcPr>
            <w:tcW w:w="12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60" w:type="dxa"/>
            <w:vAlign w:val="bottom"/>
            <w:tcBorders>
              <w:right w:val="single" w:sz="8" w:color="FF0000"/>
            </w:tcBorders>
            <w:gridSpan w:val="2"/>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r>
      <w:tr>
        <w:trPr>
          <w:trHeight w:val="203"/>
        </w:trPr>
        <w:tc>
          <w:tcPr>
            <w:tcW w:w="1500" w:type="dxa"/>
            <w:vAlign w:val="bottom"/>
            <w:gridSpan w:val="4"/>
          </w:tcPr>
          <w:p>
            <w:pPr>
              <w:ind w:left="1260"/>
              <w:spacing w:after="0"/>
              <w:rPr>
                <w:sz w:val="20"/>
                <w:szCs w:val="20"/>
                <w:color w:val="auto"/>
              </w:rPr>
            </w:pPr>
            <w:r>
              <w:rPr>
                <w:rFonts w:ascii="Arial" w:cs="Arial" w:eastAsia="Arial" w:hAnsi="Arial"/>
                <w:sz w:val="17"/>
                <w:szCs w:val="17"/>
                <w:color w:val="0000EE"/>
                <w:w w:val="84"/>
              </w:rPr>
              <w:t>7.</w:t>
            </w:r>
            <w:r>
              <w:rPr>
                <w:rFonts w:ascii="Arial" w:cs="Arial" w:eastAsia="Arial" w:hAnsi="Arial"/>
                <w:sz w:val="17"/>
                <w:szCs w:val="17"/>
                <w:u w:val="single" w:color="auto"/>
                <w:color w:val="0000EE"/>
                <w:w w:val="84"/>
              </w:rPr>
              <w:t>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80" w:type="dxa"/>
            <w:vAlign w:val="bottom"/>
            <w:gridSpan w:val="30"/>
          </w:tcPr>
          <w:p>
            <w:pPr>
              <w:spacing w:after="0"/>
              <w:rPr>
                <w:sz w:val="20"/>
                <w:szCs w:val="20"/>
                <w:color w:val="auto"/>
              </w:rPr>
            </w:pPr>
            <w:r>
              <w:rPr>
                <w:rFonts w:ascii="Arial" w:cs="Arial" w:eastAsia="Arial" w:hAnsi="Arial"/>
                <w:sz w:val="17"/>
                <w:szCs w:val="17"/>
                <w:color w:val="0000EE"/>
              </w:rPr>
              <w:t>Validity of acts done by executive officers</w:t>
            </w:r>
          </w:p>
        </w:tc>
        <w:tc>
          <w:tcPr>
            <w:tcW w:w="260" w:type="dxa"/>
            <w:vAlign w:val="bottom"/>
            <w:gridSpan w:val="2"/>
          </w:tcPr>
          <w:p>
            <w:pPr>
              <w:spacing w:after="0"/>
              <w:rPr>
                <w:sz w:val="20"/>
                <w:szCs w:val="20"/>
                <w:color w:val="auto"/>
              </w:rPr>
            </w:pPr>
            <w:r>
              <w:rPr>
                <w:rFonts w:ascii="Arial" w:cs="Arial" w:eastAsia="Arial" w:hAnsi="Arial"/>
                <w:sz w:val="17"/>
                <w:szCs w:val="17"/>
                <w:color w:val="FF0000"/>
                <w:strike w:val="1"/>
              </w:rPr>
              <w:t>14</w:t>
            </w:r>
          </w:p>
        </w:tc>
        <w:tc>
          <w:tcPr>
            <w:tcW w:w="1320" w:type="dxa"/>
            <w:vAlign w:val="bottom"/>
            <w:gridSpan w:val="2"/>
          </w:tcPr>
          <w:p>
            <w:pPr>
              <w:spacing w:after="0"/>
              <w:rPr>
                <w:sz w:val="20"/>
                <w:szCs w:val="20"/>
                <w:color w:val="auto"/>
              </w:rPr>
            </w:pPr>
            <w:r>
              <w:rPr>
                <w:rFonts w:ascii="Arial" w:cs="Arial" w:eastAsia="Arial" w:hAnsi="Arial"/>
                <w:sz w:val="17"/>
                <w:szCs w:val="17"/>
                <w:color w:val="0000FF"/>
              </w:rPr>
              <w:t>16</w:t>
            </w:r>
          </w:p>
        </w:tc>
      </w:tr>
      <w:tr>
        <w:trPr>
          <w:trHeight w:val="20"/>
        </w:trPr>
        <w:tc>
          <w:tcPr>
            <w:tcW w:w="126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60" w:type="dxa"/>
            <w:vAlign w:val="bottom"/>
            <w:tcBorders>
              <w:right w:val="single" w:sz="8" w:color="FF0000"/>
            </w:tcBorders>
            <w:gridSpan w:val="2"/>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r>
      <w:tr>
        <w:trPr>
          <w:trHeight w:val="203"/>
        </w:trPr>
        <w:tc>
          <w:tcPr>
            <w:tcW w:w="1360" w:type="dxa"/>
            <w:vAlign w:val="bottom"/>
            <w:gridSpan w:val="3"/>
          </w:tcPr>
          <w:p>
            <w:pPr>
              <w:ind w:left="1260"/>
              <w:spacing w:after="0"/>
              <w:rPr>
                <w:sz w:val="20"/>
                <w:szCs w:val="20"/>
                <w:color w:val="auto"/>
              </w:rPr>
            </w:pPr>
            <w:r>
              <w:rPr>
                <w:rFonts w:ascii="Arial" w:cs="Arial" w:eastAsia="Arial" w:hAnsi="Arial"/>
                <w:sz w:val="17"/>
                <w:szCs w:val="17"/>
                <w:b w:val="1"/>
                <w:bCs w:val="1"/>
                <w:color w:val="0000EE"/>
                <w:w w:val="84"/>
              </w:rPr>
              <w:t>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80" w:type="dxa"/>
            <w:vAlign w:val="bottom"/>
            <w:gridSpan w:val="30"/>
          </w:tcPr>
          <w:p>
            <w:pPr>
              <w:spacing w:after="0"/>
              <w:rPr>
                <w:sz w:val="20"/>
                <w:szCs w:val="20"/>
                <w:color w:val="auto"/>
              </w:rPr>
            </w:pPr>
            <w:r>
              <w:rPr>
                <w:rFonts w:ascii="Arial" w:cs="Arial" w:eastAsia="Arial" w:hAnsi="Arial"/>
                <w:sz w:val="17"/>
                <w:szCs w:val="17"/>
                <w:b w:val="1"/>
                <w:bCs w:val="1"/>
                <w:color w:val="0000EE"/>
              </w:rPr>
              <w:t>CONVENING GENERAL MEETINGS</w:t>
            </w:r>
          </w:p>
        </w:tc>
        <w:tc>
          <w:tcPr>
            <w:tcW w:w="260" w:type="dxa"/>
            <w:vAlign w:val="bottom"/>
            <w:gridSpan w:val="2"/>
          </w:tcPr>
          <w:p>
            <w:pPr>
              <w:spacing w:after="0"/>
              <w:rPr>
                <w:sz w:val="20"/>
                <w:szCs w:val="20"/>
                <w:color w:val="auto"/>
              </w:rPr>
            </w:pPr>
            <w:r>
              <w:rPr>
                <w:rFonts w:ascii="Arial" w:cs="Arial" w:eastAsia="Arial" w:hAnsi="Arial"/>
                <w:sz w:val="17"/>
                <w:szCs w:val="17"/>
                <w:b w:val="1"/>
                <w:bCs w:val="1"/>
                <w:color w:val="FF0000"/>
                <w:strike w:val="1"/>
              </w:rPr>
              <w:t>14</w:t>
            </w:r>
          </w:p>
        </w:tc>
        <w:tc>
          <w:tcPr>
            <w:tcW w:w="1320" w:type="dxa"/>
            <w:vAlign w:val="bottom"/>
            <w:gridSpan w:val="2"/>
          </w:tcPr>
          <w:p>
            <w:pPr>
              <w:spacing w:after="0"/>
              <w:rPr>
                <w:sz w:val="20"/>
                <w:szCs w:val="20"/>
                <w:color w:val="auto"/>
              </w:rPr>
            </w:pPr>
            <w:r>
              <w:rPr>
                <w:rFonts w:ascii="Arial" w:cs="Arial" w:eastAsia="Arial" w:hAnsi="Arial"/>
                <w:sz w:val="17"/>
                <w:szCs w:val="17"/>
                <w:b w:val="1"/>
                <w:bCs w:val="1"/>
                <w:color w:val="0000FF"/>
              </w:rPr>
              <w:t>16</w:t>
            </w:r>
          </w:p>
        </w:tc>
      </w:tr>
      <w:tr>
        <w:trPr>
          <w:trHeight w:val="20"/>
        </w:trPr>
        <w:tc>
          <w:tcPr>
            <w:tcW w:w="126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60" w:type="dxa"/>
            <w:vAlign w:val="bottom"/>
            <w:tcBorders>
              <w:right w:val="single" w:sz="8" w:color="FF0000"/>
            </w:tcBorders>
            <w:gridSpan w:val="2"/>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r>
      <w:tr>
        <w:trPr>
          <w:trHeight w:val="203"/>
        </w:trPr>
        <w:tc>
          <w:tcPr>
            <w:tcW w:w="1500" w:type="dxa"/>
            <w:vAlign w:val="bottom"/>
            <w:gridSpan w:val="4"/>
          </w:tcPr>
          <w:p>
            <w:pPr>
              <w:ind w:left="1260"/>
              <w:spacing w:after="0"/>
              <w:rPr>
                <w:sz w:val="20"/>
                <w:szCs w:val="20"/>
                <w:color w:val="auto"/>
              </w:rPr>
            </w:pPr>
            <w:r>
              <w:rPr>
                <w:rFonts w:ascii="Arial" w:cs="Arial" w:eastAsia="Arial" w:hAnsi="Arial"/>
                <w:sz w:val="17"/>
                <w:szCs w:val="17"/>
                <w:color w:val="0000EE"/>
                <w:w w:val="84"/>
              </w:rPr>
              <w:t>8.</w:t>
            </w:r>
            <w:r>
              <w:rPr>
                <w:rFonts w:ascii="Arial" w:cs="Arial" w:eastAsia="Arial" w:hAnsi="Arial"/>
                <w:sz w:val="17"/>
                <w:szCs w:val="17"/>
                <w:u w:val="single" w:color="auto"/>
                <w:color w:val="0000EE"/>
                <w:w w:val="84"/>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80" w:type="dxa"/>
            <w:vAlign w:val="bottom"/>
            <w:gridSpan w:val="30"/>
          </w:tcPr>
          <w:p>
            <w:pPr>
              <w:spacing w:after="0"/>
              <w:rPr>
                <w:sz w:val="20"/>
                <w:szCs w:val="20"/>
                <w:color w:val="auto"/>
              </w:rPr>
            </w:pPr>
            <w:r>
              <w:rPr>
                <w:rFonts w:ascii="Arial" w:cs="Arial" w:eastAsia="Arial" w:hAnsi="Arial"/>
                <w:sz w:val="17"/>
                <w:szCs w:val="17"/>
                <w:color w:val="0000EE"/>
              </w:rPr>
              <w:t>General meetings</w:t>
            </w:r>
          </w:p>
        </w:tc>
        <w:tc>
          <w:tcPr>
            <w:tcW w:w="260" w:type="dxa"/>
            <w:vAlign w:val="bottom"/>
            <w:gridSpan w:val="2"/>
          </w:tcPr>
          <w:p>
            <w:pPr>
              <w:spacing w:after="0"/>
              <w:rPr>
                <w:sz w:val="20"/>
                <w:szCs w:val="20"/>
                <w:color w:val="auto"/>
              </w:rPr>
            </w:pPr>
            <w:r>
              <w:rPr>
                <w:rFonts w:ascii="Arial" w:cs="Arial" w:eastAsia="Arial" w:hAnsi="Arial"/>
                <w:sz w:val="17"/>
                <w:szCs w:val="17"/>
                <w:color w:val="FF0000"/>
                <w:strike w:val="1"/>
              </w:rPr>
              <w:t>14</w:t>
            </w:r>
          </w:p>
        </w:tc>
        <w:tc>
          <w:tcPr>
            <w:tcW w:w="1320" w:type="dxa"/>
            <w:vAlign w:val="bottom"/>
            <w:gridSpan w:val="2"/>
          </w:tcPr>
          <w:p>
            <w:pPr>
              <w:spacing w:after="0"/>
              <w:rPr>
                <w:sz w:val="20"/>
                <w:szCs w:val="20"/>
                <w:color w:val="auto"/>
              </w:rPr>
            </w:pPr>
            <w:r>
              <w:rPr>
                <w:rFonts w:ascii="Arial" w:cs="Arial" w:eastAsia="Arial" w:hAnsi="Arial"/>
                <w:sz w:val="17"/>
                <w:szCs w:val="17"/>
                <w:color w:val="0000FF"/>
              </w:rPr>
              <w:t>16</w:t>
            </w:r>
          </w:p>
        </w:tc>
      </w:tr>
      <w:tr>
        <w:trPr>
          <w:trHeight w:val="20"/>
        </w:trPr>
        <w:tc>
          <w:tcPr>
            <w:tcW w:w="12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60" w:type="dxa"/>
            <w:vAlign w:val="bottom"/>
            <w:tcBorders>
              <w:right w:val="single" w:sz="8" w:color="FF0000"/>
            </w:tcBorders>
            <w:gridSpan w:val="2"/>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r>
      <w:tr>
        <w:trPr>
          <w:trHeight w:val="203"/>
        </w:trPr>
        <w:tc>
          <w:tcPr>
            <w:tcW w:w="1500" w:type="dxa"/>
            <w:vAlign w:val="bottom"/>
            <w:gridSpan w:val="4"/>
          </w:tcPr>
          <w:p>
            <w:pPr>
              <w:ind w:left="1260"/>
              <w:spacing w:after="0"/>
              <w:rPr>
                <w:sz w:val="20"/>
                <w:szCs w:val="20"/>
                <w:color w:val="auto"/>
              </w:rPr>
            </w:pPr>
            <w:r>
              <w:rPr>
                <w:rFonts w:ascii="Arial" w:cs="Arial" w:eastAsia="Arial" w:hAnsi="Arial"/>
                <w:sz w:val="17"/>
                <w:szCs w:val="17"/>
                <w:color w:val="0000EE"/>
                <w:w w:val="84"/>
              </w:rPr>
              <w:t>8.</w:t>
            </w:r>
            <w:r>
              <w:rPr>
                <w:rFonts w:ascii="Arial" w:cs="Arial" w:eastAsia="Arial" w:hAnsi="Arial"/>
                <w:sz w:val="17"/>
                <w:szCs w:val="17"/>
                <w:u w:val="single" w:color="auto"/>
                <w:color w:val="0000EE"/>
                <w:w w:val="84"/>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80" w:type="dxa"/>
            <w:vAlign w:val="bottom"/>
            <w:gridSpan w:val="30"/>
          </w:tcPr>
          <w:p>
            <w:pPr>
              <w:spacing w:after="0"/>
              <w:rPr>
                <w:sz w:val="20"/>
                <w:szCs w:val="20"/>
                <w:color w:val="auto"/>
              </w:rPr>
            </w:pPr>
            <w:r>
              <w:rPr>
                <w:rFonts w:ascii="Arial" w:cs="Arial" w:eastAsia="Arial" w:hAnsi="Arial"/>
                <w:sz w:val="17"/>
                <w:szCs w:val="17"/>
                <w:color w:val="0000EE"/>
              </w:rPr>
              <w:t>Annual general meetings</w:t>
            </w:r>
          </w:p>
        </w:tc>
        <w:tc>
          <w:tcPr>
            <w:tcW w:w="260" w:type="dxa"/>
            <w:vAlign w:val="bottom"/>
            <w:gridSpan w:val="2"/>
          </w:tcPr>
          <w:p>
            <w:pPr>
              <w:spacing w:after="0"/>
              <w:rPr>
                <w:sz w:val="20"/>
                <w:szCs w:val="20"/>
                <w:color w:val="auto"/>
              </w:rPr>
            </w:pPr>
            <w:r>
              <w:rPr>
                <w:rFonts w:ascii="Arial" w:cs="Arial" w:eastAsia="Arial" w:hAnsi="Arial"/>
                <w:sz w:val="17"/>
                <w:szCs w:val="17"/>
                <w:color w:val="FF0000"/>
                <w:strike w:val="1"/>
              </w:rPr>
              <w:t>14</w:t>
            </w:r>
          </w:p>
        </w:tc>
        <w:tc>
          <w:tcPr>
            <w:tcW w:w="1320" w:type="dxa"/>
            <w:vAlign w:val="bottom"/>
            <w:gridSpan w:val="2"/>
          </w:tcPr>
          <w:p>
            <w:pPr>
              <w:spacing w:after="0"/>
              <w:rPr>
                <w:sz w:val="20"/>
                <w:szCs w:val="20"/>
                <w:color w:val="auto"/>
              </w:rPr>
            </w:pPr>
            <w:r>
              <w:rPr>
                <w:rFonts w:ascii="Arial" w:cs="Arial" w:eastAsia="Arial" w:hAnsi="Arial"/>
                <w:sz w:val="17"/>
                <w:szCs w:val="17"/>
                <w:color w:val="0000FF"/>
              </w:rPr>
              <w:t>17</w:t>
            </w:r>
          </w:p>
        </w:tc>
      </w:tr>
      <w:tr>
        <w:trPr>
          <w:trHeight w:val="20"/>
        </w:trPr>
        <w:tc>
          <w:tcPr>
            <w:tcW w:w="12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60" w:type="dxa"/>
            <w:vAlign w:val="bottom"/>
            <w:tcBorders>
              <w:right w:val="single" w:sz="8" w:color="FF0000"/>
            </w:tcBorders>
            <w:gridSpan w:val="2"/>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r>
      <w:tr>
        <w:trPr>
          <w:trHeight w:val="203"/>
        </w:trPr>
        <w:tc>
          <w:tcPr>
            <w:tcW w:w="1500" w:type="dxa"/>
            <w:vAlign w:val="bottom"/>
            <w:gridSpan w:val="4"/>
          </w:tcPr>
          <w:p>
            <w:pPr>
              <w:ind w:left="1260"/>
              <w:spacing w:after="0"/>
              <w:rPr>
                <w:sz w:val="20"/>
                <w:szCs w:val="20"/>
                <w:color w:val="auto"/>
              </w:rPr>
            </w:pPr>
            <w:r>
              <w:rPr>
                <w:rFonts w:ascii="Arial" w:cs="Arial" w:eastAsia="Arial" w:hAnsi="Arial"/>
                <w:sz w:val="17"/>
                <w:szCs w:val="17"/>
                <w:color w:val="0000EE"/>
                <w:w w:val="84"/>
              </w:rPr>
              <w:t>8.</w:t>
            </w:r>
            <w:r>
              <w:rPr>
                <w:rFonts w:ascii="Arial" w:cs="Arial" w:eastAsia="Arial" w:hAnsi="Arial"/>
                <w:sz w:val="17"/>
                <w:szCs w:val="17"/>
                <w:u w:val="single" w:color="auto"/>
                <w:color w:val="0000EE"/>
                <w:w w:val="84"/>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80" w:type="dxa"/>
            <w:vAlign w:val="bottom"/>
            <w:gridSpan w:val="30"/>
          </w:tcPr>
          <w:p>
            <w:pPr>
              <w:spacing w:after="0"/>
              <w:rPr>
                <w:sz w:val="20"/>
                <w:szCs w:val="20"/>
                <w:color w:val="auto"/>
              </w:rPr>
            </w:pPr>
            <w:r>
              <w:rPr>
                <w:rFonts w:ascii="Arial" w:cs="Arial" w:eastAsia="Arial" w:hAnsi="Arial"/>
                <w:sz w:val="17"/>
                <w:szCs w:val="17"/>
                <w:color w:val="0000EE"/>
              </w:rPr>
              <w:t>Convening a general meeting</w:t>
            </w:r>
          </w:p>
        </w:tc>
        <w:tc>
          <w:tcPr>
            <w:tcW w:w="260" w:type="dxa"/>
            <w:vAlign w:val="bottom"/>
            <w:gridSpan w:val="2"/>
          </w:tcPr>
          <w:p>
            <w:pPr>
              <w:spacing w:after="0"/>
              <w:rPr>
                <w:sz w:val="20"/>
                <w:szCs w:val="20"/>
                <w:color w:val="auto"/>
              </w:rPr>
            </w:pPr>
            <w:r>
              <w:rPr>
                <w:rFonts w:ascii="Arial" w:cs="Arial" w:eastAsia="Arial" w:hAnsi="Arial"/>
                <w:sz w:val="17"/>
                <w:szCs w:val="17"/>
                <w:color w:val="FF0000"/>
                <w:strike w:val="1"/>
              </w:rPr>
              <w:t>15</w:t>
            </w:r>
          </w:p>
        </w:tc>
        <w:tc>
          <w:tcPr>
            <w:tcW w:w="1320" w:type="dxa"/>
            <w:vAlign w:val="bottom"/>
            <w:gridSpan w:val="2"/>
          </w:tcPr>
          <w:p>
            <w:pPr>
              <w:spacing w:after="0"/>
              <w:rPr>
                <w:sz w:val="20"/>
                <w:szCs w:val="20"/>
                <w:color w:val="auto"/>
              </w:rPr>
            </w:pPr>
            <w:r>
              <w:rPr>
                <w:rFonts w:ascii="Arial" w:cs="Arial" w:eastAsia="Arial" w:hAnsi="Arial"/>
                <w:sz w:val="17"/>
                <w:szCs w:val="17"/>
                <w:color w:val="0000FF"/>
              </w:rPr>
              <w:t>17</w:t>
            </w:r>
          </w:p>
        </w:tc>
      </w:tr>
      <w:tr>
        <w:trPr>
          <w:trHeight w:val="20"/>
        </w:trPr>
        <w:tc>
          <w:tcPr>
            <w:tcW w:w="12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60" w:type="dxa"/>
            <w:vAlign w:val="bottom"/>
            <w:tcBorders>
              <w:right w:val="single" w:sz="8" w:color="FF0000"/>
            </w:tcBorders>
            <w:gridSpan w:val="2"/>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r>
      <w:tr>
        <w:trPr>
          <w:trHeight w:val="203"/>
        </w:trPr>
        <w:tc>
          <w:tcPr>
            <w:tcW w:w="1500" w:type="dxa"/>
            <w:vAlign w:val="bottom"/>
            <w:gridSpan w:val="4"/>
          </w:tcPr>
          <w:p>
            <w:pPr>
              <w:ind w:left="1260"/>
              <w:spacing w:after="0"/>
              <w:rPr>
                <w:sz w:val="20"/>
                <w:szCs w:val="20"/>
                <w:color w:val="auto"/>
              </w:rPr>
            </w:pPr>
            <w:r>
              <w:rPr>
                <w:rFonts w:ascii="Arial" w:cs="Arial" w:eastAsia="Arial" w:hAnsi="Arial"/>
                <w:sz w:val="17"/>
                <w:szCs w:val="17"/>
                <w:color w:val="0000EE"/>
                <w:w w:val="84"/>
              </w:rPr>
              <w:t>8.</w:t>
            </w:r>
            <w:r>
              <w:rPr>
                <w:rFonts w:ascii="Arial" w:cs="Arial" w:eastAsia="Arial" w:hAnsi="Arial"/>
                <w:sz w:val="17"/>
                <w:szCs w:val="17"/>
                <w:u w:val="single" w:color="auto"/>
                <w:color w:val="0000EE"/>
                <w:w w:val="84"/>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80" w:type="dxa"/>
            <w:vAlign w:val="bottom"/>
            <w:gridSpan w:val="30"/>
          </w:tcPr>
          <w:p>
            <w:pPr>
              <w:spacing w:after="0"/>
              <w:rPr>
                <w:sz w:val="20"/>
                <w:szCs w:val="20"/>
                <w:color w:val="auto"/>
              </w:rPr>
            </w:pPr>
            <w:r>
              <w:rPr>
                <w:rFonts w:ascii="Arial" w:cs="Arial" w:eastAsia="Arial" w:hAnsi="Arial"/>
                <w:sz w:val="17"/>
                <w:szCs w:val="17"/>
                <w:color w:val="0000EE"/>
              </w:rPr>
              <w:t>Length, form and content of notice</w:t>
            </w:r>
          </w:p>
        </w:tc>
        <w:tc>
          <w:tcPr>
            <w:tcW w:w="260" w:type="dxa"/>
            <w:vAlign w:val="bottom"/>
            <w:gridSpan w:val="2"/>
          </w:tcPr>
          <w:p>
            <w:pPr>
              <w:spacing w:after="0"/>
              <w:rPr>
                <w:sz w:val="20"/>
                <w:szCs w:val="20"/>
                <w:color w:val="auto"/>
              </w:rPr>
            </w:pPr>
            <w:r>
              <w:rPr>
                <w:rFonts w:ascii="Arial" w:cs="Arial" w:eastAsia="Arial" w:hAnsi="Arial"/>
                <w:sz w:val="17"/>
                <w:szCs w:val="17"/>
                <w:color w:val="FF0000"/>
                <w:strike w:val="1"/>
              </w:rPr>
              <w:t>15</w:t>
            </w:r>
          </w:p>
        </w:tc>
        <w:tc>
          <w:tcPr>
            <w:tcW w:w="1320" w:type="dxa"/>
            <w:vAlign w:val="bottom"/>
            <w:gridSpan w:val="2"/>
          </w:tcPr>
          <w:p>
            <w:pPr>
              <w:spacing w:after="0"/>
              <w:rPr>
                <w:sz w:val="20"/>
                <w:szCs w:val="20"/>
                <w:color w:val="auto"/>
              </w:rPr>
            </w:pPr>
            <w:r>
              <w:rPr>
                <w:rFonts w:ascii="Arial" w:cs="Arial" w:eastAsia="Arial" w:hAnsi="Arial"/>
                <w:sz w:val="17"/>
                <w:szCs w:val="17"/>
                <w:color w:val="0000FF"/>
              </w:rPr>
              <w:t>17</w:t>
            </w:r>
          </w:p>
        </w:tc>
      </w:tr>
      <w:tr>
        <w:trPr>
          <w:trHeight w:val="20"/>
        </w:trPr>
        <w:tc>
          <w:tcPr>
            <w:tcW w:w="12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60" w:type="dxa"/>
            <w:vAlign w:val="bottom"/>
            <w:tcBorders>
              <w:right w:val="single" w:sz="8" w:color="FF0000"/>
            </w:tcBorders>
            <w:gridSpan w:val="2"/>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r>
      <w:tr>
        <w:trPr>
          <w:trHeight w:val="203"/>
        </w:trPr>
        <w:tc>
          <w:tcPr>
            <w:tcW w:w="1500" w:type="dxa"/>
            <w:vAlign w:val="bottom"/>
            <w:gridSpan w:val="4"/>
          </w:tcPr>
          <w:p>
            <w:pPr>
              <w:ind w:left="1260"/>
              <w:spacing w:after="0"/>
              <w:rPr>
                <w:sz w:val="20"/>
                <w:szCs w:val="20"/>
                <w:color w:val="auto"/>
              </w:rPr>
            </w:pPr>
            <w:r>
              <w:rPr>
                <w:rFonts w:ascii="Arial" w:cs="Arial" w:eastAsia="Arial" w:hAnsi="Arial"/>
                <w:sz w:val="17"/>
                <w:szCs w:val="17"/>
                <w:color w:val="0000EE"/>
                <w:w w:val="84"/>
              </w:rPr>
              <w:t>8.</w:t>
            </w:r>
            <w:r>
              <w:rPr>
                <w:rFonts w:ascii="Arial" w:cs="Arial" w:eastAsia="Arial" w:hAnsi="Arial"/>
                <w:sz w:val="17"/>
                <w:szCs w:val="17"/>
                <w:u w:val="single" w:color="auto"/>
                <w:color w:val="0000EE"/>
                <w:w w:val="84"/>
              </w:rPr>
              <w:t>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80" w:type="dxa"/>
            <w:vAlign w:val="bottom"/>
            <w:gridSpan w:val="30"/>
          </w:tcPr>
          <w:p>
            <w:pPr>
              <w:spacing w:after="0"/>
              <w:rPr>
                <w:sz w:val="20"/>
                <w:szCs w:val="20"/>
                <w:color w:val="auto"/>
              </w:rPr>
            </w:pPr>
            <w:r>
              <w:rPr>
                <w:rFonts w:ascii="Arial" w:cs="Arial" w:eastAsia="Arial" w:hAnsi="Arial"/>
                <w:sz w:val="17"/>
                <w:szCs w:val="17"/>
                <w:color w:val="0000EE"/>
              </w:rPr>
              <w:t>Persons to whom notice must be given</w:t>
            </w:r>
          </w:p>
        </w:tc>
        <w:tc>
          <w:tcPr>
            <w:tcW w:w="260" w:type="dxa"/>
            <w:vAlign w:val="bottom"/>
            <w:gridSpan w:val="2"/>
          </w:tcPr>
          <w:p>
            <w:pPr>
              <w:spacing w:after="0"/>
              <w:rPr>
                <w:sz w:val="20"/>
                <w:szCs w:val="20"/>
                <w:color w:val="auto"/>
              </w:rPr>
            </w:pPr>
            <w:r>
              <w:rPr>
                <w:rFonts w:ascii="Arial" w:cs="Arial" w:eastAsia="Arial" w:hAnsi="Arial"/>
                <w:sz w:val="17"/>
                <w:szCs w:val="17"/>
                <w:color w:val="FF0000"/>
                <w:strike w:val="1"/>
              </w:rPr>
              <w:t>15</w:t>
            </w:r>
          </w:p>
        </w:tc>
        <w:tc>
          <w:tcPr>
            <w:tcW w:w="1320" w:type="dxa"/>
            <w:vAlign w:val="bottom"/>
            <w:gridSpan w:val="2"/>
          </w:tcPr>
          <w:p>
            <w:pPr>
              <w:spacing w:after="0"/>
              <w:rPr>
                <w:sz w:val="20"/>
                <w:szCs w:val="20"/>
                <w:color w:val="auto"/>
              </w:rPr>
            </w:pPr>
            <w:r>
              <w:rPr>
                <w:rFonts w:ascii="Arial" w:cs="Arial" w:eastAsia="Arial" w:hAnsi="Arial"/>
                <w:sz w:val="17"/>
                <w:szCs w:val="17"/>
                <w:color w:val="0000FF"/>
              </w:rPr>
              <w:t>17</w:t>
            </w:r>
          </w:p>
        </w:tc>
      </w:tr>
      <w:tr>
        <w:trPr>
          <w:trHeight w:val="20"/>
        </w:trPr>
        <w:tc>
          <w:tcPr>
            <w:tcW w:w="12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60" w:type="dxa"/>
            <w:vAlign w:val="bottom"/>
            <w:tcBorders>
              <w:right w:val="single" w:sz="8" w:color="FF0000"/>
            </w:tcBorders>
            <w:gridSpan w:val="2"/>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r>
      <w:tr>
        <w:trPr>
          <w:trHeight w:val="203"/>
        </w:trPr>
        <w:tc>
          <w:tcPr>
            <w:tcW w:w="1500" w:type="dxa"/>
            <w:vAlign w:val="bottom"/>
            <w:gridSpan w:val="4"/>
          </w:tcPr>
          <w:p>
            <w:pPr>
              <w:ind w:left="1260"/>
              <w:spacing w:after="0"/>
              <w:rPr>
                <w:sz w:val="20"/>
                <w:szCs w:val="20"/>
                <w:color w:val="auto"/>
              </w:rPr>
            </w:pPr>
            <w:r>
              <w:rPr>
                <w:rFonts w:ascii="Arial" w:cs="Arial" w:eastAsia="Arial" w:hAnsi="Arial"/>
                <w:sz w:val="17"/>
                <w:szCs w:val="17"/>
                <w:color w:val="0000EE"/>
                <w:w w:val="84"/>
              </w:rPr>
              <w:t>8.</w:t>
            </w:r>
            <w:r>
              <w:rPr>
                <w:rFonts w:ascii="Arial" w:cs="Arial" w:eastAsia="Arial" w:hAnsi="Arial"/>
                <w:sz w:val="17"/>
                <w:szCs w:val="17"/>
                <w:u w:val="single" w:color="auto"/>
                <w:color w:val="0000EE"/>
                <w:w w:val="84"/>
              </w:rPr>
              <w:t>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80" w:type="dxa"/>
            <w:vAlign w:val="bottom"/>
            <w:gridSpan w:val="30"/>
          </w:tcPr>
          <w:p>
            <w:pPr>
              <w:spacing w:after="0"/>
              <w:rPr>
                <w:sz w:val="20"/>
                <w:szCs w:val="20"/>
                <w:color w:val="auto"/>
              </w:rPr>
            </w:pPr>
            <w:r>
              <w:rPr>
                <w:rFonts w:ascii="Arial" w:cs="Arial" w:eastAsia="Arial" w:hAnsi="Arial"/>
                <w:sz w:val="17"/>
                <w:szCs w:val="17"/>
                <w:color w:val="0000EE"/>
              </w:rPr>
              <w:t>Irregularities in giving notice</w:t>
            </w:r>
          </w:p>
        </w:tc>
        <w:tc>
          <w:tcPr>
            <w:tcW w:w="260" w:type="dxa"/>
            <w:vAlign w:val="bottom"/>
            <w:gridSpan w:val="2"/>
          </w:tcPr>
          <w:p>
            <w:pPr>
              <w:spacing w:after="0"/>
              <w:rPr>
                <w:sz w:val="20"/>
                <w:szCs w:val="20"/>
                <w:color w:val="auto"/>
              </w:rPr>
            </w:pPr>
            <w:r>
              <w:rPr>
                <w:rFonts w:ascii="Arial" w:cs="Arial" w:eastAsia="Arial" w:hAnsi="Arial"/>
                <w:sz w:val="17"/>
                <w:szCs w:val="17"/>
                <w:color w:val="FF0000"/>
                <w:strike w:val="1"/>
              </w:rPr>
              <w:t>15</w:t>
            </w:r>
          </w:p>
        </w:tc>
        <w:tc>
          <w:tcPr>
            <w:tcW w:w="1320" w:type="dxa"/>
            <w:vAlign w:val="bottom"/>
            <w:gridSpan w:val="2"/>
          </w:tcPr>
          <w:p>
            <w:pPr>
              <w:spacing w:after="0"/>
              <w:rPr>
                <w:sz w:val="20"/>
                <w:szCs w:val="20"/>
                <w:color w:val="auto"/>
              </w:rPr>
            </w:pPr>
            <w:r>
              <w:rPr>
                <w:rFonts w:ascii="Arial" w:cs="Arial" w:eastAsia="Arial" w:hAnsi="Arial"/>
                <w:sz w:val="17"/>
                <w:szCs w:val="17"/>
                <w:color w:val="0000FF"/>
              </w:rPr>
              <w:t>17</w:t>
            </w:r>
          </w:p>
        </w:tc>
      </w:tr>
      <w:tr>
        <w:trPr>
          <w:trHeight w:val="20"/>
        </w:trPr>
        <w:tc>
          <w:tcPr>
            <w:tcW w:w="12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60" w:type="dxa"/>
            <w:vAlign w:val="bottom"/>
            <w:tcBorders>
              <w:right w:val="single" w:sz="8" w:color="FF0000"/>
            </w:tcBorders>
            <w:gridSpan w:val="2"/>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r>
      <w:tr>
        <w:trPr>
          <w:trHeight w:val="203"/>
        </w:trPr>
        <w:tc>
          <w:tcPr>
            <w:tcW w:w="1500" w:type="dxa"/>
            <w:vAlign w:val="bottom"/>
            <w:gridSpan w:val="4"/>
          </w:tcPr>
          <w:p>
            <w:pPr>
              <w:ind w:left="1260"/>
              <w:spacing w:after="0"/>
              <w:rPr>
                <w:sz w:val="20"/>
                <w:szCs w:val="20"/>
                <w:color w:val="auto"/>
              </w:rPr>
            </w:pPr>
            <w:r>
              <w:rPr>
                <w:rFonts w:ascii="Arial" w:cs="Arial" w:eastAsia="Arial" w:hAnsi="Arial"/>
                <w:sz w:val="17"/>
                <w:szCs w:val="17"/>
                <w:color w:val="0000EE"/>
                <w:w w:val="84"/>
              </w:rPr>
              <w:t>8.</w:t>
            </w:r>
            <w:r>
              <w:rPr>
                <w:rFonts w:ascii="Arial" w:cs="Arial" w:eastAsia="Arial" w:hAnsi="Arial"/>
                <w:sz w:val="17"/>
                <w:szCs w:val="17"/>
                <w:u w:val="single" w:color="auto"/>
                <w:color w:val="0000EE"/>
                <w:w w:val="84"/>
              </w:rPr>
              <w:t>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80" w:type="dxa"/>
            <w:vAlign w:val="bottom"/>
            <w:gridSpan w:val="30"/>
          </w:tcPr>
          <w:p>
            <w:pPr>
              <w:spacing w:after="0"/>
              <w:rPr>
                <w:sz w:val="20"/>
                <w:szCs w:val="20"/>
                <w:color w:val="auto"/>
              </w:rPr>
            </w:pPr>
            <w:r>
              <w:rPr>
                <w:rFonts w:ascii="Arial" w:cs="Arial" w:eastAsia="Arial" w:hAnsi="Arial"/>
                <w:sz w:val="17"/>
                <w:szCs w:val="17"/>
                <w:color w:val="0000EE"/>
              </w:rPr>
              <w:t>Change of place, postponement or cancellation before date of meeting</w:t>
            </w:r>
          </w:p>
        </w:tc>
        <w:tc>
          <w:tcPr>
            <w:tcW w:w="260" w:type="dxa"/>
            <w:vAlign w:val="bottom"/>
            <w:gridSpan w:val="2"/>
          </w:tcPr>
          <w:p>
            <w:pPr>
              <w:spacing w:after="0"/>
              <w:rPr>
                <w:sz w:val="20"/>
                <w:szCs w:val="20"/>
                <w:color w:val="auto"/>
              </w:rPr>
            </w:pPr>
            <w:r>
              <w:rPr>
                <w:rFonts w:ascii="Arial" w:cs="Arial" w:eastAsia="Arial" w:hAnsi="Arial"/>
                <w:sz w:val="17"/>
                <w:szCs w:val="17"/>
                <w:color w:val="FF0000"/>
                <w:strike w:val="1"/>
              </w:rPr>
              <w:t>15</w:t>
            </w:r>
          </w:p>
        </w:tc>
        <w:tc>
          <w:tcPr>
            <w:tcW w:w="1320" w:type="dxa"/>
            <w:vAlign w:val="bottom"/>
            <w:gridSpan w:val="2"/>
          </w:tcPr>
          <w:p>
            <w:pPr>
              <w:spacing w:after="0"/>
              <w:rPr>
                <w:sz w:val="20"/>
                <w:szCs w:val="20"/>
                <w:color w:val="auto"/>
              </w:rPr>
            </w:pPr>
            <w:r>
              <w:rPr>
                <w:rFonts w:ascii="Arial" w:cs="Arial" w:eastAsia="Arial" w:hAnsi="Arial"/>
                <w:sz w:val="17"/>
                <w:szCs w:val="17"/>
                <w:color w:val="0000FF"/>
              </w:rPr>
              <w:t>17</w:t>
            </w:r>
          </w:p>
        </w:tc>
      </w:tr>
      <w:tr>
        <w:trPr>
          <w:trHeight w:val="20"/>
        </w:trPr>
        <w:tc>
          <w:tcPr>
            <w:tcW w:w="12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500" w:type="dxa"/>
            <w:vAlign w:val="bottom"/>
            <w:tcBorders>
              <w:left w:val="single" w:sz="8" w:color="0000EE"/>
            </w:tcBorders>
            <w:gridSpan w:val="3"/>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60" w:type="dxa"/>
            <w:vAlign w:val="bottom"/>
            <w:tcBorders>
              <w:right w:val="single" w:sz="8" w:color="FF0000"/>
            </w:tcBorders>
            <w:gridSpan w:val="2"/>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r>
      <w:tr>
        <w:trPr>
          <w:trHeight w:val="203"/>
        </w:trPr>
        <w:tc>
          <w:tcPr>
            <w:tcW w:w="1500" w:type="dxa"/>
            <w:vAlign w:val="bottom"/>
            <w:gridSpan w:val="4"/>
          </w:tcPr>
          <w:p>
            <w:pPr>
              <w:ind w:left="1260"/>
              <w:spacing w:after="0"/>
              <w:rPr>
                <w:sz w:val="20"/>
                <w:szCs w:val="20"/>
                <w:color w:val="auto"/>
              </w:rPr>
            </w:pPr>
            <w:r>
              <w:rPr>
                <w:rFonts w:ascii="Arial" w:cs="Arial" w:eastAsia="Arial" w:hAnsi="Arial"/>
                <w:sz w:val="17"/>
                <w:szCs w:val="17"/>
                <w:color w:val="0000EE"/>
                <w:w w:val="84"/>
              </w:rPr>
              <w:t>8.</w:t>
            </w:r>
            <w:r>
              <w:rPr>
                <w:rFonts w:ascii="Arial" w:cs="Arial" w:eastAsia="Arial" w:hAnsi="Arial"/>
                <w:sz w:val="17"/>
                <w:szCs w:val="17"/>
                <w:u w:val="single" w:color="auto"/>
                <w:color w:val="0000EE"/>
                <w:w w:val="84"/>
              </w:rPr>
              <w:t>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80" w:type="dxa"/>
            <w:vAlign w:val="bottom"/>
            <w:gridSpan w:val="30"/>
          </w:tcPr>
          <w:p>
            <w:pPr>
              <w:spacing w:after="0"/>
              <w:rPr>
                <w:sz w:val="20"/>
                <w:szCs w:val="20"/>
                <w:color w:val="auto"/>
              </w:rPr>
            </w:pPr>
            <w:r>
              <w:rPr>
                <w:rFonts w:ascii="Arial" w:cs="Arial" w:eastAsia="Arial" w:hAnsi="Arial"/>
                <w:sz w:val="17"/>
                <w:szCs w:val="17"/>
                <w:color w:val="0000EE"/>
              </w:rPr>
              <w:t>Consent required for postponement or cancellation</w:t>
            </w:r>
          </w:p>
        </w:tc>
        <w:tc>
          <w:tcPr>
            <w:tcW w:w="260" w:type="dxa"/>
            <w:vAlign w:val="bottom"/>
            <w:gridSpan w:val="2"/>
          </w:tcPr>
          <w:p>
            <w:pPr>
              <w:spacing w:after="0"/>
              <w:rPr>
                <w:sz w:val="20"/>
                <w:szCs w:val="20"/>
                <w:color w:val="auto"/>
              </w:rPr>
            </w:pPr>
            <w:r>
              <w:rPr>
                <w:rFonts w:ascii="Arial" w:cs="Arial" w:eastAsia="Arial" w:hAnsi="Arial"/>
                <w:sz w:val="17"/>
                <w:szCs w:val="17"/>
                <w:color w:val="FF0000"/>
                <w:strike w:val="1"/>
              </w:rPr>
              <w:t>15</w:t>
            </w:r>
          </w:p>
        </w:tc>
        <w:tc>
          <w:tcPr>
            <w:tcW w:w="1320" w:type="dxa"/>
            <w:vAlign w:val="bottom"/>
            <w:gridSpan w:val="2"/>
          </w:tcPr>
          <w:p>
            <w:pPr>
              <w:spacing w:after="0"/>
              <w:rPr>
                <w:sz w:val="20"/>
                <w:szCs w:val="20"/>
                <w:color w:val="auto"/>
              </w:rPr>
            </w:pPr>
            <w:r>
              <w:rPr>
                <w:rFonts w:ascii="Arial" w:cs="Arial" w:eastAsia="Arial" w:hAnsi="Arial"/>
                <w:sz w:val="17"/>
                <w:szCs w:val="17"/>
                <w:color w:val="0000FF"/>
              </w:rPr>
              <w:t>18</w:t>
            </w:r>
          </w:p>
        </w:tc>
      </w:tr>
      <w:tr>
        <w:trPr>
          <w:trHeight w:val="20"/>
        </w:trPr>
        <w:tc>
          <w:tcPr>
            <w:tcW w:w="12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500" w:type="dxa"/>
            <w:vAlign w:val="bottom"/>
            <w:tcBorders>
              <w:left w:val="single" w:sz="8" w:color="0000EE"/>
            </w:tcBorders>
            <w:gridSpan w:val="3"/>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3060" w:type="dxa"/>
            <w:vAlign w:val="bottom"/>
            <w:gridSpan w:val="6"/>
          </w:tcPr>
          <w:p>
            <w:pPr>
              <w:spacing w:after="0" w:line="20" w:lineRule="exact"/>
              <w:rPr>
                <w:sz w:val="1"/>
                <w:szCs w:val="1"/>
                <w:color w:val="auto"/>
              </w:rPr>
            </w:pPr>
          </w:p>
        </w:tc>
        <w:tc>
          <w:tcPr>
            <w:tcW w:w="260" w:type="dxa"/>
            <w:vAlign w:val="bottom"/>
            <w:tcBorders>
              <w:right w:val="single" w:sz="8" w:color="FF0000"/>
            </w:tcBorders>
            <w:gridSpan w:val="2"/>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r>
      <w:tr>
        <w:trPr>
          <w:trHeight w:val="203"/>
        </w:trPr>
        <w:tc>
          <w:tcPr>
            <w:tcW w:w="1500" w:type="dxa"/>
            <w:vAlign w:val="bottom"/>
            <w:gridSpan w:val="4"/>
          </w:tcPr>
          <w:p>
            <w:pPr>
              <w:ind w:left="1260"/>
              <w:spacing w:after="0"/>
              <w:rPr>
                <w:sz w:val="20"/>
                <w:szCs w:val="20"/>
                <w:color w:val="auto"/>
              </w:rPr>
            </w:pPr>
            <w:r>
              <w:rPr>
                <w:rFonts w:ascii="Arial" w:cs="Arial" w:eastAsia="Arial" w:hAnsi="Arial"/>
                <w:sz w:val="17"/>
                <w:szCs w:val="17"/>
                <w:color w:val="0000EE"/>
                <w:w w:val="84"/>
              </w:rPr>
              <w:t>8.</w:t>
            </w:r>
            <w:r>
              <w:rPr>
                <w:rFonts w:ascii="Arial" w:cs="Arial" w:eastAsia="Arial" w:hAnsi="Arial"/>
                <w:sz w:val="17"/>
                <w:szCs w:val="17"/>
                <w:u w:val="single" w:color="auto"/>
                <w:color w:val="0000EE"/>
                <w:w w:val="84"/>
              </w:rPr>
              <w:t>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80" w:type="dxa"/>
            <w:vAlign w:val="bottom"/>
            <w:gridSpan w:val="30"/>
          </w:tcPr>
          <w:p>
            <w:pPr>
              <w:spacing w:after="0"/>
              <w:rPr>
                <w:sz w:val="20"/>
                <w:szCs w:val="20"/>
                <w:color w:val="auto"/>
              </w:rPr>
            </w:pPr>
            <w:r>
              <w:rPr>
                <w:rFonts w:ascii="Arial" w:cs="Arial" w:eastAsia="Arial" w:hAnsi="Arial"/>
                <w:sz w:val="17"/>
                <w:szCs w:val="17"/>
                <w:color w:val="0000EE"/>
              </w:rPr>
              <w:t>Business at a general meeting</w:t>
            </w:r>
          </w:p>
        </w:tc>
        <w:tc>
          <w:tcPr>
            <w:tcW w:w="260" w:type="dxa"/>
            <w:vAlign w:val="bottom"/>
            <w:gridSpan w:val="2"/>
          </w:tcPr>
          <w:p>
            <w:pPr>
              <w:spacing w:after="0"/>
              <w:rPr>
                <w:sz w:val="20"/>
                <w:szCs w:val="20"/>
                <w:color w:val="auto"/>
              </w:rPr>
            </w:pPr>
            <w:r>
              <w:rPr>
                <w:rFonts w:ascii="Arial" w:cs="Arial" w:eastAsia="Arial" w:hAnsi="Arial"/>
                <w:sz w:val="17"/>
                <w:szCs w:val="17"/>
                <w:color w:val="FF0000"/>
                <w:strike w:val="1"/>
              </w:rPr>
              <w:t>16</w:t>
            </w:r>
          </w:p>
        </w:tc>
        <w:tc>
          <w:tcPr>
            <w:tcW w:w="1320" w:type="dxa"/>
            <w:vAlign w:val="bottom"/>
            <w:gridSpan w:val="2"/>
          </w:tcPr>
          <w:p>
            <w:pPr>
              <w:spacing w:after="0"/>
              <w:rPr>
                <w:sz w:val="20"/>
                <w:szCs w:val="20"/>
                <w:color w:val="auto"/>
              </w:rPr>
            </w:pPr>
            <w:r>
              <w:rPr>
                <w:rFonts w:ascii="Arial" w:cs="Arial" w:eastAsia="Arial" w:hAnsi="Arial"/>
                <w:sz w:val="17"/>
                <w:szCs w:val="17"/>
                <w:color w:val="0000FF"/>
              </w:rPr>
              <w:t>18</w:t>
            </w:r>
          </w:p>
        </w:tc>
      </w:tr>
      <w:tr>
        <w:trPr>
          <w:trHeight w:val="20"/>
        </w:trPr>
        <w:tc>
          <w:tcPr>
            <w:tcW w:w="126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560" w:type="dxa"/>
            <w:vAlign w:val="bottom"/>
            <w:gridSpan w:val="10"/>
          </w:tcPr>
          <w:p>
            <w:pPr>
              <w:spacing w:after="0" w:line="20" w:lineRule="exact"/>
              <w:rPr>
                <w:sz w:val="1"/>
                <w:szCs w:val="1"/>
                <w:color w:val="auto"/>
              </w:rPr>
            </w:pPr>
          </w:p>
        </w:tc>
        <w:tc>
          <w:tcPr>
            <w:tcW w:w="260" w:type="dxa"/>
            <w:vAlign w:val="bottom"/>
            <w:tcBorders>
              <w:right w:val="single" w:sz="8" w:color="FF0000"/>
            </w:tcBorders>
            <w:gridSpan w:val="2"/>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r>
      <w:tr>
        <w:trPr>
          <w:trHeight w:val="203"/>
        </w:trPr>
        <w:tc>
          <w:tcPr>
            <w:tcW w:w="1360" w:type="dxa"/>
            <w:vAlign w:val="bottom"/>
            <w:gridSpan w:val="3"/>
          </w:tcPr>
          <w:p>
            <w:pPr>
              <w:ind w:left="1260"/>
              <w:spacing w:after="0"/>
              <w:rPr>
                <w:sz w:val="20"/>
                <w:szCs w:val="20"/>
                <w:color w:val="auto"/>
              </w:rPr>
            </w:pPr>
            <w:r>
              <w:rPr>
                <w:rFonts w:ascii="Arial" w:cs="Arial" w:eastAsia="Arial" w:hAnsi="Arial"/>
                <w:sz w:val="17"/>
                <w:szCs w:val="17"/>
                <w:b w:val="1"/>
                <w:bCs w:val="1"/>
                <w:color w:val="0000EE"/>
                <w:w w:val="84"/>
              </w:rPr>
              <w:t>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80" w:type="dxa"/>
            <w:vAlign w:val="bottom"/>
            <w:gridSpan w:val="30"/>
          </w:tcPr>
          <w:p>
            <w:pPr>
              <w:spacing w:after="0"/>
              <w:rPr>
                <w:sz w:val="20"/>
                <w:szCs w:val="20"/>
                <w:color w:val="auto"/>
              </w:rPr>
            </w:pPr>
            <w:r>
              <w:rPr>
                <w:rFonts w:ascii="Arial" w:cs="Arial" w:eastAsia="Arial" w:hAnsi="Arial"/>
                <w:sz w:val="17"/>
                <w:szCs w:val="17"/>
                <w:b w:val="1"/>
                <w:bCs w:val="1"/>
                <w:color w:val="0000EE"/>
              </w:rPr>
              <w:t>PROCEEDINGS AT GENERAL MEETINGS</w:t>
            </w:r>
          </w:p>
        </w:tc>
        <w:tc>
          <w:tcPr>
            <w:tcW w:w="260" w:type="dxa"/>
            <w:vAlign w:val="bottom"/>
            <w:gridSpan w:val="2"/>
          </w:tcPr>
          <w:p>
            <w:pPr>
              <w:spacing w:after="0"/>
              <w:rPr>
                <w:sz w:val="20"/>
                <w:szCs w:val="20"/>
                <w:color w:val="auto"/>
              </w:rPr>
            </w:pPr>
            <w:r>
              <w:rPr>
                <w:rFonts w:ascii="Arial" w:cs="Arial" w:eastAsia="Arial" w:hAnsi="Arial"/>
                <w:sz w:val="17"/>
                <w:szCs w:val="17"/>
                <w:b w:val="1"/>
                <w:bCs w:val="1"/>
                <w:color w:val="FF0000"/>
                <w:strike w:val="1"/>
              </w:rPr>
              <w:t>16</w:t>
            </w:r>
          </w:p>
        </w:tc>
        <w:tc>
          <w:tcPr>
            <w:tcW w:w="1320" w:type="dxa"/>
            <w:vAlign w:val="bottom"/>
            <w:gridSpan w:val="2"/>
          </w:tcPr>
          <w:p>
            <w:pPr>
              <w:spacing w:after="0"/>
              <w:rPr>
                <w:sz w:val="20"/>
                <w:szCs w:val="20"/>
                <w:color w:val="auto"/>
              </w:rPr>
            </w:pPr>
            <w:r>
              <w:rPr>
                <w:rFonts w:ascii="Arial" w:cs="Arial" w:eastAsia="Arial" w:hAnsi="Arial"/>
                <w:sz w:val="17"/>
                <w:szCs w:val="17"/>
                <w:b w:val="1"/>
                <w:bCs w:val="1"/>
                <w:color w:val="0000FF"/>
              </w:rPr>
              <w:t>18</w:t>
            </w:r>
          </w:p>
        </w:tc>
      </w:tr>
      <w:tr>
        <w:trPr>
          <w:trHeight w:val="20"/>
        </w:trPr>
        <w:tc>
          <w:tcPr>
            <w:tcW w:w="126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5"/>
            <w:shd w:val="clear" w:color="auto" w:fill="0000EE"/>
          </w:tcPr>
          <w:p>
            <w:pPr>
              <w:spacing w:after="0" w:line="20" w:lineRule="exact"/>
              <w:rPr>
                <w:sz w:val="1"/>
                <w:szCs w:val="1"/>
                <w:color w:val="auto"/>
              </w:rPr>
            </w:pPr>
          </w:p>
        </w:tc>
        <w:tc>
          <w:tcPr>
            <w:tcW w:w="54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500" w:type="dxa"/>
            <w:vAlign w:val="bottom"/>
            <w:tcBorders>
              <w:left w:val="single" w:sz="8" w:color="0000EE"/>
            </w:tcBorders>
            <w:gridSpan w:val="3"/>
            <w:shd w:val="clear" w:color="auto" w:fill="0000EE"/>
          </w:tcPr>
          <w:p>
            <w:pPr>
              <w:spacing w:after="0" w:line="20" w:lineRule="exact"/>
              <w:rPr>
                <w:sz w:val="1"/>
                <w:szCs w:val="1"/>
                <w:color w:val="auto"/>
              </w:rPr>
            </w:pPr>
          </w:p>
        </w:tc>
        <w:tc>
          <w:tcPr>
            <w:tcW w:w="3560" w:type="dxa"/>
            <w:vAlign w:val="bottom"/>
            <w:gridSpan w:val="10"/>
          </w:tcPr>
          <w:p>
            <w:pPr>
              <w:spacing w:after="0" w:line="20" w:lineRule="exact"/>
              <w:rPr>
                <w:sz w:val="1"/>
                <w:szCs w:val="1"/>
                <w:color w:val="auto"/>
              </w:rPr>
            </w:pPr>
          </w:p>
        </w:tc>
        <w:tc>
          <w:tcPr>
            <w:tcW w:w="260" w:type="dxa"/>
            <w:vAlign w:val="bottom"/>
            <w:tcBorders>
              <w:right w:val="single" w:sz="8" w:color="FF0000"/>
            </w:tcBorders>
            <w:gridSpan w:val="2"/>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r>
      <w:tr>
        <w:trPr>
          <w:trHeight w:val="203"/>
        </w:trPr>
        <w:tc>
          <w:tcPr>
            <w:tcW w:w="1500" w:type="dxa"/>
            <w:vAlign w:val="bottom"/>
            <w:gridSpan w:val="4"/>
          </w:tcPr>
          <w:p>
            <w:pPr>
              <w:ind w:left="1260"/>
              <w:spacing w:after="0"/>
              <w:rPr>
                <w:sz w:val="20"/>
                <w:szCs w:val="20"/>
                <w:color w:val="auto"/>
              </w:rPr>
            </w:pPr>
            <w:r>
              <w:rPr>
                <w:rFonts w:ascii="Arial" w:cs="Arial" w:eastAsia="Arial" w:hAnsi="Arial"/>
                <w:sz w:val="17"/>
                <w:szCs w:val="17"/>
                <w:color w:val="0000EE"/>
                <w:w w:val="84"/>
              </w:rPr>
              <w:t>9.</w:t>
            </w:r>
            <w:r>
              <w:rPr>
                <w:rFonts w:ascii="Arial" w:cs="Arial" w:eastAsia="Arial" w:hAnsi="Arial"/>
                <w:sz w:val="17"/>
                <w:szCs w:val="17"/>
                <w:u w:val="single" w:color="auto"/>
                <w:color w:val="0000EE"/>
                <w:w w:val="84"/>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80" w:type="dxa"/>
            <w:vAlign w:val="bottom"/>
            <w:gridSpan w:val="30"/>
          </w:tcPr>
          <w:p>
            <w:pPr>
              <w:spacing w:after="0"/>
              <w:rPr>
                <w:sz w:val="20"/>
                <w:szCs w:val="20"/>
                <w:color w:val="auto"/>
              </w:rPr>
            </w:pPr>
            <w:r>
              <w:rPr>
                <w:rFonts w:ascii="Arial" w:cs="Arial" w:eastAsia="Arial" w:hAnsi="Arial"/>
                <w:sz w:val="17"/>
                <w:szCs w:val="17"/>
                <w:color w:val="0000EE"/>
              </w:rPr>
              <w:t>Admission to general meetings</w:t>
            </w:r>
          </w:p>
        </w:tc>
        <w:tc>
          <w:tcPr>
            <w:tcW w:w="260" w:type="dxa"/>
            <w:vAlign w:val="bottom"/>
            <w:gridSpan w:val="2"/>
          </w:tcPr>
          <w:p>
            <w:pPr>
              <w:spacing w:after="0"/>
              <w:rPr>
                <w:sz w:val="20"/>
                <w:szCs w:val="20"/>
                <w:color w:val="auto"/>
              </w:rPr>
            </w:pPr>
            <w:r>
              <w:rPr>
                <w:rFonts w:ascii="Arial" w:cs="Arial" w:eastAsia="Arial" w:hAnsi="Arial"/>
                <w:sz w:val="17"/>
                <w:szCs w:val="17"/>
                <w:color w:val="FF0000"/>
                <w:strike w:val="1"/>
              </w:rPr>
              <w:t>16</w:t>
            </w:r>
          </w:p>
        </w:tc>
        <w:tc>
          <w:tcPr>
            <w:tcW w:w="1320" w:type="dxa"/>
            <w:vAlign w:val="bottom"/>
            <w:gridSpan w:val="2"/>
          </w:tcPr>
          <w:p>
            <w:pPr>
              <w:spacing w:after="0"/>
              <w:rPr>
                <w:sz w:val="20"/>
                <w:szCs w:val="20"/>
                <w:color w:val="auto"/>
              </w:rPr>
            </w:pPr>
            <w:r>
              <w:rPr>
                <w:rFonts w:ascii="Arial" w:cs="Arial" w:eastAsia="Arial" w:hAnsi="Arial"/>
                <w:sz w:val="17"/>
                <w:szCs w:val="17"/>
                <w:color w:val="0000FF"/>
              </w:rPr>
              <w:t>18</w:t>
            </w:r>
          </w:p>
        </w:tc>
      </w:tr>
      <w:tr>
        <w:trPr>
          <w:trHeight w:val="20"/>
        </w:trPr>
        <w:tc>
          <w:tcPr>
            <w:tcW w:w="12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5"/>
            <w:shd w:val="clear" w:color="auto" w:fill="0000EE"/>
          </w:tcPr>
          <w:p>
            <w:pPr>
              <w:spacing w:after="0" w:line="20" w:lineRule="exact"/>
              <w:rPr>
                <w:sz w:val="1"/>
                <w:szCs w:val="1"/>
                <w:color w:val="auto"/>
              </w:rPr>
            </w:pPr>
          </w:p>
        </w:tc>
        <w:tc>
          <w:tcPr>
            <w:tcW w:w="540" w:type="dxa"/>
            <w:vAlign w:val="bottom"/>
            <w:tcBorders>
              <w:left w:val="single" w:sz="8" w:color="0000EE"/>
            </w:tcBorders>
            <w:gridSpan w:val="3"/>
          </w:tcPr>
          <w:p>
            <w:pPr>
              <w:spacing w:after="0" w:line="20" w:lineRule="exact"/>
              <w:rPr>
                <w:sz w:val="1"/>
                <w:szCs w:val="1"/>
                <w:color w:val="auto"/>
              </w:rPr>
            </w:pPr>
          </w:p>
        </w:tc>
        <w:tc>
          <w:tcPr>
            <w:tcW w:w="4060" w:type="dxa"/>
            <w:vAlign w:val="bottom"/>
            <w:gridSpan w:val="13"/>
          </w:tcPr>
          <w:p>
            <w:pPr>
              <w:spacing w:after="0" w:line="20" w:lineRule="exact"/>
              <w:rPr>
                <w:sz w:val="1"/>
                <w:szCs w:val="1"/>
                <w:color w:val="auto"/>
              </w:rPr>
            </w:pPr>
          </w:p>
        </w:tc>
        <w:tc>
          <w:tcPr>
            <w:tcW w:w="260" w:type="dxa"/>
            <w:vAlign w:val="bottom"/>
            <w:tcBorders>
              <w:right w:val="single" w:sz="8" w:color="FF0000"/>
            </w:tcBorders>
            <w:gridSpan w:val="2"/>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r>
      <w:tr>
        <w:trPr>
          <w:trHeight w:val="203"/>
        </w:trPr>
        <w:tc>
          <w:tcPr>
            <w:tcW w:w="1500" w:type="dxa"/>
            <w:vAlign w:val="bottom"/>
            <w:gridSpan w:val="4"/>
          </w:tcPr>
          <w:p>
            <w:pPr>
              <w:ind w:left="1260"/>
              <w:spacing w:after="0"/>
              <w:rPr>
                <w:sz w:val="20"/>
                <w:szCs w:val="20"/>
                <w:color w:val="auto"/>
              </w:rPr>
            </w:pPr>
            <w:r>
              <w:rPr>
                <w:rFonts w:ascii="Arial" w:cs="Arial" w:eastAsia="Arial" w:hAnsi="Arial"/>
                <w:sz w:val="17"/>
                <w:szCs w:val="17"/>
                <w:color w:val="0000EE"/>
                <w:w w:val="84"/>
              </w:rPr>
              <w:t>9.</w:t>
            </w:r>
            <w:r>
              <w:rPr>
                <w:rFonts w:ascii="Arial" w:cs="Arial" w:eastAsia="Arial" w:hAnsi="Arial"/>
                <w:sz w:val="17"/>
                <w:szCs w:val="17"/>
                <w:u w:val="single" w:color="auto"/>
                <w:color w:val="0000EE"/>
                <w:w w:val="84"/>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80" w:type="dxa"/>
            <w:vAlign w:val="bottom"/>
            <w:gridSpan w:val="30"/>
          </w:tcPr>
          <w:p>
            <w:pPr>
              <w:spacing w:after="0"/>
              <w:rPr>
                <w:sz w:val="20"/>
                <w:szCs w:val="20"/>
                <w:color w:val="auto"/>
              </w:rPr>
            </w:pPr>
            <w:r>
              <w:rPr>
                <w:rFonts w:ascii="Arial" w:cs="Arial" w:eastAsia="Arial" w:hAnsi="Arial"/>
                <w:sz w:val="17"/>
                <w:szCs w:val="17"/>
                <w:color w:val="0000EE"/>
              </w:rPr>
              <w:t>Requirement for a quorum</w:t>
            </w:r>
          </w:p>
        </w:tc>
        <w:tc>
          <w:tcPr>
            <w:tcW w:w="260" w:type="dxa"/>
            <w:vAlign w:val="bottom"/>
            <w:gridSpan w:val="2"/>
          </w:tcPr>
          <w:p>
            <w:pPr>
              <w:spacing w:after="0"/>
              <w:rPr>
                <w:sz w:val="20"/>
                <w:szCs w:val="20"/>
                <w:color w:val="auto"/>
              </w:rPr>
            </w:pPr>
            <w:r>
              <w:rPr>
                <w:rFonts w:ascii="Arial" w:cs="Arial" w:eastAsia="Arial" w:hAnsi="Arial"/>
                <w:sz w:val="17"/>
                <w:szCs w:val="17"/>
                <w:color w:val="FF0000"/>
                <w:strike w:val="1"/>
              </w:rPr>
              <w:t>17</w:t>
            </w:r>
          </w:p>
        </w:tc>
        <w:tc>
          <w:tcPr>
            <w:tcW w:w="1320" w:type="dxa"/>
            <w:vAlign w:val="bottom"/>
            <w:gridSpan w:val="2"/>
          </w:tcPr>
          <w:p>
            <w:pPr>
              <w:spacing w:after="0"/>
              <w:rPr>
                <w:sz w:val="20"/>
                <w:szCs w:val="20"/>
                <w:color w:val="auto"/>
              </w:rPr>
            </w:pPr>
            <w:r>
              <w:rPr>
                <w:rFonts w:ascii="Arial" w:cs="Arial" w:eastAsia="Arial" w:hAnsi="Arial"/>
                <w:sz w:val="17"/>
                <w:szCs w:val="17"/>
                <w:color w:val="0000FF"/>
              </w:rPr>
              <w:t>19</w:t>
            </w:r>
          </w:p>
        </w:tc>
      </w:tr>
      <w:tr>
        <w:trPr>
          <w:trHeight w:val="20"/>
        </w:trPr>
        <w:tc>
          <w:tcPr>
            <w:tcW w:w="12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60" w:type="dxa"/>
            <w:vAlign w:val="bottom"/>
            <w:gridSpan w:val="13"/>
          </w:tcPr>
          <w:p>
            <w:pPr>
              <w:spacing w:after="0" w:line="20" w:lineRule="exact"/>
              <w:rPr>
                <w:sz w:val="1"/>
                <w:szCs w:val="1"/>
                <w:color w:val="auto"/>
              </w:rPr>
            </w:pPr>
          </w:p>
        </w:tc>
        <w:tc>
          <w:tcPr>
            <w:tcW w:w="260" w:type="dxa"/>
            <w:vAlign w:val="bottom"/>
            <w:tcBorders>
              <w:right w:val="single" w:sz="8" w:color="FF0000"/>
            </w:tcBorders>
            <w:gridSpan w:val="2"/>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r>
      <w:tr>
        <w:trPr>
          <w:trHeight w:val="203"/>
        </w:trPr>
        <w:tc>
          <w:tcPr>
            <w:tcW w:w="1500" w:type="dxa"/>
            <w:vAlign w:val="bottom"/>
            <w:gridSpan w:val="4"/>
          </w:tcPr>
          <w:p>
            <w:pPr>
              <w:ind w:left="1260"/>
              <w:spacing w:after="0"/>
              <w:rPr>
                <w:sz w:val="20"/>
                <w:szCs w:val="20"/>
                <w:color w:val="auto"/>
              </w:rPr>
            </w:pPr>
            <w:r>
              <w:rPr>
                <w:rFonts w:ascii="Arial" w:cs="Arial" w:eastAsia="Arial" w:hAnsi="Arial"/>
                <w:sz w:val="17"/>
                <w:szCs w:val="17"/>
                <w:color w:val="0000EE"/>
                <w:w w:val="84"/>
              </w:rPr>
              <w:t>9.</w:t>
            </w:r>
            <w:r>
              <w:rPr>
                <w:rFonts w:ascii="Arial" w:cs="Arial" w:eastAsia="Arial" w:hAnsi="Arial"/>
                <w:sz w:val="17"/>
                <w:szCs w:val="17"/>
                <w:u w:val="single" w:color="auto"/>
                <w:color w:val="0000EE"/>
                <w:w w:val="84"/>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80" w:type="dxa"/>
            <w:vAlign w:val="bottom"/>
            <w:gridSpan w:val="30"/>
          </w:tcPr>
          <w:p>
            <w:pPr>
              <w:spacing w:after="0"/>
              <w:rPr>
                <w:sz w:val="20"/>
                <w:szCs w:val="20"/>
                <w:color w:val="auto"/>
              </w:rPr>
            </w:pPr>
            <w:r>
              <w:rPr>
                <w:rFonts w:ascii="Arial" w:cs="Arial" w:eastAsia="Arial" w:hAnsi="Arial"/>
                <w:sz w:val="17"/>
                <w:szCs w:val="17"/>
                <w:color w:val="0000EE"/>
              </w:rPr>
              <w:t>Number for a quorum</w:t>
            </w:r>
          </w:p>
        </w:tc>
        <w:tc>
          <w:tcPr>
            <w:tcW w:w="260" w:type="dxa"/>
            <w:vAlign w:val="bottom"/>
            <w:gridSpan w:val="2"/>
          </w:tcPr>
          <w:p>
            <w:pPr>
              <w:spacing w:after="0"/>
              <w:rPr>
                <w:sz w:val="20"/>
                <w:szCs w:val="20"/>
                <w:color w:val="auto"/>
              </w:rPr>
            </w:pPr>
            <w:r>
              <w:rPr>
                <w:rFonts w:ascii="Arial" w:cs="Arial" w:eastAsia="Arial" w:hAnsi="Arial"/>
                <w:sz w:val="17"/>
                <w:szCs w:val="17"/>
                <w:color w:val="FF0000"/>
                <w:strike w:val="1"/>
              </w:rPr>
              <w:t>17</w:t>
            </w:r>
          </w:p>
        </w:tc>
        <w:tc>
          <w:tcPr>
            <w:tcW w:w="1320" w:type="dxa"/>
            <w:vAlign w:val="bottom"/>
            <w:gridSpan w:val="2"/>
          </w:tcPr>
          <w:p>
            <w:pPr>
              <w:spacing w:after="0"/>
              <w:rPr>
                <w:sz w:val="20"/>
                <w:szCs w:val="20"/>
                <w:color w:val="auto"/>
              </w:rPr>
            </w:pPr>
            <w:r>
              <w:rPr>
                <w:rFonts w:ascii="Arial" w:cs="Arial" w:eastAsia="Arial" w:hAnsi="Arial"/>
                <w:sz w:val="17"/>
                <w:szCs w:val="17"/>
                <w:color w:val="0000FF"/>
              </w:rPr>
              <w:t>19</w:t>
            </w:r>
          </w:p>
        </w:tc>
      </w:tr>
      <w:tr>
        <w:trPr>
          <w:trHeight w:val="20"/>
        </w:trPr>
        <w:tc>
          <w:tcPr>
            <w:tcW w:w="12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60" w:type="dxa"/>
            <w:vAlign w:val="bottom"/>
            <w:gridSpan w:val="13"/>
          </w:tcPr>
          <w:p>
            <w:pPr>
              <w:spacing w:after="0" w:line="20" w:lineRule="exact"/>
              <w:rPr>
                <w:sz w:val="1"/>
                <w:szCs w:val="1"/>
                <w:color w:val="auto"/>
              </w:rPr>
            </w:pPr>
          </w:p>
        </w:tc>
        <w:tc>
          <w:tcPr>
            <w:tcW w:w="260" w:type="dxa"/>
            <w:vAlign w:val="bottom"/>
            <w:tcBorders>
              <w:right w:val="single" w:sz="8" w:color="FF0000"/>
            </w:tcBorders>
            <w:gridSpan w:val="2"/>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r>
      <w:tr>
        <w:trPr>
          <w:trHeight w:val="203"/>
        </w:trPr>
        <w:tc>
          <w:tcPr>
            <w:tcW w:w="1500" w:type="dxa"/>
            <w:vAlign w:val="bottom"/>
            <w:gridSpan w:val="4"/>
          </w:tcPr>
          <w:p>
            <w:pPr>
              <w:ind w:left="1260"/>
              <w:spacing w:after="0"/>
              <w:rPr>
                <w:sz w:val="20"/>
                <w:szCs w:val="20"/>
                <w:color w:val="auto"/>
              </w:rPr>
            </w:pPr>
            <w:r>
              <w:rPr>
                <w:rFonts w:ascii="Arial" w:cs="Arial" w:eastAsia="Arial" w:hAnsi="Arial"/>
                <w:sz w:val="17"/>
                <w:szCs w:val="17"/>
                <w:color w:val="0000EE"/>
                <w:w w:val="84"/>
              </w:rPr>
              <w:t>9.</w:t>
            </w:r>
            <w:r>
              <w:rPr>
                <w:rFonts w:ascii="Arial" w:cs="Arial" w:eastAsia="Arial" w:hAnsi="Arial"/>
                <w:sz w:val="17"/>
                <w:szCs w:val="17"/>
                <w:u w:val="single" w:color="auto"/>
                <w:color w:val="0000EE"/>
                <w:w w:val="84"/>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80" w:type="dxa"/>
            <w:vAlign w:val="bottom"/>
            <w:gridSpan w:val="30"/>
          </w:tcPr>
          <w:p>
            <w:pPr>
              <w:spacing w:after="0"/>
              <w:rPr>
                <w:sz w:val="20"/>
                <w:szCs w:val="20"/>
                <w:color w:val="auto"/>
              </w:rPr>
            </w:pPr>
            <w:r>
              <w:rPr>
                <w:rFonts w:ascii="Arial" w:cs="Arial" w:eastAsia="Arial" w:hAnsi="Arial"/>
                <w:sz w:val="17"/>
                <w:szCs w:val="17"/>
                <w:color w:val="0000EE"/>
              </w:rPr>
              <w:t>If quorum not present</w:t>
            </w:r>
          </w:p>
        </w:tc>
        <w:tc>
          <w:tcPr>
            <w:tcW w:w="260" w:type="dxa"/>
            <w:vAlign w:val="bottom"/>
            <w:gridSpan w:val="2"/>
          </w:tcPr>
          <w:p>
            <w:pPr>
              <w:spacing w:after="0"/>
              <w:rPr>
                <w:sz w:val="20"/>
                <w:szCs w:val="20"/>
                <w:color w:val="auto"/>
              </w:rPr>
            </w:pPr>
            <w:r>
              <w:rPr>
                <w:rFonts w:ascii="Arial" w:cs="Arial" w:eastAsia="Arial" w:hAnsi="Arial"/>
                <w:sz w:val="17"/>
                <w:szCs w:val="17"/>
                <w:color w:val="FF0000"/>
                <w:strike w:val="1"/>
              </w:rPr>
              <w:t>17</w:t>
            </w:r>
          </w:p>
        </w:tc>
        <w:tc>
          <w:tcPr>
            <w:tcW w:w="1320" w:type="dxa"/>
            <w:vAlign w:val="bottom"/>
            <w:gridSpan w:val="2"/>
          </w:tcPr>
          <w:p>
            <w:pPr>
              <w:spacing w:after="0"/>
              <w:rPr>
                <w:sz w:val="20"/>
                <w:szCs w:val="20"/>
                <w:color w:val="auto"/>
              </w:rPr>
            </w:pPr>
            <w:r>
              <w:rPr>
                <w:rFonts w:ascii="Arial" w:cs="Arial" w:eastAsia="Arial" w:hAnsi="Arial"/>
                <w:sz w:val="17"/>
                <w:szCs w:val="17"/>
                <w:color w:val="0000FF"/>
              </w:rPr>
              <w:t>20</w:t>
            </w:r>
          </w:p>
        </w:tc>
      </w:tr>
      <w:tr>
        <w:trPr>
          <w:trHeight w:val="20"/>
        </w:trPr>
        <w:tc>
          <w:tcPr>
            <w:tcW w:w="12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60" w:type="dxa"/>
            <w:vAlign w:val="bottom"/>
            <w:gridSpan w:val="13"/>
          </w:tcPr>
          <w:p>
            <w:pPr>
              <w:spacing w:after="0" w:line="20" w:lineRule="exact"/>
              <w:rPr>
                <w:sz w:val="1"/>
                <w:szCs w:val="1"/>
                <w:color w:val="auto"/>
              </w:rPr>
            </w:pPr>
          </w:p>
        </w:tc>
        <w:tc>
          <w:tcPr>
            <w:tcW w:w="260" w:type="dxa"/>
            <w:vAlign w:val="bottom"/>
            <w:tcBorders>
              <w:right w:val="single" w:sz="8" w:color="FF0000"/>
            </w:tcBorders>
            <w:gridSpan w:val="2"/>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r>
      <w:tr>
        <w:trPr>
          <w:trHeight w:val="203"/>
        </w:trPr>
        <w:tc>
          <w:tcPr>
            <w:tcW w:w="1500" w:type="dxa"/>
            <w:vAlign w:val="bottom"/>
            <w:gridSpan w:val="4"/>
          </w:tcPr>
          <w:p>
            <w:pPr>
              <w:ind w:left="1260"/>
              <w:spacing w:after="0"/>
              <w:rPr>
                <w:sz w:val="20"/>
                <w:szCs w:val="20"/>
                <w:color w:val="auto"/>
              </w:rPr>
            </w:pPr>
            <w:r>
              <w:rPr>
                <w:rFonts w:ascii="Arial" w:cs="Arial" w:eastAsia="Arial" w:hAnsi="Arial"/>
                <w:sz w:val="17"/>
                <w:szCs w:val="17"/>
                <w:color w:val="0000EE"/>
                <w:w w:val="84"/>
              </w:rPr>
              <w:t>9.</w:t>
            </w:r>
            <w:r>
              <w:rPr>
                <w:rFonts w:ascii="Arial" w:cs="Arial" w:eastAsia="Arial" w:hAnsi="Arial"/>
                <w:sz w:val="17"/>
                <w:szCs w:val="17"/>
                <w:u w:val="single" w:color="auto"/>
                <w:color w:val="0000EE"/>
                <w:w w:val="84"/>
              </w:rPr>
              <w:t>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80" w:type="dxa"/>
            <w:vAlign w:val="bottom"/>
            <w:gridSpan w:val="30"/>
          </w:tcPr>
          <w:p>
            <w:pPr>
              <w:spacing w:after="0"/>
              <w:rPr>
                <w:sz w:val="20"/>
                <w:szCs w:val="20"/>
                <w:color w:val="auto"/>
              </w:rPr>
            </w:pPr>
            <w:r>
              <w:rPr>
                <w:rFonts w:ascii="Arial" w:cs="Arial" w:eastAsia="Arial" w:hAnsi="Arial"/>
                <w:sz w:val="17"/>
                <w:szCs w:val="17"/>
                <w:color w:val="0000EE"/>
              </w:rPr>
              <w:t>Quorum for adjourned meeting</w:t>
            </w:r>
          </w:p>
        </w:tc>
        <w:tc>
          <w:tcPr>
            <w:tcW w:w="260" w:type="dxa"/>
            <w:vAlign w:val="bottom"/>
            <w:gridSpan w:val="2"/>
          </w:tcPr>
          <w:p>
            <w:pPr>
              <w:spacing w:after="0"/>
              <w:rPr>
                <w:sz w:val="20"/>
                <w:szCs w:val="20"/>
                <w:color w:val="auto"/>
              </w:rPr>
            </w:pPr>
            <w:r>
              <w:rPr>
                <w:rFonts w:ascii="Arial" w:cs="Arial" w:eastAsia="Arial" w:hAnsi="Arial"/>
                <w:sz w:val="17"/>
                <w:szCs w:val="17"/>
                <w:color w:val="FF0000"/>
                <w:strike w:val="1"/>
              </w:rPr>
              <w:t>17</w:t>
            </w:r>
          </w:p>
        </w:tc>
        <w:tc>
          <w:tcPr>
            <w:tcW w:w="1320" w:type="dxa"/>
            <w:vAlign w:val="bottom"/>
            <w:gridSpan w:val="2"/>
          </w:tcPr>
          <w:p>
            <w:pPr>
              <w:spacing w:after="0"/>
              <w:rPr>
                <w:sz w:val="20"/>
                <w:szCs w:val="20"/>
                <w:color w:val="auto"/>
              </w:rPr>
            </w:pPr>
            <w:r>
              <w:rPr>
                <w:rFonts w:ascii="Arial" w:cs="Arial" w:eastAsia="Arial" w:hAnsi="Arial"/>
                <w:sz w:val="17"/>
                <w:szCs w:val="17"/>
                <w:color w:val="0000FF"/>
              </w:rPr>
              <w:t>20</w:t>
            </w:r>
          </w:p>
        </w:tc>
      </w:tr>
      <w:tr>
        <w:trPr>
          <w:trHeight w:val="20"/>
        </w:trPr>
        <w:tc>
          <w:tcPr>
            <w:tcW w:w="12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gridSpan w:val="7"/>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5"/>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60" w:type="dxa"/>
            <w:vAlign w:val="bottom"/>
            <w:gridSpan w:val="13"/>
          </w:tcPr>
          <w:p>
            <w:pPr>
              <w:spacing w:after="0" w:line="20" w:lineRule="exact"/>
              <w:rPr>
                <w:sz w:val="1"/>
                <w:szCs w:val="1"/>
                <w:color w:val="auto"/>
              </w:rPr>
            </w:pPr>
          </w:p>
        </w:tc>
        <w:tc>
          <w:tcPr>
            <w:tcW w:w="260" w:type="dxa"/>
            <w:vAlign w:val="bottom"/>
            <w:tcBorders>
              <w:right w:val="single" w:sz="8" w:color="FF0000"/>
            </w:tcBorders>
            <w:gridSpan w:val="2"/>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r>
      <w:tr>
        <w:trPr>
          <w:trHeight w:val="203"/>
        </w:trPr>
        <w:tc>
          <w:tcPr>
            <w:tcW w:w="1500" w:type="dxa"/>
            <w:vAlign w:val="bottom"/>
            <w:gridSpan w:val="4"/>
          </w:tcPr>
          <w:p>
            <w:pPr>
              <w:ind w:left="1260"/>
              <w:spacing w:after="0"/>
              <w:rPr>
                <w:sz w:val="20"/>
                <w:szCs w:val="20"/>
                <w:color w:val="auto"/>
              </w:rPr>
            </w:pPr>
            <w:r>
              <w:rPr>
                <w:rFonts w:ascii="Arial" w:cs="Arial" w:eastAsia="Arial" w:hAnsi="Arial"/>
                <w:sz w:val="17"/>
                <w:szCs w:val="17"/>
                <w:color w:val="0000EE"/>
                <w:w w:val="84"/>
              </w:rPr>
              <w:t>9.</w:t>
            </w:r>
            <w:r>
              <w:rPr>
                <w:rFonts w:ascii="Arial" w:cs="Arial" w:eastAsia="Arial" w:hAnsi="Arial"/>
                <w:sz w:val="17"/>
                <w:szCs w:val="17"/>
                <w:u w:val="single" w:color="auto"/>
                <w:color w:val="0000EE"/>
                <w:w w:val="84"/>
              </w:rPr>
              <w:t>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80" w:type="dxa"/>
            <w:vAlign w:val="bottom"/>
            <w:gridSpan w:val="30"/>
          </w:tcPr>
          <w:p>
            <w:pPr>
              <w:spacing w:after="0"/>
              <w:rPr>
                <w:sz w:val="20"/>
                <w:szCs w:val="20"/>
                <w:color w:val="auto"/>
              </w:rPr>
            </w:pPr>
            <w:r>
              <w:rPr>
                <w:rFonts w:ascii="Arial" w:cs="Arial" w:eastAsia="Arial" w:hAnsi="Arial"/>
                <w:sz w:val="17"/>
                <w:szCs w:val="17"/>
                <w:color w:val="0000EE"/>
              </w:rPr>
              <w:t>Postponement before start of meeting</w:t>
            </w:r>
          </w:p>
        </w:tc>
        <w:tc>
          <w:tcPr>
            <w:tcW w:w="260" w:type="dxa"/>
            <w:vAlign w:val="bottom"/>
            <w:gridSpan w:val="2"/>
          </w:tcPr>
          <w:p>
            <w:pPr>
              <w:spacing w:after="0"/>
              <w:rPr>
                <w:sz w:val="20"/>
                <w:szCs w:val="20"/>
                <w:color w:val="auto"/>
              </w:rPr>
            </w:pPr>
            <w:r>
              <w:rPr>
                <w:rFonts w:ascii="Arial" w:cs="Arial" w:eastAsia="Arial" w:hAnsi="Arial"/>
                <w:sz w:val="17"/>
                <w:szCs w:val="17"/>
                <w:color w:val="FF0000"/>
                <w:strike w:val="1"/>
              </w:rPr>
              <w:t>18</w:t>
            </w:r>
          </w:p>
        </w:tc>
        <w:tc>
          <w:tcPr>
            <w:tcW w:w="1320" w:type="dxa"/>
            <w:vAlign w:val="bottom"/>
            <w:gridSpan w:val="2"/>
          </w:tcPr>
          <w:p>
            <w:pPr>
              <w:spacing w:after="0"/>
              <w:rPr>
                <w:sz w:val="20"/>
                <w:szCs w:val="20"/>
                <w:color w:val="auto"/>
              </w:rPr>
            </w:pPr>
            <w:r>
              <w:rPr>
                <w:rFonts w:ascii="Arial" w:cs="Arial" w:eastAsia="Arial" w:hAnsi="Arial"/>
                <w:sz w:val="17"/>
                <w:szCs w:val="17"/>
                <w:color w:val="0000FF"/>
              </w:rPr>
              <w:t>20</w:t>
            </w:r>
          </w:p>
        </w:tc>
      </w:tr>
      <w:tr>
        <w:trPr>
          <w:trHeight w:val="20"/>
        </w:trPr>
        <w:tc>
          <w:tcPr>
            <w:tcW w:w="12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gridSpan w:val="7"/>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5"/>
            <w:shd w:val="clear" w:color="auto" w:fill="0000EE"/>
          </w:tcPr>
          <w:p>
            <w:pPr>
              <w:spacing w:after="0" w:line="20" w:lineRule="exact"/>
              <w:rPr>
                <w:sz w:val="1"/>
                <w:szCs w:val="1"/>
                <w:color w:val="auto"/>
              </w:rPr>
            </w:pPr>
          </w:p>
        </w:tc>
        <w:tc>
          <w:tcPr>
            <w:tcW w:w="54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4060" w:type="dxa"/>
            <w:vAlign w:val="bottom"/>
            <w:gridSpan w:val="13"/>
          </w:tcPr>
          <w:p>
            <w:pPr>
              <w:spacing w:after="0" w:line="20" w:lineRule="exact"/>
              <w:rPr>
                <w:sz w:val="1"/>
                <w:szCs w:val="1"/>
                <w:color w:val="auto"/>
              </w:rPr>
            </w:pPr>
          </w:p>
        </w:tc>
        <w:tc>
          <w:tcPr>
            <w:tcW w:w="260" w:type="dxa"/>
            <w:vAlign w:val="bottom"/>
            <w:tcBorders>
              <w:right w:val="single" w:sz="8" w:color="FF0000"/>
            </w:tcBorders>
            <w:gridSpan w:val="2"/>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r>
      <w:tr>
        <w:trPr>
          <w:trHeight w:val="203"/>
        </w:trPr>
        <w:tc>
          <w:tcPr>
            <w:tcW w:w="1500" w:type="dxa"/>
            <w:vAlign w:val="bottom"/>
            <w:gridSpan w:val="4"/>
          </w:tcPr>
          <w:p>
            <w:pPr>
              <w:ind w:left="1260"/>
              <w:spacing w:after="0"/>
              <w:rPr>
                <w:sz w:val="20"/>
                <w:szCs w:val="20"/>
                <w:color w:val="auto"/>
              </w:rPr>
            </w:pPr>
            <w:r>
              <w:rPr>
                <w:rFonts w:ascii="Arial" w:cs="Arial" w:eastAsia="Arial" w:hAnsi="Arial"/>
                <w:sz w:val="17"/>
                <w:szCs w:val="17"/>
                <w:color w:val="0000EE"/>
                <w:w w:val="84"/>
              </w:rPr>
              <w:t>9.</w:t>
            </w:r>
            <w:r>
              <w:rPr>
                <w:rFonts w:ascii="Arial" w:cs="Arial" w:eastAsia="Arial" w:hAnsi="Arial"/>
                <w:sz w:val="17"/>
                <w:szCs w:val="17"/>
                <w:u w:val="single" w:color="auto"/>
                <w:color w:val="0000EE"/>
                <w:w w:val="84"/>
              </w:rPr>
              <w:t>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80" w:type="dxa"/>
            <w:vAlign w:val="bottom"/>
            <w:gridSpan w:val="30"/>
          </w:tcPr>
          <w:p>
            <w:pPr>
              <w:spacing w:after="0"/>
              <w:rPr>
                <w:sz w:val="20"/>
                <w:szCs w:val="20"/>
                <w:color w:val="auto"/>
              </w:rPr>
            </w:pPr>
            <w:r>
              <w:rPr>
                <w:rFonts w:ascii="Arial" w:cs="Arial" w:eastAsia="Arial" w:hAnsi="Arial"/>
                <w:sz w:val="17"/>
                <w:szCs w:val="17"/>
                <w:color w:val="0000EE"/>
              </w:rPr>
              <w:t>Chair of general meeting</w:t>
            </w:r>
          </w:p>
        </w:tc>
        <w:tc>
          <w:tcPr>
            <w:tcW w:w="260" w:type="dxa"/>
            <w:vAlign w:val="bottom"/>
            <w:gridSpan w:val="2"/>
          </w:tcPr>
          <w:p>
            <w:pPr>
              <w:spacing w:after="0"/>
              <w:rPr>
                <w:sz w:val="20"/>
                <w:szCs w:val="20"/>
                <w:color w:val="auto"/>
              </w:rPr>
            </w:pPr>
            <w:r>
              <w:rPr>
                <w:rFonts w:ascii="Arial" w:cs="Arial" w:eastAsia="Arial" w:hAnsi="Arial"/>
                <w:sz w:val="17"/>
                <w:szCs w:val="17"/>
                <w:color w:val="FF0000"/>
                <w:strike w:val="1"/>
              </w:rPr>
              <w:t>18</w:t>
            </w:r>
          </w:p>
        </w:tc>
        <w:tc>
          <w:tcPr>
            <w:tcW w:w="1320" w:type="dxa"/>
            <w:vAlign w:val="bottom"/>
            <w:gridSpan w:val="2"/>
          </w:tcPr>
          <w:p>
            <w:pPr>
              <w:spacing w:after="0"/>
              <w:rPr>
                <w:sz w:val="20"/>
                <w:szCs w:val="20"/>
                <w:color w:val="auto"/>
              </w:rPr>
            </w:pPr>
            <w:r>
              <w:rPr>
                <w:rFonts w:ascii="Arial" w:cs="Arial" w:eastAsia="Arial" w:hAnsi="Arial"/>
                <w:sz w:val="17"/>
                <w:szCs w:val="17"/>
                <w:color w:val="0000FF"/>
              </w:rPr>
              <w:t>20</w:t>
            </w:r>
          </w:p>
        </w:tc>
      </w:tr>
      <w:tr>
        <w:trPr>
          <w:trHeight w:val="20"/>
        </w:trPr>
        <w:tc>
          <w:tcPr>
            <w:tcW w:w="12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gridSpan w:val="7"/>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60" w:type="dxa"/>
            <w:vAlign w:val="bottom"/>
            <w:gridSpan w:val="13"/>
          </w:tcPr>
          <w:p>
            <w:pPr>
              <w:spacing w:after="0" w:line="20" w:lineRule="exact"/>
              <w:rPr>
                <w:sz w:val="1"/>
                <w:szCs w:val="1"/>
                <w:color w:val="auto"/>
              </w:rPr>
            </w:pPr>
          </w:p>
        </w:tc>
        <w:tc>
          <w:tcPr>
            <w:tcW w:w="260" w:type="dxa"/>
            <w:vAlign w:val="bottom"/>
            <w:tcBorders>
              <w:right w:val="single" w:sz="8" w:color="FF0000"/>
            </w:tcBorders>
            <w:gridSpan w:val="2"/>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r>
      <w:tr>
        <w:trPr>
          <w:trHeight w:val="203"/>
        </w:trPr>
        <w:tc>
          <w:tcPr>
            <w:tcW w:w="1500" w:type="dxa"/>
            <w:vAlign w:val="bottom"/>
            <w:gridSpan w:val="4"/>
          </w:tcPr>
          <w:p>
            <w:pPr>
              <w:ind w:left="1260"/>
              <w:spacing w:after="0"/>
              <w:rPr>
                <w:sz w:val="20"/>
                <w:szCs w:val="20"/>
                <w:color w:val="auto"/>
              </w:rPr>
            </w:pPr>
            <w:r>
              <w:rPr>
                <w:rFonts w:ascii="Arial" w:cs="Arial" w:eastAsia="Arial" w:hAnsi="Arial"/>
                <w:sz w:val="17"/>
                <w:szCs w:val="17"/>
                <w:color w:val="0000EE"/>
                <w:w w:val="84"/>
              </w:rPr>
              <w:t>9.</w:t>
            </w:r>
            <w:r>
              <w:rPr>
                <w:rFonts w:ascii="Arial" w:cs="Arial" w:eastAsia="Arial" w:hAnsi="Arial"/>
                <w:sz w:val="17"/>
                <w:szCs w:val="17"/>
                <w:u w:val="single" w:color="auto"/>
                <w:color w:val="0000EE"/>
                <w:w w:val="84"/>
              </w:rPr>
              <w:t>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80" w:type="dxa"/>
            <w:vAlign w:val="bottom"/>
            <w:gridSpan w:val="30"/>
          </w:tcPr>
          <w:p>
            <w:pPr>
              <w:spacing w:after="0"/>
              <w:rPr>
                <w:sz w:val="20"/>
                <w:szCs w:val="20"/>
                <w:color w:val="auto"/>
              </w:rPr>
            </w:pPr>
            <w:r>
              <w:rPr>
                <w:rFonts w:ascii="Arial" w:cs="Arial" w:eastAsia="Arial" w:hAnsi="Arial"/>
                <w:sz w:val="17"/>
                <w:szCs w:val="17"/>
                <w:color w:val="0000EE"/>
              </w:rPr>
              <w:t>Acting chair of general meeting</w:t>
            </w:r>
          </w:p>
        </w:tc>
        <w:tc>
          <w:tcPr>
            <w:tcW w:w="260" w:type="dxa"/>
            <w:vAlign w:val="bottom"/>
            <w:gridSpan w:val="2"/>
          </w:tcPr>
          <w:p>
            <w:pPr>
              <w:spacing w:after="0"/>
              <w:rPr>
                <w:sz w:val="20"/>
                <w:szCs w:val="20"/>
                <w:color w:val="auto"/>
              </w:rPr>
            </w:pPr>
            <w:r>
              <w:rPr>
                <w:rFonts w:ascii="Arial" w:cs="Arial" w:eastAsia="Arial" w:hAnsi="Arial"/>
                <w:sz w:val="17"/>
                <w:szCs w:val="17"/>
                <w:color w:val="FF0000"/>
                <w:strike w:val="1"/>
              </w:rPr>
              <w:t>18</w:t>
            </w:r>
          </w:p>
        </w:tc>
        <w:tc>
          <w:tcPr>
            <w:tcW w:w="1320" w:type="dxa"/>
            <w:vAlign w:val="bottom"/>
            <w:gridSpan w:val="2"/>
          </w:tcPr>
          <w:p>
            <w:pPr>
              <w:spacing w:after="0"/>
              <w:rPr>
                <w:sz w:val="20"/>
                <w:szCs w:val="20"/>
                <w:color w:val="auto"/>
              </w:rPr>
            </w:pPr>
            <w:r>
              <w:rPr>
                <w:rFonts w:ascii="Arial" w:cs="Arial" w:eastAsia="Arial" w:hAnsi="Arial"/>
                <w:sz w:val="17"/>
                <w:szCs w:val="17"/>
                <w:color w:val="0000FF"/>
              </w:rPr>
              <w:t>21</w:t>
            </w:r>
          </w:p>
        </w:tc>
      </w:tr>
      <w:tr>
        <w:trPr>
          <w:trHeight w:val="20"/>
        </w:trPr>
        <w:tc>
          <w:tcPr>
            <w:tcW w:w="12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Borders>
              <w:right w:val="single" w:sz="8" w:color="0000EE"/>
            </w:tcBorders>
            <w:gridSpan w:val="9"/>
            <w:shd w:val="clear" w:color="auto" w:fill="0000EE"/>
          </w:tcPr>
          <w:p>
            <w:pPr>
              <w:spacing w:after="0" w:line="20" w:lineRule="exact"/>
              <w:rPr>
                <w:sz w:val="1"/>
                <w:szCs w:val="1"/>
                <w:color w:val="auto"/>
              </w:rPr>
            </w:pPr>
          </w:p>
        </w:tc>
        <w:tc>
          <w:tcPr>
            <w:tcW w:w="240" w:type="dxa"/>
            <w:vAlign w:val="bottom"/>
            <w:tcBorders>
              <w:left w:val="single" w:sz="8" w:color="0000EE"/>
            </w:tcBorders>
            <w:gridSpan w:val="5"/>
            <w:shd w:val="clear" w:color="auto" w:fill="0000EE"/>
          </w:tcPr>
          <w:p>
            <w:pPr>
              <w:spacing w:after="0" w:line="20" w:lineRule="exact"/>
              <w:rPr>
                <w:sz w:val="1"/>
                <w:szCs w:val="1"/>
                <w:color w:val="auto"/>
              </w:rPr>
            </w:pPr>
          </w:p>
        </w:tc>
        <w:tc>
          <w:tcPr>
            <w:tcW w:w="540" w:type="dxa"/>
            <w:vAlign w:val="bottom"/>
            <w:tcBorders>
              <w:left w:val="single" w:sz="8" w:color="0000EE"/>
            </w:tcBorders>
            <w:gridSpan w:val="3"/>
          </w:tcPr>
          <w:p>
            <w:pPr>
              <w:spacing w:after="0" w:line="20" w:lineRule="exact"/>
              <w:rPr>
                <w:sz w:val="1"/>
                <w:szCs w:val="1"/>
                <w:color w:val="auto"/>
              </w:rPr>
            </w:pPr>
          </w:p>
        </w:tc>
        <w:tc>
          <w:tcPr>
            <w:tcW w:w="4060" w:type="dxa"/>
            <w:vAlign w:val="bottom"/>
            <w:gridSpan w:val="13"/>
          </w:tcPr>
          <w:p>
            <w:pPr>
              <w:spacing w:after="0" w:line="20" w:lineRule="exact"/>
              <w:rPr>
                <w:sz w:val="1"/>
                <w:szCs w:val="1"/>
                <w:color w:val="auto"/>
              </w:rPr>
            </w:pPr>
          </w:p>
        </w:tc>
        <w:tc>
          <w:tcPr>
            <w:tcW w:w="260" w:type="dxa"/>
            <w:vAlign w:val="bottom"/>
            <w:tcBorders>
              <w:right w:val="single" w:sz="8" w:color="FF0000"/>
            </w:tcBorders>
            <w:gridSpan w:val="2"/>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r>
      <w:tr>
        <w:trPr>
          <w:trHeight w:val="203"/>
        </w:trPr>
        <w:tc>
          <w:tcPr>
            <w:tcW w:w="1500" w:type="dxa"/>
            <w:vAlign w:val="bottom"/>
            <w:gridSpan w:val="4"/>
          </w:tcPr>
          <w:p>
            <w:pPr>
              <w:ind w:left="1260"/>
              <w:spacing w:after="0"/>
              <w:rPr>
                <w:sz w:val="20"/>
                <w:szCs w:val="20"/>
                <w:color w:val="auto"/>
              </w:rPr>
            </w:pPr>
            <w:r>
              <w:rPr>
                <w:rFonts w:ascii="Arial" w:cs="Arial" w:eastAsia="Arial" w:hAnsi="Arial"/>
                <w:sz w:val="17"/>
                <w:szCs w:val="17"/>
                <w:color w:val="0000EE"/>
                <w:w w:val="84"/>
              </w:rPr>
              <w:t>9.</w:t>
            </w:r>
            <w:r>
              <w:rPr>
                <w:rFonts w:ascii="Arial" w:cs="Arial" w:eastAsia="Arial" w:hAnsi="Arial"/>
                <w:sz w:val="17"/>
                <w:szCs w:val="17"/>
                <w:u w:val="single" w:color="auto"/>
                <w:color w:val="0000EE"/>
                <w:w w:val="84"/>
              </w:rPr>
              <w:t>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80" w:type="dxa"/>
            <w:vAlign w:val="bottom"/>
            <w:gridSpan w:val="30"/>
          </w:tcPr>
          <w:p>
            <w:pPr>
              <w:spacing w:after="0"/>
              <w:rPr>
                <w:sz w:val="20"/>
                <w:szCs w:val="20"/>
                <w:color w:val="auto"/>
              </w:rPr>
            </w:pPr>
            <w:r>
              <w:rPr>
                <w:rFonts w:ascii="Arial" w:cs="Arial" w:eastAsia="Arial" w:hAnsi="Arial"/>
                <w:sz w:val="17"/>
                <w:szCs w:val="17"/>
                <w:color w:val="0000EE"/>
              </w:rPr>
              <w:t>Conduct of general meeting</w:t>
            </w:r>
          </w:p>
        </w:tc>
        <w:tc>
          <w:tcPr>
            <w:tcW w:w="260" w:type="dxa"/>
            <w:vAlign w:val="bottom"/>
            <w:gridSpan w:val="2"/>
          </w:tcPr>
          <w:p>
            <w:pPr>
              <w:spacing w:after="0"/>
              <w:rPr>
                <w:sz w:val="20"/>
                <w:szCs w:val="20"/>
                <w:color w:val="auto"/>
              </w:rPr>
            </w:pPr>
            <w:r>
              <w:rPr>
                <w:rFonts w:ascii="Arial" w:cs="Arial" w:eastAsia="Arial" w:hAnsi="Arial"/>
                <w:sz w:val="17"/>
                <w:szCs w:val="17"/>
                <w:color w:val="FF0000"/>
                <w:strike w:val="1"/>
              </w:rPr>
              <w:t>18</w:t>
            </w:r>
          </w:p>
        </w:tc>
        <w:tc>
          <w:tcPr>
            <w:tcW w:w="1320" w:type="dxa"/>
            <w:vAlign w:val="bottom"/>
            <w:gridSpan w:val="2"/>
          </w:tcPr>
          <w:p>
            <w:pPr>
              <w:spacing w:after="0"/>
              <w:rPr>
                <w:sz w:val="20"/>
                <w:szCs w:val="20"/>
                <w:color w:val="auto"/>
              </w:rPr>
            </w:pPr>
            <w:r>
              <w:rPr>
                <w:rFonts w:ascii="Arial" w:cs="Arial" w:eastAsia="Arial" w:hAnsi="Arial"/>
                <w:sz w:val="17"/>
                <w:szCs w:val="17"/>
                <w:color w:val="0000FF"/>
              </w:rPr>
              <w:t>21</w:t>
            </w:r>
          </w:p>
        </w:tc>
      </w:tr>
      <w:tr>
        <w:trPr>
          <w:trHeight w:val="20"/>
        </w:trPr>
        <w:tc>
          <w:tcPr>
            <w:tcW w:w="12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Borders>
              <w:right w:val="single" w:sz="8" w:color="0000EE"/>
            </w:tcBorders>
            <w:gridSpan w:val="9"/>
            <w:shd w:val="clear" w:color="auto" w:fill="0000EE"/>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60" w:type="dxa"/>
            <w:vAlign w:val="bottom"/>
            <w:gridSpan w:val="13"/>
          </w:tcPr>
          <w:p>
            <w:pPr>
              <w:spacing w:after="0" w:line="20" w:lineRule="exact"/>
              <w:rPr>
                <w:sz w:val="1"/>
                <w:szCs w:val="1"/>
                <w:color w:val="auto"/>
              </w:rPr>
            </w:pPr>
          </w:p>
        </w:tc>
        <w:tc>
          <w:tcPr>
            <w:tcW w:w="260" w:type="dxa"/>
            <w:vAlign w:val="bottom"/>
            <w:tcBorders>
              <w:right w:val="single" w:sz="8" w:color="FF0000"/>
            </w:tcBorders>
            <w:gridSpan w:val="2"/>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r>
      <w:tr>
        <w:trPr>
          <w:trHeight w:val="203"/>
        </w:trPr>
        <w:tc>
          <w:tcPr>
            <w:tcW w:w="1600" w:type="dxa"/>
            <w:vAlign w:val="bottom"/>
            <w:gridSpan w:val="5"/>
          </w:tcPr>
          <w:p>
            <w:pPr>
              <w:ind w:left="1260"/>
              <w:spacing w:after="0"/>
              <w:rPr>
                <w:sz w:val="20"/>
                <w:szCs w:val="20"/>
                <w:color w:val="auto"/>
              </w:rPr>
            </w:pPr>
            <w:r>
              <w:rPr>
                <w:rFonts w:ascii="Arial" w:cs="Arial" w:eastAsia="Arial" w:hAnsi="Arial"/>
                <w:sz w:val="17"/>
                <w:szCs w:val="17"/>
                <w:color w:val="0000EE"/>
                <w:w w:val="90"/>
              </w:rPr>
              <w:t>9.</w:t>
            </w:r>
            <w:r>
              <w:rPr>
                <w:rFonts w:ascii="Arial" w:cs="Arial" w:eastAsia="Arial" w:hAnsi="Arial"/>
                <w:sz w:val="17"/>
                <w:szCs w:val="17"/>
                <w:u w:val="single" w:color="auto"/>
                <w:color w:val="0000EE"/>
                <w:w w:val="90"/>
              </w:rPr>
              <w:t>10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80" w:type="dxa"/>
            <w:vAlign w:val="bottom"/>
            <w:gridSpan w:val="30"/>
          </w:tcPr>
          <w:p>
            <w:pPr>
              <w:spacing w:after="0"/>
              <w:rPr>
                <w:sz w:val="20"/>
                <w:szCs w:val="20"/>
                <w:color w:val="auto"/>
              </w:rPr>
            </w:pPr>
            <w:r>
              <w:rPr>
                <w:rFonts w:ascii="Arial" w:cs="Arial" w:eastAsia="Arial" w:hAnsi="Arial"/>
                <w:sz w:val="17"/>
                <w:szCs w:val="17"/>
                <w:color w:val="0000EE"/>
              </w:rPr>
              <w:t>Notice of certain director nominations</w:t>
            </w:r>
          </w:p>
        </w:tc>
        <w:tc>
          <w:tcPr>
            <w:tcW w:w="260" w:type="dxa"/>
            <w:vAlign w:val="bottom"/>
            <w:gridSpan w:val="2"/>
          </w:tcPr>
          <w:p>
            <w:pPr>
              <w:spacing w:after="0"/>
              <w:rPr>
                <w:sz w:val="20"/>
                <w:szCs w:val="20"/>
                <w:color w:val="auto"/>
              </w:rPr>
            </w:pPr>
            <w:r>
              <w:rPr>
                <w:rFonts w:ascii="Arial" w:cs="Arial" w:eastAsia="Arial" w:hAnsi="Arial"/>
                <w:sz w:val="17"/>
                <w:szCs w:val="17"/>
                <w:color w:val="0000EE"/>
              </w:rPr>
              <w:t>21</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26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gridSpan w:val="3"/>
          </w:tcPr>
          <w:p>
            <w:pPr>
              <w:spacing w:after="0"/>
              <w:rPr>
                <w:sz w:val="20"/>
                <w:szCs w:val="20"/>
                <w:color w:val="auto"/>
              </w:rPr>
            </w:pPr>
            <w:r>
              <w:rPr>
                <w:rFonts w:ascii="Arial" w:cs="Arial" w:eastAsia="Arial" w:hAnsi="Arial"/>
                <w:sz w:val="17"/>
                <w:szCs w:val="17"/>
                <w:color w:val="FF0000"/>
                <w:strike w:val="1"/>
                <w:w w:val="84"/>
              </w:rPr>
              <w:t>9.</w:t>
            </w:r>
            <w:r>
              <w:rPr>
                <w:rFonts w:ascii="Arial" w:cs="Arial" w:eastAsia="Arial" w:hAnsi="Arial"/>
                <w:sz w:val="17"/>
                <w:szCs w:val="17"/>
                <w:u w:val="single" w:color="auto"/>
                <w:color w:val="FF0000"/>
                <w:strike w:val="1"/>
                <w:w w:val="84"/>
              </w:rPr>
              <w:t>10</w:t>
            </w:r>
          </w:p>
        </w:tc>
        <w:tc>
          <w:tcPr>
            <w:tcW w:w="520" w:type="dxa"/>
            <w:vAlign w:val="bottom"/>
            <w:gridSpan w:val="3"/>
          </w:tcPr>
          <w:p>
            <w:pPr>
              <w:jc w:val="right"/>
              <w:ind w:right="200"/>
              <w:spacing w:after="0"/>
              <w:rPr>
                <w:sz w:val="20"/>
                <w:szCs w:val="20"/>
                <w:color w:val="auto"/>
              </w:rPr>
            </w:pPr>
            <w:r>
              <w:rPr>
                <w:rFonts w:ascii="Arial" w:cs="Arial" w:eastAsia="Arial" w:hAnsi="Arial"/>
                <w:sz w:val="17"/>
                <w:szCs w:val="17"/>
                <w:color w:val="0000FF"/>
                <w:w w:val="90"/>
              </w:rPr>
              <w:t>9.11</w:t>
            </w:r>
          </w:p>
        </w:tc>
        <w:tc>
          <w:tcPr>
            <w:tcW w:w="2920" w:type="dxa"/>
            <w:vAlign w:val="bottom"/>
            <w:tcBorders>
              <w:top w:val="single" w:sz="8" w:color="0000EE"/>
            </w:tcBorders>
            <w:gridSpan w:val="17"/>
          </w:tcPr>
          <w:p>
            <w:pPr>
              <w:spacing w:after="0"/>
              <w:rPr>
                <w:sz w:val="20"/>
                <w:szCs w:val="20"/>
                <w:color w:val="auto"/>
              </w:rPr>
            </w:pPr>
            <w:r>
              <w:rPr>
                <w:rFonts w:ascii="Arial" w:cs="Arial" w:eastAsia="Arial" w:hAnsi="Arial"/>
                <w:sz w:val="17"/>
                <w:szCs w:val="17"/>
                <w:color w:val="0000EE"/>
              </w:rPr>
              <w:t>Suspension of general meeting</w:t>
            </w:r>
          </w:p>
        </w:tc>
        <w:tc>
          <w:tcPr>
            <w:tcW w:w="4060" w:type="dxa"/>
            <w:vAlign w:val="bottom"/>
            <w:gridSpan w:val="13"/>
          </w:tcPr>
          <w:p>
            <w:pPr>
              <w:spacing w:after="0"/>
              <w:rPr>
                <w:sz w:val="17"/>
                <w:szCs w:val="17"/>
                <w:color w:val="auto"/>
              </w:rPr>
            </w:pPr>
          </w:p>
        </w:tc>
        <w:tc>
          <w:tcPr>
            <w:tcW w:w="260" w:type="dxa"/>
            <w:vAlign w:val="bottom"/>
            <w:tcBorders>
              <w:top w:val="single" w:sz="8" w:color="0000EE"/>
            </w:tcBorders>
            <w:gridSpan w:val="2"/>
          </w:tcPr>
          <w:p>
            <w:pPr>
              <w:spacing w:after="0"/>
              <w:rPr>
                <w:sz w:val="20"/>
                <w:szCs w:val="20"/>
                <w:color w:val="auto"/>
              </w:rPr>
            </w:pPr>
            <w:r>
              <w:rPr>
                <w:rFonts w:ascii="Arial" w:cs="Arial" w:eastAsia="Arial" w:hAnsi="Arial"/>
                <w:sz w:val="17"/>
                <w:szCs w:val="17"/>
                <w:color w:val="FF0000"/>
                <w:strike w:val="1"/>
              </w:rPr>
              <w:t>19</w:t>
            </w:r>
          </w:p>
        </w:tc>
        <w:tc>
          <w:tcPr>
            <w:tcW w:w="1320" w:type="dxa"/>
            <w:vAlign w:val="bottom"/>
            <w:gridSpan w:val="2"/>
          </w:tcPr>
          <w:p>
            <w:pPr>
              <w:spacing w:after="0"/>
              <w:rPr>
                <w:sz w:val="20"/>
                <w:szCs w:val="20"/>
                <w:color w:val="auto"/>
              </w:rPr>
            </w:pPr>
            <w:r>
              <w:rPr>
                <w:rFonts w:ascii="Arial" w:cs="Arial" w:eastAsia="Arial" w:hAnsi="Arial"/>
                <w:sz w:val="17"/>
                <w:szCs w:val="17"/>
                <w:color w:val="0000FF"/>
              </w:rPr>
              <w:t>22</w:t>
            </w:r>
          </w:p>
        </w:tc>
      </w:tr>
      <w:tr>
        <w:trPr>
          <w:trHeight w:val="20"/>
        </w:trPr>
        <w:tc>
          <w:tcPr>
            <w:tcW w:w="1280" w:type="dxa"/>
            <w:vAlign w:val="bottom"/>
            <w:gridSpan w:val="2"/>
          </w:tcPr>
          <w:p>
            <w:pPr>
              <w:spacing w:after="0" w:line="20" w:lineRule="exact"/>
              <w:rPr>
                <w:sz w:val="1"/>
                <w:szCs w:val="1"/>
                <w:color w:val="auto"/>
              </w:rPr>
            </w:pPr>
          </w:p>
        </w:tc>
        <w:tc>
          <w:tcPr>
            <w:tcW w:w="320" w:type="dxa"/>
            <w:vAlign w:val="bottom"/>
            <w:tcBorders>
              <w:right w:val="single" w:sz="8" w:color="FF0000"/>
            </w:tcBorders>
            <w:gridSpan w:val="3"/>
            <w:shd w:val="clear" w:color="auto" w:fill="FF0000"/>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Borders>
              <w:right w:val="single" w:sz="8" w:color="0000EE"/>
            </w:tcBorders>
            <w:gridSpan w:val="9"/>
            <w:shd w:val="clear" w:color="auto" w:fill="0000EE"/>
          </w:tcPr>
          <w:p>
            <w:pPr>
              <w:spacing w:after="0" w:line="20" w:lineRule="exact"/>
              <w:rPr>
                <w:sz w:val="1"/>
                <w:szCs w:val="1"/>
                <w:color w:val="auto"/>
              </w:rPr>
            </w:pPr>
          </w:p>
        </w:tc>
        <w:tc>
          <w:tcPr>
            <w:tcW w:w="240" w:type="dxa"/>
            <w:vAlign w:val="bottom"/>
            <w:tcBorders>
              <w:left w:val="single" w:sz="8" w:color="0000EE"/>
            </w:tcBorders>
            <w:gridSpan w:val="5"/>
            <w:shd w:val="clear" w:color="auto" w:fill="0000EE"/>
          </w:tcPr>
          <w:p>
            <w:pPr>
              <w:spacing w:after="0" w:line="20" w:lineRule="exact"/>
              <w:rPr>
                <w:sz w:val="1"/>
                <w:szCs w:val="1"/>
                <w:color w:val="auto"/>
              </w:rPr>
            </w:pPr>
          </w:p>
        </w:tc>
        <w:tc>
          <w:tcPr>
            <w:tcW w:w="4600" w:type="dxa"/>
            <w:vAlign w:val="bottom"/>
            <w:tcBorders>
              <w:left w:val="single" w:sz="8" w:color="0000EE"/>
            </w:tcBorders>
            <w:gridSpan w:val="16"/>
          </w:tcPr>
          <w:p>
            <w:pPr>
              <w:spacing w:after="0" w:line="20" w:lineRule="exact"/>
              <w:rPr>
                <w:sz w:val="1"/>
                <w:szCs w:val="1"/>
                <w:color w:val="auto"/>
              </w:rPr>
            </w:pPr>
          </w:p>
        </w:tc>
        <w:tc>
          <w:tcPr>
            <w:tcW w:w="260" w:type="dxa"/>
            <w:vAlign w:val="bottom"/>
            <w:tcBorders>
              <w:right w:val="single" w:sz="8" w:color="FF0000"/>
            </w:tcBorders>
            <w:gridSpan w:val="2"/>
            <w:shd w:val="clear" w:color="auto" w:fill="FF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r>
      <w:tr>
        <w:trPr>
          <w:trHeight w:val="203"/>
        </w:trPr>
        <w:tc>
          <w:tcPr>
            <w:tcW w:w="1280" w:type="dxa"/>
            <w:vAlign w:val="bottom"/>
            <w:gridSpan w:val="2"/>
          </w:tcPr>
          <w:p>
            <w:pPr>
              <w:spacing w:after="0"/>
              <w:rPr>
                <w:sz w:val="17"/>
                <w:szCs w:val="17"/>
                <w:color w:val="auto"/>
              </w:rPr>
            </w:pPr>
          </w:p>
        </w:tc>
        <w:tc>
          <w:tcPr>
            <w:tcW w:w="320" w:type="dxa"/>
            <w:vAlign w:val="bottom"/>
            <w:gridSpan w:val="3"/>
          </w:tcPr>
          <w:p>
            <w:pPr>
              <w:spacing w:after="0"/>
              <w:rPr>
                <w:sz w:val="20"/>
                <w:szCs w:val="20"/>
                <w:color w:val="auto"/>
              </w:rPr>
            </w:pPr>
            <w:r>
              <w:rPr>
                <w:rFonts w:ascii="Arial" w:cs="Arial" w:eastAsia="Arial" w:hAnsi="Arial"/>
                <w:sz w:val="17"/>
                <w:szCs w:val="17"/>
                <w:color w:val="FF0000"/>
                <w:strike w:val="1"/>
                <w:w w:val="84"/>
              </w:rPr>
              <w:t>9.</w:t>
            </w:r>
            <w:r>
              <w:rPr>
                <w:rFonts w:ascii="Arial" w:cs="Arial" w:eastAsia="Arial" w:hAnsi="Arial"/>
                <w:sz w:val="17"/>
                <w:szCs w:val="17"/>
                <w:u w:val="single" w:color="auto"/>
                <w:color w:val="FF0000"/>
                <w:strike w:val="1"/>
                <w:w w:val="84"/>
              </w:rPr>
              <w:t>11</w:t>
            </w:r>
          </w:p>
        </w:tc>
        <w:tc>
          <w:tcPr>
            <w:tcW w:w="520" w:type="dxa"/>
            <w:vAlign w:val="bottom"/>
            <w:gridSpan w:val="3"/>
          </w:tcPr>
          <w:p>
            <w:pPr>
              <w:jc w:val="right"/>
              <w:ind w:right="200"/>
              <w:spacing w:after="0"/>
              <w:rPr>
                <w:sz w:val="20"/>
                <w:szCs w:val="20"/>
                <w:color w:val="auto"/>
              </w:rPr>
            </w:pPr>
            <w:r>
              <w:rPr>
                <w:rFonts w:ascii="Arial" w:cs="Arial" w:eastAsia="Arial" w:hAnsi="Arial"/>
                <w:sz w:val="17"/>
                <w:szCs w:val="17"/>
                <w:color w:val="0000FF"/>
                <w:w w:val="90"/>
              </w:rPr>
              <w:t>9.12</w:t>
            </w:r>
          </w:p>
        </w:tc>
        <w:tc>
          <w:tcPr>
            <w:tcW w:w="6980" w:type="dxa"/>
            <w:vAlign w:val="bottom"/>
            <w:gridSpan w:val="30"/>
          </w:tcPr>
          <w:p>
            <w:pPr>
              <w:spacing w:after="0"/>
              <w:rPr>
                <w:sz w:val="20"/>
                <w:szCs w:val="20"/>
                <w:color w:val="auto"/>
              </w:rPr>
            </w:pPr>
            <w:r>
              <w:rPr>
                <w:rFonts w:ascii="Arial" w:cs="Arial" w:eastAsia="Arial" w:hAnsi="Arial"/>
                <w:sz w:val="17"/>
                <w:szCs w:val="17"/>
                <w:color w:val="0000EE"/>
              </w:rPr>
              <w:t>Amendments to resolutions</w:t>
            </w:r>
          </w:p>
        </w:tc>
        <w:tc>
          <w:tcPr>
            <w:tcW w:w="260" w:type="dxa"/>
            <w:vAlign w:val="bottom"/>
            <w:gridSpan w:val="2"/>
          </w:tcPr>
          <w:p>
            <w:pPr>
              <w:spacing w:after="0"/>
              <w:rPr>
                <w:sz w:val="20"/>
                <w:szCs w:val="20"/>
                <w:color w:val="auto"/>
              </w:rPr>
            </w:pPr>
            <w:r>
              <w:rPr>
                <w:rFonts w:ascii="Arial" w:cs="Arial" w:eastAsia="Arial" w:hAnsi="Arial"/>
                <w:sz w:val="17"/>
                <w:szCs w:val="17"/>
                <w:color w:val="FF0000"/>
                <w:strike w:val="1"/>
              </w:rPr>
              <w:t>19</w:t>
            </w:r>
          </w:p>
        </w:tc>
        <w:tc>
          <w:tcPr>
            <w:tcW w:w="1320" w:type="dxa"/>
            <w:vAlign w:val="bottom"/>
            <w:gridSpan w:val="2"/>
          </w:tcPr>
          <w:p>
            <w:pPr>
              <w:spacing w:after="0"/>
              <w:rPr>
                <w:sz w:val="20"/>
                <w:szCs w:val="20"/>
                <w:color w:val="auto"/>
              </w:rPr>
            </w:pPr>
            <w:r>
              <w:rPr>
                <w:rFonts w:ascii="Arial" w:cs="Arial" w:eastAsia="Arial" w:hAnsi="Arial"/>
                <w:sz w:val="17"/>
                <w:szCs w:val="17"/>
                <w:color w:val="0000FF"/>
              </w:rPr>
              <w:t>22</w:t>
            </w:r>
          </w:p>
        </w:tc>
      </w:tr>
      <w:tr>
        <w:trPr>
          <w:trHeight w:val="235"/>
        </w:trPr>
        <w:tc>
          <w:tcPr>
            <w:tcW w:w="1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top w:val="single" w:sz="8" w:color="FF0000"/>
              <w:bottom w:val="single" w:sz="8" w:color="auto"/>
            </w:tcBorders>
          </w:tcPr>
          <w:p>
            <w:pPr>
              <w:spacing w:after="0"/>
              <w:rPr>
                <w:sz w:val="20"/>
                <w:szCs w:val="20"/>
                <w:color w:val="auto"/>
              </w:rPr>
            </w:pPr>
          </w:p>
        </w:tc>
        <w:tc>
          <w:tcPr>
            <w:tcW w:w="140" w:type="dxa"/>
            <w:vAlign w:val="bottom"/>
            <w:tcBorders>
              <w:top w:val="single" w:sz="8" w:color="FF0000"/>
              <w:bottom w:val="single" w:sz="8" w:color="auto"/>
            </w:tcBorders>
          </w:tcPr>
          <w:p>
            <w:pPr>
              <w:spacing w:after="0"/>
              <w:rPr>
                <w:sz w:val="20"/>
                <w:szCs w:val="20"/>
                <w:color w:val="auto"/>
              </w:rPr>
            </w:pPr>
          </w:p>
        </w:tc>
        <w:tc>
          <w:tcPr>
            <w:tcW w:w="100" w:type="dxa"/>
            <w:vAlign w:val="bottom"/>
            <w:tcBorders>
              <w:top w:val="single" w:sz="8" w:color="FF0000"/>
              <w:bottom w:val="single" w:sz="8" w:color="auto"/>
            </w:tcBorders>
          </w:tcPr>
          <w:p>
            <w:pPr>
              <w:spacing w:after="0"/>
              <w:rPr>
                <w:sz w:val="20"/>
                <w:szCs w:val="20"/>
                <w:color w:val="auto"/>
              </w:rPr>
            </w:pPr>
          </w:p>
        </w:tc>
        <w:tc>
          <w:tcPr>
            <w:tcW w:w="140" w:type="dxa"/>
            <w:vAlign w:val="bottom"/>
            <w:tcBorders>
              <w:top w:val="single" w:sz="8" w:color="0000FF"/>
              <w:bottom w:val="single" w:sz="8" w:color="auto"/>
            </w:tcBorders>
          </w:tcPr>
          <w:p>
            <w:pPr>
              <w:spacing w:after="0"/>
              <w:rPr>
                <w:sz w:val="20"/>
                <w:szCs w:val="20"/>
                <w:color w:val="auto"/>
              </w:rPr>
            </w:pPr>
          </w:p>
        </w:tc>
        <w:tc>
          <w:tcPr>
            <w:tcW w:w="180" w:type="dxa"/>
            <w:vAlign w:val="bottom"/>
            <w:tcBorders>
              <w:top w:val="single" w:sz="8" w:color="0000FF"/>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top w:val="single" w:sz="8" w:color="0000EE"/>
              <w:bottom w:val="single" w:sz="8" w:color="auto"/>
            </w:tcBorders>
          </w:tcPr>
          <w:p>
            <w:pPr>
              <w:spacing w:after="0"/>
              <w:rPr>
                <w:sz w:val="20"/>
                <w:szCs w:val="20"/>
                <w:color w:val="auto"/>
              </w:rPr>
            </w:pPr>
          </w:p>
        </w:tc>
        <w:tc>
          <w:tcPr>
            <w:tcW w:w="120" w:type="dxa"/>
            <w:vAlign w:val="bottom"/>
            <w:tcBorders>
              <w:top w:val="single" w:sz="8" w:color="0000EE"/>
              <w:bottom w:val="single" w:sz="8" w:color="auto"/>
            </w:tcBorders>
          </w:tcPr>
          <w:p>
            <w:pPr>
              <w:spacing w:after="0"/>
              <w:rPr>
                <w:sz w:val="20"/>
                <w:szCs w:val="20"/>
                <w:color w:val="auto"/>
              </w:rPr>
            </w:pPr>
          </w:p>
        </w:tc>
        <w:tc>
          <w:tcPr>
            <w:tcW w:w="240" w:type="dxa"/>
            <w:vAlign w:val="bottom"/>
            <w:tcBorders>
              <w:top w:val="single" w:sz="8" w:color="0000EE"/>
              <w:bottom w:val="single" w:sz="8" w:color="auto"/>
            </w:tcBorders>
          </w:tcPr>
          <w:p>
            <w:pPr>
              <w:spacing w:after="0"/>
              <w:rPr>
                <w:sz w:val="20"/>
                <w:szCs w:val="20"/>
                <w:color w:val="auto"/>
              </w:rPr>
            </w:pPr>
          </w:p>
        </w:tc>
        <w:tc>
          <w:tcPr>
            <w:tcW w:w="260" w:type="dxa"/>
            <w:vAlign w:val="bottom"/>
            <w:tcBorders>
              <w:top w:val="single" w:sz="8" w:color="0000EE"/>
              <w:bottom w:val="single" w:sz="8" w:color="auto"/>
            </w:tcBorders>
          </w:tcPr>
          <w:p>
            <w:pPr>
              <w:spacing w:after="0"/>
              <w:rPr>
                <w:sz w:val="20"/>
                <w:szCs w:val="20"/>
                <w:color w:val="auto"/>
              </w:rPr>
            </w:pPr>
          </w:p>
        </w:tc>
        <w:tc>
          <w:tcPr>
            <w:tcW w:w="80" w:type="dxa"/>
            <w:vAlign w:val="bottom"/>
            <w:tcBorders>
              <w:top w:val="single" w:sz="8" w:color="0000EE"/>
              <w:bottom w:val="single" w:sz="8" w:color="auto"/>
            </w:tcBorders>
          </w:tcPr>
          <w:p>
            <w:pPr>
              <w:spacing w:after="0"/>
              <w:rPr>
                <w:sz w:val="20"/>
                <w:szCs w:val="20"/>
                <w:color w:val="auto"/>
              </w:rPr>
            </w:pPr>
          </w:p>
        </w:tc>
        <w:tc>
          <w:tcPr>
            <w:tcW w:w="200" w:type="dxa"/>
            <w:vAlign w:val="bottom"/>
            <w:tcBorders>
              <w:top w:val="single" w:sz="8" w:color="0000EE"/>
              <w:bottom w:val="single" w:sz="8" w:color="auto"/>
            </w:tcBorders>
          </w:tcPr>
          <w:p>
            <w:pPr>
              <w:spacing w:after="0"/>
              <w:rPr>
                <w:sz w:val="20"/>
                <w:szCs w:val="20"/>
                <w:color w:val="auto"/>
              </w:rPr>
            </w:pPr>
          </w:p>
        </w:tc>
        <w:tc>
          <w:tcPr>
            <w:tcW w:w="260" w:type="dxa"/>
            <w:vAlign w:val="bottom"/>
            <w:tcBorders>
              <w:top w:val="single" w:sz="8" w:color="0000EE"/>
              <w:bottom w:val="single" w:sz="8" w:color="auto"/>
            </w:tcBorders>
          </w:tcPr>
          <w:p>
            <w:pPr>
              <w:spacing w:after="0"/>
              <w:rPr>
                <w:sz w:val="20"/>
                <w:szCs w:val="20"/>
                <w:color w:val="auto"/>
              </w:rPr>
            </w:pPr>
          </w:p>
        </w:tc>
        <w:tc>
          <w:tcPr>
            <w:tcW w:w="120" w:type="dxa"/>
            <w:vAlign w:val="bottom"/>
            <w:tcBorders>
              <w:top w:val="single" w:sz="8" w:color="0000EE"/>
              <w:bottom w:val="single" w:sz="8" w:color="auto"/>
            </w:tcBorders>
          </w:tcPr>
          <w:p>
            <w:pPr>
              <w:spacing w:after="0"/>
              <w:rPr>
                <w:sz w:val="20"/>
                <w:szCs w:val="20"/>
                <w:color w:val="auto"/>
              </w:rPr>
            </w:pPr>
          </w:p>
        </w:tc>
        <w:tc>
          <w:tcPr>
            <w:tcW w:w="100" w:type="dxa"/>
            <w:vAlign w:val="bottom"/>
            <w:tcBorders>
              <w:top w:val="single" w:sz="8" w:color="0000EE"/>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top w:val="single" w:sz="8" w:color="FF0000"/>
              <w:bottom w:val="single" w:sz="8" w:color="auto"/>
            </w:tcBorders>
          </w:tcPr>
          <w:p>
            <w:pPr>
              <w:spacing w:after="0"/>
              <w:rPr>
                <w:sz w:val="20"/>
                <w:szCs w:val="20"/>
                <w:color w:val="auto"/>
              </w:rPr>
            </w:pPr>
          </w:p>
        </w:tc>
        <w:tc>
          <w:tcPr>
            <w:tcW w:w="180" w:type="dxa"/>
            <w:vAlign w:val="bottom"/>
            <w:tcBorders>
              <w:top w:val="single" w:sz="8" w:color="FF0000"/>
              <w:bottom w:val="single" w:sz="8" w:color="auto"/>
            </w:tcBorders>
          </w:tcPr>
          <w:p>
            <w:pPr>
              <w:spacing w:after="0"/>
              <w:rPr>
                <w:sz w:val="20"/>
                <w:szCs w:val="20"/>
                <w:color w:val="auto"/>
              </w:rPr>
            </w:pPr>
          </w:p>
        </w:tc>
        <w:tc>
          <w:tcPr>
            <w:tcW w:w="100" w:type="dxa"/>
            <w:vAlign w:val="bottom"/>
            <w:tcBorders>
              <w:top w:val="single" w:sz="8" w:color="0000FF"/>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bl>
    <w:p>
      <w:pPr>
        <w:sectPr>
          <w:pgSz w:w="11900" w:h="16838" w:orient="portrait"/>
          <w:cols w:equalWidth="0" w:num="1">
            <w:col w:w="10680"/>
          </w:cols>
          <w:pgMar w:left="600" w:top="115" w:right="619" w:bottom="1440" w:gutter="0" w:footer="0" w:header="0"/>
        </w:sectPr>
      </w:pPr>
    </w:p>
    <w:bookmarkStart w:id="91" w:name="page92"/>
    <w:bookmarkEnd w:id="91"/>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112395</wp:posOffset>
            </wp:positionV>
            <wp:extent cx="615315" cy="32448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Arial" w:cs="Arial" w:eastAsia="Arial" w:hAnsi="Arial"/>
                <w:sz w:val="17"/>
                <w:szCs w:val="17"/>
                <w:color w:val="FF0000"/>
                <w:strike w:val="1"/>
                <w:w w:val="78"/>
              </w:rPr>
              <w:t>9.</w:t>
            </w:r>
            <w:r>
              <w:rPr>
                <w:rFonts w:ascii="Arial" w:cs="Arial" w:eastAsia="Arial" w:hAnsi="Arial"/>
                <w:sz w:val="17"/>
                <w:szCs w:val="17"/>
                <w:u w:val="single" w:color="auto"/>
                <w:color w:val="FF0000"/>
                <w:strike w:val="1"/>
                <w:w w:val="78"/>
              </w:rPr>
              <w:t>12</w:t>
            </w:r>
          </w:p>
        </w:tc>
        <w:tc>
          <w:tcPr>
            <w:tcW w:w="360" w:type="dxa"/>
            <w:vAlign w:val="bottom"/>
            <w:gridSpan w:val="2"/>
          </w:tcPr>
          <w:p>
            <w:pPr>
              <w:jc w:val="right"/>
              <w:spacing w:after="0"/>
              <w:rPr>
                <w:sz w:val="20"/>
                <w:szCs w:val="20"/>
                <w:color w:val="auto"/>
              </w:rPr>
            </w:pPr>
            <w:r>
              <w:rPr>
                <w:rFonts w:ascii="Arial" w:cs="Arial" w:eastAsia="Arial" w:hAnsi="Arial"/>
                <w:sz w:val="17"/>
                <w:szCs w:val="17"/>
                <w:color w:val="0000FF"/>
              </w:rPr>
              <w:t>9.13</w:t>
            </w:r>
          </w:p>
        </w:tc>
        <w:tc>
          <w:tcPr>
            <w:tcW w:w="100" w:type="dxa"/>
            <w:vAlign w:val="bottom"/>
          </w:tcPr>
          <w:p>
            <w:pPr>
              <w:spacing w:after="0"/>
              <w:rPr>
                <w:sz w:val="16"/>
                <w:szCs w:val="16"/>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color w:val="0000EE"/>
              </w:rPr>
              <w:t>Adjournment of general meeting</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19</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22</w:t>
            </w:r>
          </w:p>
        </w:tc>
      </w:tr>
      <w:tr>
        <w:trPr>
          <w:trHeight w:val="20"/>
        </w:trPr>
        <w:tc>
          <w:tcPr>
            <w:tcW w:w="1280" w:type="dxa"/>
            <w:vAlign w:val="bottom"/>
            <w:gridSpan w:val="2"/>
          </w:tcPr>
          <w:p>
            <w:pPr>
              <w:spacing w:after="0" w:line="20" w:lineRule="exact"/>
              <w:rPr>
                <w:sz w:val="1"/>
                <w:szCs w:val="1"/>
                <w:color w:val="auto"/>
              </w:rPr>
            </w:pPr>
          </w:p>
        </w:tc>
        <w:tc>
          <w:tcPr>
            <w:tcW w:w="160" w:type="dxa"/>
            <w:vAlign w:val="bottom"/>
            <w:shd w:val="clear" w:color="auto" w:fill="FF0000"/>
          </w:tcPr>
          <w:p>
            <w:pPr>
              <w:spacing w:after="0" w:line="20" w:lineRule="exact"/>
              <w:rPr>
                <w:sz w:val="1"/>
                <w:szCs w:val="1"/>
                <w:color w:val="auto"/>
              </w:rPr>
            </w:pPr>
          </w:p>
        </w:tc>
        <w:tc>
          <w:tcPr>
            <w:tcW w:w="140" w:type="dxa"/>
            <w:vAlign w:val="bottom"/>
            <w:tcBorders>
              <w:left w:val="single" w:sz="8" w:color="FF0000"/>
            </w:tcBorders>
            <w:shd w:val="clear" w:color="auto" w:fill="FF0000"/>
          </w:tcPr>
          <w:p>
            <w:pPr>
              <w:spacing w:after="0" w:line="20" w:lineRule="exact"/>
              <w:rPr>
                <w:sz w:val="1"/>
                <w:szCs w:val="1"/>
                <w:color w:val="auto"/>
              </w:rPr>
            </w:pPr>
          </w:p>
        </w:tc>
        <w:tc>
          <w:tcPr>
            <w:tcW w:w="80" w:type="dxa"/>
            <w:vAlign w:val="bottom"/>
            <w:tcBorders>
              <w:left w:val="single" w:sz="8" w:color="FF0000"/>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gridSpan w:val="2"/>
          </w:tcPr>
          <w:p>
            <w:pPr>
              <w:spacing w:after="0"/>
              <w:rPr>
                <w:sz w:val="20"/>
                <w:szCs w:val="20"/>
                <w:color w:val="auto"/>
              </w:rPr>
            </w:pPr>
            <w:r>
              <w:rPr>
                <w:rFonts w:ascii="Arial" w:cs="Arial" w:eastAsia="Arial" w:hAnsi="Arial"/>
                <w:sz w:val="17"/>
                <w:szCs w:val="17"/>
                <w:color w:val="FF0000"/>
                <w:strike w:val="1"/>
                <w:w w:val="78"/>
              </w:rPr>
              <w:t>9.</w:t>
            </w:r>
            <w:r>
              <w:rPr>
                <w:rFonts w:ascii="Arial" w:cs="Arial" w:eastAsia="Arial" w:hAnsi="Arial"/>
                <w:sz w:val="17"/>
                <w:szCs w:val="17"/>
                <w:u w:val="single" w:color="auto"/>
                <w:color w:val="FF0000"/>
                <w:strike w:val="1"/>
                <w:w w:val="78"/>
              </w:rPr>
              <w:t>13</w:t>
            </w:r>
          </w:p>
        </w:tc>
        <w:tc>
          <w:tcPr>
            <w:tcW w:w="360" w:type="dxa"/>
            <w:vAlign w:val="bottom"/>
            <w:gridSpan w:val="2"/>
          </w:tcPr>
          <w:p>
            <w:pPr>
              <w:jc w:val="right"/>
              <w:spacing w:after="0"/>
              <w:rPr>
                <w:sz w:val="20"/>
                <w:szCs w:val="20"/>
                <w:color w:val="auto"/>
              </w:rPr>
            </w:pPr>
            <w:r>
              <w:rPr>
                <w:rFonts w:ascii="Arial" w:cs="Arial" w:eastAsia="Arial" w:hAnsi="Arial"/>
                <w:sz w:val="17"/>
                <w:szCs w:val="17"/>
                <w:color w:val="0000FF"/>
              </w:rPr>
              <w:t>9.14</w:t>
            </w: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color w:val="0000EE"/>
              </w:rPr>
              <w:t>Business of adjourned meeting</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19</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23</w:t>
            </w:r>
          </w:p>
        </w:tc>
      </w:tr>
      <w:tr>
        <w:trPr>
          <w:trHeight w:val="20"/>
        </w:trPr>
        <w:tc>
          <w:tcPr>
            <w:tcW w:w="1280" w:type="dxa"/>
            <w:vAlign w:val="bottom"/>
            <w:gridSpan w:val="2"/>
          </w:tcPr>
          <w:p>
            <w:pPr>
              <w:spacing w:after="0" w:line="20" w:lineRule="exact"/>
              <w:rPr>
                <w:sz w:val="1"/>
                <w:szCs w:val="1"/>
                <w:color w:val="auto"/>
              </w:rPr>
            </w:pPr>
          </w:p>
        </w:tc>
        <w:tc>
          <w:tcPr>
            <w:tcW w:w="160" w:type="dxa"/>
            <w:vAlign w:val="bottom"/>
            <w:shd w:val="clear" w:color="auto" w:fill="FF0000"/>
          </w:tcPr>
          <w:p>
            <w:pPr>
              <w:spacing w:after="0" w:line="20" w:lineRule="exact"/>
              <w:rPr>
                <w:sz w:val="1"/>
                <w:szCs w:val="1"/>
                <w:color w:val="auto"/>
              </w:rPr>
            </w:pPr>
          </w:p>
        </w:tc>
        <w:tc>
          <w:tcPr>
            <w:tcW w:w="140" w:type="dxa"/>
            <w:vAlign w:val="bottom"/>
            <w:tcBorders>
              <w:left w:val="single" w:sz="8" w:color="FF0000"/>
            </w:tcBorders>
            <w:shd w:val="clear" w:color="auto" w:fill="FF0000"/>
          </w:tcPr>
          <w:p>
            <w:pPr>
              <w:spacing w:after="0" w:line="20" w:lineRule="exact"/>
              <w:rPr>
                <w:sz w:val="1"/>
                <w:szCs w:val="1"/>
                <w:color w:val="auto"/>
              </w:rPr>
            </w:pPr>
          </w:p>
        </w:tc>
        <w:tc>
          <w:tcPr>
            <w:tcW w:w="80" w:type="dxa"/>
            <w:vAlign w:val="bottom"/>
            <w:tcBorders>
              <w:left w:val="single" w:sz="8" w:color="FF0000"/>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gridSpan w:val="2"/>
          </w:tcPr>
          <w:p>
            <w:pPr>
              <w:spacing w:after="0"/>
              <w:rPr>
                <w:sz w:val="20"/>
                <w:szCs w:val="20"/>
                <w:color w:val="auto"/>
              </w:rPr>
            </w:pPr>
            <w:r>
              <w:rPr>
                <w:rFonts w:ascii="Arial" w:cs="Arial" w:eastAsia="Arial" w:hAnsi="Arial"/>
                <w:sz w:val="17"/>
                <w:szCs w:val="17"/>
                <w:color w:val="FF0000"/>
                <w:strike w:val="1"/>
                <w:w w:val="78"/>
              </w:rPr>
              <w:t>9.</w:t>
            </w:r>
            <w:r>
              <w:rPr>
                <w:rFonts w:ascii="Arial" w:cs="Arial" w:eastAsia="Arial" w:hAnsi="Arial"/>
                <w:sz w:val="17"/>
                <w:szCs w:val="17"/>
                <w:u w:val="single" w:color="auto"/>
                <w:color w:val="FF0000"/>
                <w:strike w:val="1"/>
                <w:w w:val="78"/>
              </w:rPr>
              <w:t>14</w:t>
            </w:r>
          </w:p>
        </w:tc>
        <w:tc>
          <w:tcPr>
            <w:tcW w:w="360" w:type="dxa"/>
            <w:vAlign w:val="bottom"/>
            <w:gridSpan w:val="2"/>
          </w:tcPr>
          <w:p>
            <w:pPr>
              <w:jc w:val="right"/>
              <w:spacing w:after="0"/>
              <w:rPr>
                <w:sz w:val="20"/>
                <w:szCs w:val="20"/>
                <w:color w:val="auto"/>
              </w:rPr>
            </w:pPr>
            <w:r>
              <w:rPr>
                <w:rFonts w:ascii="Arial" w:cs="Arial" w:eastAsia="Arial" w:hAnsi="Arial"/>
                <w:sz w:val="17"/>
                <w:szCs w:val="17"/>
                <w:color w:val="0000FF"/>
              </w:rPr>
              <w:t>9.15</w:t>
            </w: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color w:val="0000EE"/>
              </w:rPr>
              <w:t>Notice of adjourned meeting</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20</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23</w:t>
            </w:r>
          </w:p>
        </w:tc>
      </w:tr>
      <w:tr>
        <w:trPr>
          <w:trHeight w:val="20"/>
        </w:trPr>
        <w:tc>
          <w:tcPr>
            <w:tcW w:w="1280" w:type="dxa"/>
            <w:vAlign w:val="bottom"/>
            <w:gridSpan w:val="2"/>
          </w:tcPr>
          <w:p>
            <w:pPr>
              <w:spacing w:after="0" w:line="20" w:lineRule="exact"/>
              <w:rPr>
                <w:sz w:val="1"/>
                <w:szCs w:val="1"/>
                <w:color w:val="auto"/>
              </w:rPr>
            </w:pPr>
          </w:p>
        </w:tc>
        <w:tc>
          <w:tcPr>
            <w:tcW w:w="160" w:type="dxa"/>
            <w:vAlign w:val="bottom"/>
            <w:shd w:val="clear" w:color="auto" w:fill="FF0000"/>
          </w:tcPr>
          <w:p>
            <w:pPr>
              <w:spacing w:after="0" w:line="20" w:lineRule="exact"/>
              <w:rPr>
                <w:sz w:val="1"/>
                <w:szCs w:val="1"/>
                <w:color w:val="auto"/>
              </w:rPr>
            </w:pPr>
          </w:p>
        </w:tc>
        <w:tc>
          <w:tcPr>
            <w:tcW w:w="140" w:type="dxa"/>
            <w:vAlign w:val="bottom"/>
            <w:tcBorders>
              <w:left w:val="single" w:sz="8" w:color="FF0000"/>
            </w:tcBorders>
            <w:shd w:val="clear" w:color="auto" w:fill="FF0000"/>
          </w:tcPr>
          <w:p>
            <w:pPr>
              <w:spacing w:after="0" w:line="20" w:lineRule="exact"/>
              <w:rPr>
                <w:sz w:val="1"/>
                <w:szCs w:val="1"/>
                <w:color w:val="auto"/>
              </w:rPr>
            </w:pPr>
          </w:p>
        </w:tc>
        <w:tc>
          <w:tcPr>
            <w:tcW w:w="80" w:type="dxa"/>
            <w:vAlign w:val="bottom"/>
            <w:tcBorders>
              <w:left w:val="single" w:sz="8" w:color="FF0000"/>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gridSpan w:val="2"/>
          </w:tcPr>
          <w:p>
            <w:pPr>
              <w:spacing w:after="0"/>
              <w:rPr>
                <w:sz w:val="20"/>
                <w:szCs w:val="20"/>
                <w:color w:val="auto"/>
              </w:rPr>
            </w:pPr>
            <w:r>
              <w:rPr>
                <w:rFonts w:ascii="Arial" w:cs="Arial" w:eastAsia="Arial" w:hAnsi="Arial"/>
                <w:sz w:val="17"/>
                <w:szCs w:val="17"/>
                <w:color w:val="FF0000"/>
                <w:strike w:val="1"/>
                <w:w w:val="78"/>
              </w:rPr>
              <w:t>9.</w:t>
            </w:r>
            <w:r>
              <w:rPr>
                <w:rFonts w:ascii="Arial" w:cs="Arial" w:eastAsia="Arial" w:hAnsi="Arial"/>
                <w:sz w:val="17"/>
                <w:szCs w:val="17"/>
                <w:u w:val="single" w:color="auto"/>
                <w:color w:val="FF0000"/>
                <w:strike w:val="1"/>
                <w:w w:val="78"/>
              </w:rPr>
              <w:t>15</w:t>
            </w:r>
          </w:p>
        </w:tc>
        <w:tc>
          <w:tcPr>
            <w:tcW w:w="360" w:type="dxa"/>
            <w:vAlign w:val="bottom"/>
            <w:gridSpan w:val="2"/>
          </w:tcPr>
          <w:p>
            <w:pPr>
              <w:jc w:val="right"/>
              <w:spacing w:after="0"/>
              <w:rPr>
                <w:sz w:val="20"/>
                <w:szCs w:val="20"/>
                <w:color w:val="auto"/>
              </w:rPr>
            </w:pPr>
            <w:r>
              <w:rPr>
                <w:rFonts w:ascii="Arial" w:cs="Arial" w:eastAsia="Arial" w:hAnsi="Arial"/>
                <w:sz w:val="17"/>
                <w:szCs w:val="17"/>
                <w:color w:val="0000FF"/>
              </w:rPr>
              <w:t>9.16</w:t>
            </w: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color w:val="0000EE"/>
              </w:rPr>
              <w:t>Directors entitled to attend and speak at general meeting</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20</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23</w:t>
            </w:r>
          </w:p>
        </w:tc>
      </w:tr>
      <w:tr>
        <w:trPr>
          <w:trHeight w:val="20"/>
        </w:trPr>
        <w:tc>
          <w:tcPr>
            <w:tcW w:w="1280" w:type="dxa"/>
            <w:vAlign w:val="bottom"/>
            <w:gridSpan w:val="2"/>
          </w:tcPr>
          <w:p>
            <w:pPr>
              <w:spacing w:after="0" w:line="20" w:lineRule="exact"/>
              <w:rPr>
                <w:sz w:val="1"/>
                <w:szCs w:val="1"/>
                <w:color w:val="auto"/>
              </w:rPr>
            </w:pPr>
          </w:p>
        </w:tc>
        <w:tc>
          <w:tcPr>
            <w:tcW w:w="160" w:type="dxa"/>
            <w:vAlign w:val="bottom"/>
            <w:shd w:val="clear" w:color="auto" w:fill="FF0000"/>
          </w:tcPr>
          <w:p>
            <w:pPr>
              <w:spacing w:after="0" w:line="20" w:lineRule="exact"/>
              <w:rPr>
                <w:sz w:val="1"/>
                <w:szCs w:val="1"/>
                <w:color w:val="auto"/>
              </w:rPr>
            </w:pPr>
          </w:p>
        </w:tc>
        <w:tc>
          <w:tcPr>
            <w:tcW w:w="140" w:type="dxa"/>
            <w:vAlign w:val="bottom"/>
            <w:tcBorders>
              <w:left w:val="single" w:sz="8" w:color="FF0000"/>
            </w:tcBorders>
            <w:shd w:val="clear" w:color="auto" w:fill="FF0000"/>
          </w:tcPr>
          <w:p>
            <w:pPr>
              <w:spacing w:after="0" w:line="20" w:lineRule="exact"/>
              <w:rPr>
                <w:sz w:val="1"/>
                <w:szCs w:val="1"/>
                <w:color w:val="auto"/>
              </w:rPr>
            </w:pPr>
          </w:p>
        </w:tc>
        <w:tc>
          <w:tcPr>
            <w:tcW w:w="80" w:type="dxa"/>
            <w:vAlign w:val="bottom"/>
            <w:tcBorders>
              <w:left w:val="single" w:sz="8" w:color="FF0000"/>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440" w:type="dxa"/>
            <w:vAlign w:val="bottom"/>
            <w:gridSpan w:val="3"/>
          </w:tcPr>
          <w:p>
            <w:pPr>
              <w:ind w:left="1260"/>
              <w:spacing w:after="0"/>
              <w:rPr>
                <w:sz w:val="20"/>
                <w:szCs w:val="20"/>
                <w:color w:val="auto"/>
              </w:rPr>
            </w:pPr>
            <w:r>
              <w:rPr>
                <w:rFonts w:ascii="Arial" w:cs="Arial" w:eastAsia="Arial" w:hAnsi="Arial"/>
                <w:sz w:val="17"/>
                <w:szCs w:val="17"/>
                <w:b w:val="1"/>
                <w:bCs w:val="1"/>
                <w:color w:val="0000EE"/>
                <w:w w:val="73"/>
              </w:rPr>
              <w:t>10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b w:val="1"/>
                <w:bCs w:val="1"/>
                <w:color w:val="0000EE"/>
              </w:rPr>
              <w:t>VOTING AT GENERAL MEETINGS</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FF0000"/>
                <w:strike w:val="1"/>
                <w:w w:val="84"/>
              </w:rPr>
              <w:t>20</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b w:val="1"/>
                <w:bCs w:val="1"/>
                <w:color w:val="0000FF"/>
                <w:w w:val="94"/>
              </w:rPr>
              <w:t>23</w:t>
            </w: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580" w:type="dxa"/>
            <w:vAlign w:val="bottom"/>
            <w:gridSpan w:val="4"/>
          </w:tcPr>
          <w:p>
            <w:pPr>
              <w:ind w:left="1260"/>
              <w:spacing w:after="0"/>
              <w:rPr>
                <w:sz w:val="20"/>
                <w:szCs w:val="20"/>
                <w:color w:val="auto"/>
              </w:rPr>
            </w:pPr>
            <w:r>
              <w:rPr>
                <w:rFonts w:ascii="Arial" w:cs="Arial" w:eastAsia="Arial" w:hAnsi="Arial"/>
                <w:sz w:val="17"/>
                <w:szCs w:val="17"/>
                <w:color w:val="0000EE"/>
                <w:w w:val="84"/>
              </w:rPr>
              <w:t>10.</w:t>
            </w:r>
            <w:r>
              <w:rPr>
                <w:rFonts w:ascii="Arial" w:cs="Arial" w:eastAsia="Arial" w:hAnsi="Arial"/>
                <w:sz w:val="17"/>
                <w:szCs w:val="17"/>
                <w:u w:val="single" w:color="auto"/>
                <w:color w:val="0000EE"/>
                <w:w w:val="84"/>
              </w:rPr>
              <w:t>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color w:val="0000EE"/>
              </w:rPr>
              <w:t>How resolutions are decided</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20</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23</w:t>
            </w: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580" w:type="dxa"/>
            <w:vAlign w:val="bottom"/>
            <w:gridSpan w:val="4"/>
          </w:tcPr>
          <w:p>
            <w:pPr>
              <w:ind w:left="1260"/>
              <w:spacing w:after="0"/>
              <w:rPr>
                <w:sz w:val="20"/>
                <w:szCs w:val="20"/>
                <w:color w:val="auto"/>
              </w:rPr>
            </w:pPr>
            <w:r>
              <w:rPr>
                <w:rFonts w:ascii="Arial" w:cs="Arial" w:eastAsia="Arial" w:hAnsi="Arial"/>
                <w:sz w:val="17"/>
                <w:szCs w:val="17"/>
                <w:color w:val="0000EE"/>
                <w:w w:val="84"/>
              </w:rPr>
              <w:t>10.</w:t>
            </w:r>
            <w:r>
              <w:rPr>
                <w:rFonts w:ascii="Arial" w:cs="Arial" w:eastAsia="Arial" w:hAnsi="Arial"/>
                <w:sz w:val="17"/>
                <w:szCs w:val="17"/>
                <w:u w:val="single" w:color="auto"/>
                <w:color w:val="0000EE"/>
                <w:w w:val="84"/>
              </w:rPr>
              <w:t>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color w:val="0000EE"/>
              </w:rPr>
              <w:t>Method of voting</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20</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23</w:t>
            </w: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580" w:type="dxa"/>
            <w:vAlign w:val="bottom"/>
            <w:gridSpan w:val="4"/>
          </w:tcPr>
          <w:p>
            <w:pPr>
              <w:ind w:left="1260"/>
              <w:spacing w:after="0"/>
              <w:rPr>
                <w:sz w:val="20"/>
                <w:szCs w:val="20"/>
                <w:color w:val="auto"/>
              </w:rPr>
            </w:pPr>
            <w:r>
              <w:rPr>
                <w:rFonts w:ascii="Arial" w:cs="Arial" w:eastAsia="Arial" w:hAnsi="Arial"/>
                <w:sz w:val="17"/>
                <w:szCs w:val="17"/>
                <w:color w:val="0000EE"/>
                <w:w w:val="84"/>
              </w:rPr>
              <w:t>10.</w:t>
            </w:r>
            <w:r>
              <w:rPr>
                <w:rFonts w:ascii="Arial" w:cs="Arial" w:eastAsia="Arial" w:hAnsi="Arial"/>
                <w:sz w:val="17"/>
                <w:szCs w:val="17"/>
                <w:u w:val="single" w:color="auto"/>
                <w:color w:val="0000EE"/>
                <w:w w:val="84"/>
              </w:rPr>
              <w:t>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color w:val="0000EE"/>
              </w:rPr>
              <w:t>Demand for a poll</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20</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23</w:t>
            </w: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580" w:type="dxa"/>
            <w:vAlign w:val="bottom"/>
            <w:gridSpan w:val="4"/>
          </w:tcPr>
          <w:p>
            <w:pPr>
              <w:ind w:left="1260"/>
              <w:spacing w:after="0"/>
              <w:rPr>
                <w:sz w:val="20"/>
                <w:szCs w:val="20"/>
                <w:color w:val="auto"/>
              </w:rPr>
            </w:pPr>
            <w:r>
              <w:rPr>
                <w:rFonts w:ascii="Arial" w:cs="Arial" w:eastAsia="Arial" w:hAnsi="Arial"/>
                <w:sz w:val="17"/>
                <w:szCs w:val="17"/>
                <w:color w:val="0000EE"/>
                <w:w w:val="84"/>
              </w:rPr>
              <w:t>10.</w:t>
            </w:r>
            <w:r>
              <w:rPr>
                <w:rFonts w:ascii="Arial" w:cs="Arial" w:eastAsia="Arial" w:hAnsi="Arial"/>
                <w:sz w:val="17"/>
                <w:szCs w:val="17"/>
                <w:u w:val="single" w:color="auto"/>
                <w:color w:val="0000EE"/>
                <w:w w:val="84"/>
              </w:rPr>
              <w:t>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color w:val="0000EE"/>
              </w:rPr>
              <w:t>When a poll may be demanded</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20</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24</w:t>
            </w: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580" w:type="dxa"/>
            <w:vAlign w:val="bottom"/>
            <w:gridSpan w:val="4"/>
          </w:tcPr>
          <w:p>
            <w:pPr>
              <w:ind w:left="1260"/>
              <w:spacing w:after="0"/>
              <w:rPr>
                <w:sz w:val="20"/>
                <w:szCs w:val="20"/>
                <w:color w:val="auto"/>
              </w:rPr>
            </w:pPr>
            <w:r>
              <w:rPr>
                <w:rFonts w:ascii="Arial" w:cs="Arial" w:eastAsia="Arial" w:hAnsi="Arial"/>
                <w:sz w:val="17"/>
                <w:szCs w:val="17"/>
                <w:color w:val="0000EE"/>
                <w:w w:val="84"/>
              </w:rPr>
              <w:t>10.</w:t>
            </w:r>
            <w:r>
              <w:rPr>
                <w:rFonts w:ascii="Arial" w:cs="Arial" w:eastAsia="Arial" w:hAnsi="Arial"/>
                <w:sz w:val="17"/>
                <w:szCs w:val="17"/>
                <w:u w:val="single" w:color="auto"/>
                <w:color w:val="0000EE"/>
                <w:w w:val="84"/>
              </w:rPr>
              <w:t>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color w:val="0000EE"/>
              </w:rPr>
              <w:t>How a poll must be taken</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21</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24</w:t>
            </w: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580" w:type="dxa"/>
            <w:vAlign w:val="bottom"/>
            <w:gridSpan w:val="4"/>
          </w:tcPr>
          <w:p>
            <w:pPr>
              <w:ind w:left="1260"/>
              <w:spacing w:after="0"/>
              <w:rPr>
                <w:sz w:val="20"/>
                <w:szCs w:val="20"/>
                <w:color w:val="auto"/>
              </w:rPr>
            </w:pPr>
            <w:r>
              <w:rPr>
                <w:rFonts w:ascii="Arial" w:cs="Arial" w:eastAsia="Arial" w:hAnsi="Arial"/>
                <w:sz w:val="17"/>
                <w:szCs w:val="17"/>
                <w:color w:val="0000EE"/>
                <w:w w:val="84"/>
              </w:rPr>
              <w:t>10.</w:t>
            </w:r>
            <w:r>
              <w:rPr>
                <w:rFonts w:ascii="Arial" w:cs="Arial" w:eastAsia="Arial" w:hAnsi="Arial"/>
                <w:sz w:val="17"/>
                <w:szCs w:val="17"/>
                <w:u w:val="single" w:color="auto"/>
                <w:color w:val="0000EE"/>
                <w:w w:val="84"/>
              </w:rPr>
              <w:t>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color w:val="0000EE"/>
              </w:rPr>
              <w:t>Direct voting</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21</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24</w:t>
            </w: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580" w:type="dxa"/>
            <w:vAlign w:val="bottom"/>
            <w:gridSpan w:val="4"/>
          </w:tcPr>
          <w:p>
            <w:pPr>
              <w:ind w:left="1260"/>
              <w:spacing w:after="0"/>
              <w:rPr>
                <w:sz w:val="20"/>
                <w:szCs w:val="20"/>
                <w:color w:val="auto"/>
              </w:rPr>
            </w:pPr>
            <w:r>
              <w:rPr>
                <w:rFonts w:ascii="Arial" w:cs="Arial" w:eastAsia="Arial" w:hAnsi="Arial"/>
                <w:sz w:val="17"/>
                <w:szCs w:val="17"/>
                <w:color w:val="0000EE"/>
                <w:w w:val="84"/>
              </w:rPr>
              <w:t>10.</w:t>
            </w:r>
            <w:r>
              <w:rPr>
                <w:rFonts w:ascii="Arial" w:cs="Arial" w:eastAsia="Arial" w:hAnsi="Arial"/>
                <w:sz w:val="17"/>
                <w:szCs w:val="17"/>
                <w:u w:val="single" w:color="auto"/>
                <w:color w:val="0000EE"/>
                <w:w w:val="84"/>
              </w:rPr>
              <w:t>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color w:val="0000EE"/>
              </w:rPr>
              <w:t>Rights to vote</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21</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25</w:t>
            </w: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580" w:type="dxa"/>
            <w:vAlign w:val="bottom"/>
            <w:gridSpan w:val="4"/>
          </w:tcPr>
          <w:p>
            <w:pPr>
              <w:ind w:left="1260"/>
              <w:spacing w:after="0"/>
              <w:rPr>
                <w:sz w:val="20"/>
                <w:szCs w:val="20"/>
                <w:color w:val="auto"/>
              </w:rPr>
            </w:pPr>
            <w:r>
              <w:rPr>
                <w:rFonts w:ascii="Arial" w:cs="Arial" w:eastAsia="Arial" w:hAnsi="Arial"/>
                <w:sz w:val="17"/>
                <w:szCs w:val="17"/>
                <w:color w:val="0000EE"/>
                <w:w w:val="84"/>
              </w:rPr>
              <w:t>10.</w:t>
            </w:r>
            <w:r>
              <w:rPr>
                <w:rFonts w:ascii="Arial" w:cs="Arial" w:eastAsia="Arial" w:hAnsi="Arial"/>
                <w:sz w:val="17"/>
                <w:szCs w:val="17"/>
                <w:u w:val="single" w:color="auto"/>
                <w:color w:val="0000EE"/>
                <w:w w:val="84"/>
              </w:rPr>
              <w:t>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color w:val="0000EE"/>
              </w:rPr>
              <w:t>Voting rights of holders of partly paid shares on a poll</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22</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25</w:t>
            </w: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580" w:type="dxa"/>
            <w:vAlign w:val="bottom"/>
            <w:gridSpan w:val="4"/>
          </w:tcPr>
          <w:p>
            <w:pPr>
              <w:ind w:left="1260"/>
              <w:spacing w:after="0"/>
              <w:rPr>
                <w:sz w:val="20"/>
                <w:szCs w:val="20"/>
                <w:color w:val="auto"/>
              </w:rPr>
            </w:pPr>
            <w:r>
              <w:rPr>
                <w:rFonts w:ascii="Arial" w:cs="Arial" w:eastAsia="Arial" w:hAnsi="Arial"/>
                <w:sz w:val="17"/>
                <w:szCs w:val="17"/>
                <w:color w:val="0000EE"/>
                <w:w w:val="84"/>
              </w:rPr>
              <w:t>10.</w:t>
            </w:r>
            <w:r>
              <w:rPr>
                <w:rFonts w:ascii="Arial" w:cs="Arial" w:eastAsia="Arial" w:hAnsi="Arial"/>
                <w:sz w:val="17"/>
                <w:szCs w:val="17"/>
                <w:u w:val="single" w:color="auto"/>
                <w:color w:val="0000EE"/>
                <w:w w:val="84"/>
              </w:rPr>
              <w:t>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color w:val="0000EE"/>
              </w:rPr>
              <w:t>Voting by joint holders</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22</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25</w:t>
            </w: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60" w:type="dxa"/>
            <w:vAlign w:val="bottom"/>
            <w:gridSpan w:val="5"/>
          </w:tcPr>
          <w:p>
            <w:pPr>
              <w:ind w:left="1260"/>
              <w:spacing w:after="0"/>
              <w:rPr>
                <w:sz w:val="20"/>
                <w:szCs w:val="20"/>
                <w:color w:val="auto"/>
              </w:rPr>
            </w:pPr>
            <w:r>
              <w:rPr>
                <w:rFonts w:ascii="Arial" w:cs="Arial" w:eastAsia="Arial" w:hAnsi="Arial"/>
                <w:sz w:val="17"/>
                <w:szCs w:val="17"/>
                <w:color w:val="0000EE"/>
                <w:w w:val="84"/>
              </w:rPr>
              <w:t>10.</w:t>
            </w:r>
            <w:r>
              <w:rPr>
                <w:rFonts w:ascii="Arial" w:cs="Arial" w:eastAsia="Arial" w:hAnsi="Arial"/>
                <w:sz w:val="17"/>
                <w:szCs w:val="17"/>
                <w:u w:val="single" w:color="auto"/>
                <w:color w:val="0000EE"/>
                <w:w w:val="84"/>
              </w:rPr>
              <w:t>10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color w:val="0000EE"/>
              </w:rPr>
              <w:t>Voting by member of unsound mind</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22</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26</w:t>
            </w: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60" w:type="dxa"/>
            <w:vAlign w:val="bottom"/>
            <w:gridSpan w:val="5"/>
          </w:tcPr>
          <w:p>
            <w:pPr>
              <w:ind w:left="1260"/>
              <w:spacing w:after="0"/>
              <w:rPr>
                <w:sz w:val="20"/>
                <w:szCs w:val="20"/>
                <w:color w:val="auto"/>
              </w:rPr>
            </w:pPr>
            <w:r>
              <w:rPr>
                <w:rFonts w:ascii="Arial" w:cs="Arial" w:eastAsia="Arial" w:hAnsi="Arial"/>
                <w:sz w:val="17"/>
                <w:szCs w:val="17"/>
                <w:color w:val="0000EE"/>
                <w:w w:val="84"/>
              </w:rPr>
              <w:t>10.</w:t>
            </w:r>
            <w:r>
              <w:rPr>
                <w:rFonts w:ascii="Arial" w:cs="Arial" w:eastAsia="Arial" w:hAnsi="Arial"/>
                <w:sz w:val="17"/>
                <w:szCs w:val="17"/>
                <w:u w:val="single" w:color="auto"/>
                <w:color w:val="0000EE"/>
                <w:w w:val="84"/>
              </w:rPr>
              <w:t>11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color w:val="0000EE"/>
              </w:rPr>
              <w:t>Voting by infant member</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22</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26</w:t>
            </w: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60" w:type="dxa"/>
            <w:vAlign w:val="bottom"/>
            <w:gridSpan w:val="5"/>
          </w:tcPr>
          <w:p>
            <w:pPr>
              <w:ind w:left="1260"/>
              <w:spacing w:after="0"/>
              <w:rPr>
                <w:sz w:val="20"/>
                <w:szCs w:val="20"/>
                <w:color w:val="auto"/>
              </w:rPr>
            </w:pPr>
            <w:r>
              <w:rPr>
                <w:rFonts w:ascii="Arial" w:cs="Arial" w:eastAsia="Arial" w:hAnsi="Arial"/>
                <w:sz w:val="17"/>
                <w:szCs w:val="17"/>
                <w:color w:val="0000EE"/>
                <w:w w:val="84"/>
              </w:rPr>
              <w:t>10.</w:t>
            </w:r>
            <w:r>
              <w:rPr>
                <w:rFonts w:ascii="Arial" w:cs="Arial" w:eastAsia="Arial" w:hAnsi="Arial"/>
                <w:sz w:val="17"/>
                <w:szCs w:val="17"/>
                <w:u w:val="single" w:color="auto"/>
                <w:color w:val="0000EE"/>
                <w:w w:val="84"/>
              </w:rPr>
              <w:t>12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color w:val="0000EE"/>
              </w:rPr>
              <w:t>Voting by persons entitled by transmission</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23</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26</w:t>
            </w: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60" w:type="dxa"/>
            <w:vAlign w:val="bottom"/>
            <w:gridSpan w:val="5"/>
          </w:tcPr>
          <w:p>
            <w:pPr>
              <w:ind w:left="1260"/>
              <w:spacing w:after="0"/>
              <w:rPr>
                <w:sz w:val="20"/>
                <w:szCs w:val="20"/>
                <w:color w:val="auto"/>
              </w:rPr>
            </w:pPr>
            <w:r>
              <w:rPr>
                <w:rFonts w:ascii="Arial" w:cs="Arial" w:eastAsia="Arial" w:hAnsi="Arial"/>
                <w:sz w:val="17"/>
                <w:szCs w:val="17"/>
                <w:color w:val="0000EE"/>
                <w:w w:val="84"/>
              </w:rPr>
              <w:t>10.</w:t>
            </w:r>
            <w:r>
              <w:rPr>
                <w:rFonts w:ascii="Arial" w:cs="Arial" w:eastAsia="Arial" w:hAnsi="Arial"/>
                <w:sz w:val="17"/>
                <w:szCs w:val="17"/>
                <w:u w:val="single" w:color="auto"/>
                <w:color w:val="0000EE"/>
                <w:w w:val="84"/>
              </w:rPr>
              <w:t>13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color w:val="0000EE"/>
              </w:rPr>
              <w:t>Restrictions on voting rights</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23</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26</w:t>
            </w: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60" w:type="dxa"/>
            <w:vAlign w:val="bottom"/>
            <w:gridSpan w:val="5"/>
          </w:tcPr>
          <w:p>
            <w:pPr>
              <w:ind w:left="1260"/>
              <w:spacing w:after="0"/>
              <w:rPr>
                <w:sz w:val="20"/>
                <w:szCs w:val="20"/>
                <w:color w:val="auto"/>
              </w:rPr>
            </w:pPr>
            <w:r>
              <w:rPr>
                <w:rFonts w:ascii="Arial" w:cs="Arial" w:eastAsia="Arial" w:hAnsi="Arial"/>
                <w:sz w:val="17"/>
                <w:szCs w:val="17"/>
                <w:color w:val="0000EE"/>
                <w:w w:val="84"/>
              </w:rPr>
              <w:t>10.</w:t>
            </w:r>
            <w:r>
              <w:rPr>
                <w:rFonts w:ascii="Arial" w:cs="Arial" w:eastAsia="Arial" w:hAnsi="Arial"/>
                <w:sz w:val="17"/>
                <w:szCs w:val="17"/>
                <w:u w:val="single" w:color="auto"/>
                <w:color w:val="0000EE"/>
                <w:w w:val="84"/>
              </w:rPr>
              <w:t>14</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color w:val="0000EE"/>
              </w:rPr>
              <w:t>Objection to voting qualification</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23</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26</w:t>
            </w: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440" w:type="dxa"/>
            <w:vAlign w:val="bottom"/>
            <w:gridSpan w:val="3"/>
          </w:tcPr>
          <w:p>
            <w:pPr>
              <w:ind w:left="1260"/>
              <w:spacing w:after="0"/>
              <w:rPr>
                <w:sz w:val="20"/>
                <w:szCs w:val="20"/>
                <w:color w:val="auto"/>
              </w:rPr>
            </w:pPr>
            <w:r>
              <w:rPr>
                <w:rFonts w:ascii="Arial" w:cs="Arial" w:eastAsia="Arial" w:hAnsi="Arial"/>
                <w:sz w:val="17"/>
                <w:szCs w:val="17"/>
                <w:b w:val="1"/>
                <w:bCs w:val="1"/>
                <w:color w:val="0000EE"/>
                <w:w w:val="73"/>
              </w:rPr>
              <w:t>11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b w:val="1"/>
                <w:bCs w:val="1"/>
                <w:color w:val="0000EE"/>
              </w:rPr>
              <w:t>REPRESENTATION OF MEMBERS AT GENERAL MEETINGS</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FF0000"/>
                <w:strike w:val="1"/>
                <w:w w:val="84"/>
              </w:rPr>
              <w:t>23</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b w:val="1"/>
                <w:bCs w:val="1"/>
                <w:color w:val="0000FF"/>
                <w:w w:val="94"/>
              </w:rPr>
              <w:t>27</w:t>
            </w: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580" w:type="dxa"/>
            <w:vAlign w:val="bottom"/>
            <w:gridSpan w:val="4"/>
          </w:tcPr>
          <w:p>
            <w:pPr>
              <w:ind w:left="1260"/>
              <w:spacing w:after="0"/>
              <w:rPr>
                <w:sz w:val="20"/>
                <w:szCs w:val="20"/>
                <w:color w:val="auto"/>
              </w:rPr>
            </w:pPr>
            <w:r>
              <w:rPr>
                <w:rFonts w:ascii="Arial" w:cs="Arial" w:eastAsia="Arial" w:hAnsi="Arial"/>
                <w:sz w:val="17"/>
                <w:szCs w:val="17"/>
                <w:color w:val="0000EE"/>
                <w:w w:val="84"/>
              </w:rPr>
              <w:t>11.</w:t>
            </w:r>
            <w:r>
              <w:rPr>
                <w:rFonts w:ascii="Arial" w:cs="Arial" w:eastAsia="Arial" w:hAnsi="Arial"/>
                <w:sz w:val="17"/>
                <w:szCs w:val="17"/>
                <w:u w:val="single" w:color="auto"/>
                <w:color w:val="0000EE"/>
                <w:w w:val="84"/>
              </w:rPr>
              <w:t>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color w:val="0000EE"/>
              </w:rPr>
              <w:t>How members may attend and vote</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23</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27</w:t>
            </w: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580" w:type="dxa"/>
            <w:vAlign w:val="bottom"/>
            <w:gridSpan w:val="4"/>
          </w:tcPr>
          <w:p>
            <w:pPr>
              <w:ind w:left="1260"/>
              <w:spacing w:after="0"/>
              <w:rPr>
                <w:sz w:val="20"/>
                <w:szCs w:val="20"/>
                <w:color w:val="auto"/>
              </w:rPr>
            </w:pPr>
            <w:r>
              <w:rPr>
                <w:rFonts w:ascii="Arial" w:cs="Arial" w:eastAsia="Arial" w:hAnsi="Arial"/>
                <w:sz w:val="17"/>
                <w:szCs w:val="17"/>
                <w:color w:val="0000EE"/>
                <w:w w:val="84"/>
              </w:rPr>
              <w:t>11.</w:t>
            </w:r>
            <w:r>
              <w:rPr>
                <w:rFonts w:ascii="Arial" w:cs="Arial" w:eastAsia="Arial" w:hAnsi="Arial"/>
                <w:sz w:val="17"/>
                <w:szCs w:val="17"/>
                <w:u w:val="single" w:color="auto"/>
                <w:color w:val="0000EE"/>
                <w:w w:val="84"/>
              </w:rPr>
              <w:t>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color w:val="0000EE"/>
              </w:rPr>
              <w:t>Corporate representatives</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23</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27</w:t>
            </w: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580" w:type="dxa"/>
            <w:vAlign w:val="bottom"/>
            <w:gridSpan w:val="4"/>
          </w:tcPr>
          <w:p>
            <w:pPr>
              <w:ind w:left="1260"/>
              <w:spacing w:after="0"/>
              <w:rPr>
                <w:sz w:val="20"/>
                <w:szCs w:val="20"/>
                <w:color w:val="auto"/>
              </w:rPr>
            </w:pPr>
            <w:r>
              <w:rPr>
                <w:rFonts w:ascii="Arial" w:cs="Arial" w:eastAsia="Arial" w:hAnsi="Arial"/>
                <w:sz w:val="17"/>
                <w:szCs w:val="17"/>
                <w:color w:val="0000EE"/>
                <w:w w:val="84"/>
              </w:rPr>
              <w:t>11.</w:t>
            </w:r>
            <w:r>
              <w:rPr>
                <w:rFonts w:ascii="Arial" w:cs="Arial" w:eastAsia="Arial" w:hAnsi="Arial"/>
                <w:sz w:val="17"/>
                <w:szCs w:val="17"/>
                <w:u w:val="single" w:color="auto"/>
                <w:color w:val="0000EE"/>
                <w:w w:val="84"/>
              </w:rPr>
              <w:t>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color w:val="0000EE"/>
              </w:rPr>
              <w:t>Form of proxy appointments</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24</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27</w:t>
            </w: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580" w:type="dxa"/>
            <w:vAlign w:val="bottom"/>
            <w:gridSpan w:val="4"/>
          </w:tcPr>
          <w:p>
            <w:pPr>
              <w:ind w:left="1260"/>
              <w:spacing w:after="0"/>
              <w:rPr>
                <w:sz w:val="20"/>
                <w:szCs w:val="20"/>
                <w:color w:val="auto"/>
              </w:rPr>
            </w:pPr>
            <w:r>
              <w:rPr>
                <w:rFonts w:ascii="Arial" w:cs="Arial" w:eastAsia="Arial" w:hAnsi="Arial"/>
                <w:sz w:val="17"/>
                <w:szCs w:val="17"/>
                <w:color w:val="0000EE"/>
                <w:w w:val="84"/>
              </w:rPr>
              <w:t>11.</w:t>
            </w:r>
            <w:r>
              <w:rPr>
                <w:rFonts w:ascii="Arial" w:cs="Arial" w:eastAsia="Arial" w:hAnsi="Arial"/>
                <w:sz w:val="17"/>
                <w:szCs w:val="17"/>
                <w:u w:val="single" w:color="auto"/>
                <w:color w:val="0000EE"/>
                <w:w w:val="84"/>
              </w:rPr>
              <w:t>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color w:val="0000EE"/>
              </w:rPr>
              <w:t>Signature or authentication of proxy appointments</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24</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27</w:t>
            </w: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580" w:type="dxa"/>
            <w:vAlign w:val="bottom"/>
            <w:gridSpan w:val="4"/>
          </w:tcPr>
          <w:p>
            <w:pPr>
              <w:ind w:left="1260"/>
              <w:spacing w:after="0"/>
              <w:rPr>
                <w:sz w:val="20"/>
                <w:szCs w:val="20"/>
                <w:color w:val="auto"/>
              </w:rPr>
            </w:pPr>
            <w:r>
              <w:rPr>
                <w:rFonts w:ascii="Arial" w:cs="Arial" w:eastAsia="Arial" w:hAnsi="Arial"/>
                <w:sz w:val="17"/>
                <w:szCs w:val="17"/>
                <w:color w:val="0000EE"/>
                <w:w w:val="84"/>
              </w:rPr>
              <w:t>11.</w:t>
            </w:r>
            <w:r>
              <w:rPr>
                <w:rFonts w:ascii="Arial" w:cs="Arial" w:eastAsia="Arial" w:hAnsi="Arial"/>
                <w:sz w:val="17"/>
                <w:szCs w:val="17"/>
                <w:u w:val="single" w:color="auto"/>
                <w:color w:val="0000EE"/>
                <w:w w:val="84"/>
              </w:rPr>
              <w:t>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color w:val="0000EE"/>
              </w:rPr>
              <w:t>Name of proxy not completed</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24</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27</w:t>
            </w: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580" w:type="dxa"/>
            <w:vAlign w:val="bottom"/>
            <w:gridSpan w:val="4"/>
          </w:tcPr>
          <w:p>
            <w:pPr>
              <w:ind w:left="1260"/>
              <w:spacing w:after="0"/>
              <w:rPr>
                <w:sz w:val="20"/>
                <w:szCs w:val="20"/>
                <w:color w:val="auto"/>
              </w:rPr>
            </w:pPr>
            <w:r>
              <w:rPr>
                <w:rFonts w:ascii="Arial" w:cs="Arial" w:eastAsia="Arial" w:hAnsi="Arial"/>
                <w:sz w:val="17"/>
                <w:szCs w:val="17"/>
                <w:color w:val="0000EE"/>
                <w:w w:val="84"/>
              </w:rPr>
              <w:t>11.</w:t>
            </w:r>
            <w:r>
              <w:rPr>
                <w:rFonts w:ascii="Arial" w:cs="Arial" w:eastAsia="Arial" w:hAnsi="Arial"/>
                <w:sz w:val="17"/>
                <w:szCs w:val="17"/>
                <w:u w:val="single" w:color="auto"/>
                <w:color w:val="0000EE"/>
                <w:w w:val="84"/>
              </w:rPr>
              <w:t>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color w:val="0000EE"/>
              </w:rPr>
              <w:t>Time for receipt of proxy appointment</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24</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28</w:t>
            </w: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580" w:type="dxa"/>
            <w:vAlign w:val="bottom"/>
            <w:gridSpan w:val="4"/>
          </w:tcPr>
          <w:p>
            <w:pPr>
              <w:ind w:left="1260"/>
              <w:spacing w:after="0"/>
              <w:rPr>
                <w:sz w:val="20"/>
                <w:szCs w:val="20"/>
                <w:color w:val="auto"/>
              </w:rPr>
            </w:pPr>
            <w:r>
              <w:rPr>
                <w:rFonts w:ascii="Arial" w:cs="Arial" w:eastAsia="Arial" w:hAnsi="Arial"/>
                <w:sz w:val="17"/>
                <w:szCs w:val="17"/>
                <w:color w:val="0000EE"/>
                <w:w w:val="84"/>
              </w:rPr>
              <w:t>11.</w:t>
            </w:r>
            <w:r>
              <w:rPr>
                <w:rFonts w:ascii="Arial" w:cs="Arial" w:eastAsia="Arial" w:hAnsi="Arial"/>
                <w:sz w:val="17"/>
                <w:szCs w:val="17"/>
                <w:u w:val="single" w:color="auto"/>
                <w:color w:val="0000EE"/>
                <w:w w:val="84"/>
              </w:rPr>
              <w:t>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color w:val="0000EE"/>
              </w:rPr>
              <w:t>Incomplete proxy appointment</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25</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28</w:t>
            </w: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580" w:type="dxa"/>
            <w:vAlign w:val="bottom"/>
            <w:gridSpan w:val="4"/>
          </w:tcPr>
          <w:p>
            <w:pPr>
              <w:ind w:left="1260"/>
              <w:spacing w:after="0"/>
              <w:rPr>
                <w:sz w:val="20"/>
                <w:szCs w:val="20"/>
                <w:color w:val="auto"/>
              </w:rPr>
            </w:pPr>
            <w:r>
              <w:rPr>
                <w:rFonts w:ascii="Arial" w:cs="Arial" w:eastAsia="Arial" w:hAnsi="Arial"/>
                <w:sz w:val="17"/>
                <w:szCs w:val="17"/>
                <w:color w:val="0000EE"/>
                <w:w w:val="84"/>
              </w:rPr>
              <w:t>11.</w:t>
            </w:r>
            <w:r>
              <w:rPr>
                <w:rFonts w:ascii="Arial" w:cs="Arial" w:eastAsia="Arial" w:hAnsi="Arial"/>
                <w:sz w:val="17"/>
                <w:szCs w:val="17"/>
                <w:u w:val="single" w:color="auto"/>
                <w:color w:val="0000EE"/>
                <w:w w:val="84"/>
              </w:rPr>
              <w:t>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color w:val="0000EE"/>
              </w:rPr>
              <w:t>Attorneys</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25</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28</w:t>
            </w: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580" w:type="dxa"/>
            <w:vAlign w:val="bottom"/>
            <w:gridSpan w:val="4"/>
          </w:tcPr>
          <w:p>
            <w:pPr>
              <w:ind w:left="1260"/>
              <w:spacing w:after="0"/>
              <w:rPr>
                <w:sz w:val="20"/>
                <w:szCs w:val="20"/>
                <w:color w:val="auto"/>
              </w:rPr>
            </w:pPr>
            <w:r>
              <w:rPr>
                <w:rFonts w:ascii="Arial" w:cs="Arial" w:eastAsia="Arial" w:hAnsi="Arial"/>
                <w:sz w:val="17"/>
                <w:szCs w:val="17"/>
                <w:color w:val="0000EE"/>
                <w:w w:val="84"/>
              </w:rPr>
              <w:t>11.</w:t>
            </w:r>
            <w:r>
              <w:rPr>
                <w:rFonts w:ascii="Arial" w:cs="Arial" w:eastAsia="Arial" w:hAnsi="Arial"/>
                <w:sz w:val="17"/>
                <w:szCs w:val="17"/>
                <w:u w:val="single" w:color="auto"/>
                <w:color w:val="0000EE"/>
                <w:w w:val="84"/>
              </w:rPr>
              <w:t>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color w:val="0000EE"/>
              </w:rPr>
              <w:t>Rights of corporate representatives, proxies and attorneys</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25</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29</w:t>
            </w: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60" w:type="dxa"/>
            <w:vAlign w:val="bottom"/>
            <w:gridSpan w:val="5"/>
          </w:tcPr>
          <w:p>
            <w:pPr>
              <w:ind w:left="1260"/>
              <w:spacing w:after="0"/>
              <w:rPr>
                <w:sz w:val="20"/>
                <w:szCs w:val="20"/>
                <w:color w:val="auto"/>
              </w:rPr>
            </w:pPr>
            <w:r>
              <w:rPr>
                <w:rFonts w:ascii="Arial" w:cs="Arial" w:eastAsia="Arial" w:hAnsi="Arial"/>
                <w:sz w:val="17"/>
                <w:szCs w:val="17"/>
                <w:color w:val="0000EE"/>
                <w:w w:val="84"/>
              </w:rPr>
              <w:t>11.</w:t>
            </w:r>
            <w:r>
              <w:rPr>
                <w:rFonts w:ascii="Arial" w:cs="Arial" w:eastAsia="Arial" w:hAnsi="Arial"/>
                <w:sz w:val="17"/>
                <w:szCs w:val="17"/>
                <w:u w:val="single" w:color="auto"/>
                <w:color w:val="0000EE"/>
                <w:w w:val="84"/>
              </w:rPr>
              <w:t>10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color w:val="0000EE"/>
              </w:rPr>
              <w:t>Validity of votes cast by proxy or attorney</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25</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29</w:t>
            </w: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60" w:type="dxa"/>
            <w:vAlign w:val="bottom"/>
            <w:gridSpan w:val="5"/>
          </w:tcPr>
          <w:p>
            <w:pPr>
              <w:ind w:left="1260"/>
              <w:spacing w:after="0"/>
              <w:rPr>
                <w:sz w:val="20"/>
                <w:szCs w:val="20"/>
                <w:color w:val="auto"/>
              </w:rPr>
            </w:pPr>
            <w:r>
              <w:rPr>
                <w:rFonts w:ascii="Arial" w:cs="Arial" w:eastAsia="Arial" w:hAnsi="Arial"/>
                <w:sz w:val="17"/>
                <w:szCs w:val="17"/>
                <w:color w:val="0000EE"/>
                <w:w w:val="84"/>
              </w:rPr>
              <w:t>11.</w:t>
            </w:r>
            <w:r>
              <w:rPr>
                <w:rFonts w:ascii="Arial" w:cs="Arial" w:eastAsia="Arial" w:hAnsi="Arial"/>
                <w:sz w:val="17"/>
                <w:szCs w:val="17"/>
                <w:u w:val="single" w:color="auto"/>
                <w:color w:val="0000EE"/>
                <w:w w:val="84"/>
              </w:rPr>
              <w:t>11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color w:val="0000EE"/>
              </w:rPr>
              <w:t>No right to speak or vote if appointing member present</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26</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29</w:t>
            </w: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60" w:type="dxa"/>
            <w:vAlign w:val="bottom"/>
            <w:gridSpan w:val="5"/>
          </w:tcPr>
          <w:p>
            <w:pPr>
              <w:ind w:left="1260"/>
              <w:spacing w:after="0"/>
              <w:rPr>
                <w:sz w:val="20"/>
                <w:szCs w:val="20"/>
                <w:color w:val="auto"/>
              </w:rPr>
            </w:pPr>
            <w:r>
              <w:rPr>
                <w:rFonts w:ascii="Arial" w:cs="Arial" w:eastAsia="Arial" w:hAnsi="Arial"/>
                <w:sz w:val="17"/>
                <w:szCs w:val="17"/>
                <w:color w:val="0000EE"/>
                <w:w w:val="84"/>
              </w:rPr>
              <w:t>11.</w:t>
            </w:r>
            <w:r>
              <w:rPr>
                <w:rFonts w:ascii="Arial" w:cs="Arial" w:eastAsia="Arial" w:hAnsi="Arial"/>
                <w:sz w:val="17"/>
                <w:szCs w:val="17"/>
                <w:u w:val="single" w:color="auto"/>
                <w:color w:val="0000EE"/>
                <w:w w:val="84"/>
              </w:rPr>
              <w:t>12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color w:val="0000EE"/>
              </w:rPr>
              <w:t>Rights where 2 proxies or attorneys are appointed</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26</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29</w:t>
            </w: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60" w:type="dxa"/>
            <w:vAlign w:val="bottom"/>
            <w:gridSpan w:val="5"/>
          </w:tcPr>
          <w:p>
            <w:pPr>
              <w:ind w:left="1260"/>
              <w:spacing w:after="0"/>
              <w:rPr>
                <w:sz w:val="20"/>
                <w:szCs w:val="20"/>
                <w:color w:val="auto"/>
              </w:rPr>
            </w:pPr>
            <w:r>
              <w:rPr>
                <w:rFonts w:ascii="Arial" w:cs="Arial" w:eastAsia="Arial" w:hAnsi="Arial"/>
                <w:sz w:val="17"/>
                <w:szCs w:val="17"/>
                <w:color w:val="0000EE"/>
                <w:w w:val="84"/>
              </w:rPr>
              <w:t>11.</w:t>
            </w:r>
            <w:r>
              <w:rPr>
                <w:rFonts w:ascii="Arial" w:cs="Arial" w:eastAsia="Arial" w:hAnsi="Arial"/>
                <w:sz w:val="17"/>
                <w:szCs w:val="17"/>
                <w:u w:val="single" w:color="auto"/>
                <w:color w:val="0000EE"/>
                <w:w w:val="84"/>
              </w:rPr>
              <w:t>13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color w:val="0000EE"/>
              </w:rPr>
              <w:t>More than one corporate representative present</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26</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30</w:t>
            </w: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60" w:type="dxa"/>
            <w:vAlign w:val="bottom"/>
            <w:gridSpan w:val="8"/>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60" w:type="dxa"/>
            <w:vAlign w:val="bottom"/>
            <w:gridSpan w:val="5"/>
          </w:tcPr>
          <w:p>
            <w:pPr>
              <w:ind w:left="1260"/>
              <w:spacing w:after="0"/>
              <w:rPr>
                <w:sz w:val="20"/>
                <w:szCs w:val="20"/>
                <w:color w:val="auto"/>
              </w:rPr>
            </w:pPr>
            <w:r>
              <w:rPr>
                <w:rFonts w:ascii="Arial" w:cs="Arial" w:eastAsia="Arial" w:hAnsi="Arial"/>
                <w:sz w:val="17"/>
                <w:szCs w:val="17"/>
                <w:color w:val="0000EE"/>
                <w:w w:val="84"/>
              </w:rPr>
              <w:t>11.</w:t>
            </w:r>
            <w:r>
              <w:rPr>
                <w:rFonts w:ascii="Arial" w:cs="Arial" w:eastAsia="Arial" w:hAnsi="Arial"/>
                <w:sz w:val="17"/>
                <w:szCs w:val="17"/>
                <w:u w:val="single" w:color="auto"/>
                <w:color w:val="0000EE"/>
                <w:w w:val="84"/>
              </w:rPr>
              <w:t>14</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color w:val="0000EE"/>
              </w:rPr>
              <w:t>More than two proxies or attorneys appointed</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26</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30</w:t>
            </w: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1660" w:type="dxa"/>
            <w:vAlign w:val="bottom"/>
            <w:gridSpan w:val="9"/>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60" w:type="dxa"/>
            <w:vAlign w:val="bottom"/>
            <w:gridSpan w:val="5"/>
          </w:tcPr>
          <w:p>
            <w:pPr>
              <w:ind w:left="1260"/>
              <w:spacing w:after="0"/>
              <w:rPr>
                <w:sz w:val="20"/>
                <w:szCs w:val="20"/>
                <w:color w:val="auto"/>
              </w:rPr>
            </w:pPr>
            <w:r>
              <w:rPr>
                <w:rFonts w:ascii="Arial" w:cs="Arial" w:eastAsia="Arial" w:hAnsi="Arial"/>
                <w:sz w:val="17"/>
                <w:szCs w:val="17"/>
                <w:color w:val="0000EE"/>
                <w:w w:val="84"/>
              </w:rPr>
              <w:t>11.</w:t>
            </w:r>
            <w:r>
              <w:rPr>
                <w:rFonts w:ascii="Arial" w:cs="Arial" w:eastAsia="Arial" w:hAnsi="Arial"/>
                <w:sz w:val="17"/>
                <w:szCs w:val="17"/>
                <w:u w:val="single" w:color="auto"/>
                <w:color w:val="0000EE"/>
                <w:w w:val="84"/>
              </w:rPr>
              <w:t>15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color w:val="0000EE"/>
              </w:rPr>
              <w:t>Identity of person acting as corporate representative, proxy or attorney</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26</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30</w:t>
            </w: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320" w:type="dxa"/>
            <w:vAlign w:val="bottom"/>
            <w:tcBorders>
              <w:left w:val="single" w:sz="8" w:color="0000EE"/>
            </w:tcBorders>
            <w:gridSpan w:val="1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440" w:type="dxa"/>
            <w:vAlign w:val="bottom"/>
            <w:gridSpan w:val="3"/>
          </w:tcPr>
          <w:p>
            <w:pPr>
              <w:ind w:left="1260"/>
              <w:spacing w:after="0"/>
              <w:rPr>
                <w:sz w:val="20"/>
                <w:szCs w:val="20"/>
                <w:color w:val="auto"/>
              </w:rPr>
            </w:pPr>
            <w:r>
              <w:rPr>
                <w:rFonts w:ascii="Arial" w:cs="Arial" w:eastAsia="Arial" w:hAnsi="Arial"/>
                <w:sz w:val="17"/>
                <w:szCs w:val="17"/>
                <w:b w:val="1"/>
                <w:bCs w:val="1"/>
                <w:color w:val="0000EE"/>
                <w:w w:val="73"/>
              </w:rPr>
              <w:t>12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b w:val="1"/>
                <w:bCs w:val="1"/>
                <w:color w:val="0000EE"/>
              </w:rPr>
              <w:t>SHARE CAPITAL</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FF0000"/>
                <w:strike w:val="1"/>
                <w:w w:val="84"/>
              </w:rPr>
              <w:t>27</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b w:val="1"/>
                <w:bCs w:val="1"/>
                <w:color w:val="0000FF"/>
                <w:w w:val="94"/>
              </w:rPr>
              <w:t>30</w:t>
            </w: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gridSpan w:val="1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580" w:type="dxa"/>
            <w:vAlign w:val="bottom"/>
            <w:gridSpan w:val="4"/>
          </w:tcPr>
          <w:p>
            <w:pPr>
              <w:ind w:left="1260"/>
              <w:spacing w:after="0"/>
              <w:rPr>
                <w:sz w:val="20"/>
                <w:szCs w:val="20"/>
                <w:color w:val="auto"/>
              </w:rPr>
            </w:pPr>
            <w:r>
              <w:rPr>
                <w:rFonts w:ascii="Arial" w:cs="Arial" w:eastAsia="Arial" w:hAnsi="Arial"/>
                <w:sz w:val="17"/>
                <w:szCs w:val="17"/>
                <w:color w:val="0000EE"/>
                <w:w w:val="84"/>
              </w:rPr>
              <w:t>12.</w:t>
            </w:r>
            <w:r>
              <w:rPr>
                <w:rFonts w:ascii="Arial" w:cs="Arial" w:eastAsia="Arial" w:hAnsi="Arial"/>
                <w:sz w:val="17"/>
                <w:szCs w:val="17"/>
                <w:u w:val="single" w:color="auto"/>
                <w:color w:val="0000EE"/>
                <w:w w:val="84"/>
              </w:rPr>
              <w:t>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color w:val="0000EE"/>
              </w:rPr>
              <w:t>Power of board to issue shares</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27</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30</w:t>
            </w: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7"/>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40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gridSpan w:val="1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580" w:type="dxa"/>
            <w:vAlign w:val="bottom"/>
            <w:gridSpan w:val="4"/>
          </w:tcPr>
          <w:p>
            <w:pPr>
              <w:ind w:left="1260"/>
              <w:spacing w:after="0"/>
              <w:rPr>
                <w:sz w:val="20"/>
                <w:szCs w:val="20"/>
                <w:color w:val="auto"/>
              </w:rPr>
            </w:pPr>
            <w:r>
              <w:rPr>
                <w:rFonts w:ascii="Arial" w:cs="Arial" w:eastAsia="Arial" w:hAnsi="Arial"/>
                <w:sz w:val="17"/>
                <w:szCs w:val="17"/>
                <w:color w:val="0000EE"/>
                <w:w w:val="84"/>
              </w:rPr>
              <w:t>12.</w:t>
            </w:r>
            <w:r>
              <w:rPr>
                <w:rFonts w:ascii="Arial" w:cs="Arial" w:eastAsia="Arial" w:hAnsi="Arial"/>
                <w:sz w:val="17"/>
                <w:szCs w:val="17"/>
                <w:u w:val="single" w:color="auto"/>
                <w:color w:val="0000EE"/>
                <w:w w:val="84"/>
              </w:rPr>
              <w:t>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color w:val="0000EE"/>
              </w:rPr>
              <w:t>Alteration of share capital</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27</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30</w:t>
            </w: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7"/>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gridSpan w:val="1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580" w:type="dxa"/>
            <w:vAlign w:val="bottom"/>
            <w:gridSpan w:val="4"/>
          </w:tcPr>
          <w:p>
            <w:pPr>
              <w:ind w:left="1260"/>
              <w:spacing w:after="0"/>
              <w:rPr>
                <w:sz w:val="20"/>
                <w:szCs w:val="20"/>
                <w:color w:val="auto"/>
              </w:rPr>
            </w:pPr>
            <w:r>
              <w:rPr>
                <w:rFonts w:ascii="Arial" w:cs="Arial" w:eastAsia="Arial" w:hAnsi="Arial"/>
                <w:sz w:val="17"/>
                <w:szCs w:val="17"/>
                <w:color w:val="0000EE"/>
                <w:w w:val="84"/>
              </w:rPr>
              <w:t>12.</w:t>
            </w:r>
            <w:r>
              <w:rPr>
                <w:rFonts w:ascii="Arial" w:cs="Arial" w:eastAsia="Arial" w:hAnsi="Arial"/>
                <w:sz w:val="17"/>
                <w:szCs w:val="17"/>
                <w:u w:val="single" w:color="auto"/>
                <w:color w:val="0000EE"/>
                <w:w w:val="84"/>
              </w:rPr>
              <w:t>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color w:val="0000EE"/>
              </w:rPr>
              <w:t>Fractions of shares</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27</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31</w:t>
            </w: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7"/>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gridSpan w:val="1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580" w:type="dxa"/>
            <w:vAlign w:val="bottom"/>
            <w:gridSpan w:val="4"/>
          </w:tcPr>
          <w:p>
            <w:pPr>
              <w:ind w:left="1260"/>
              <w:spacing w:after="0"/>
              <w:rPr>
                <w:sz w:val="20"/>
                <w:szCs w:val="20"/>
                <w:color w:val="auto"/>
              </w:rPr>
            </w:pPr>
            <w:r>
              <w:rPr>
                <w:rFonts w:ascii="Arial" w:cs="Arial" w:eastAsia="Arial" w:hAnsi="Arial"/>
                <w:sz w:val="17"/>
                <w:szCs w:val="17"/>
                <w:color w:val="0000EE"/>
                <w:w w:val="84"/>
              </w:rPr>
              <w:t>12.</w:t>
            </w:r>
            <w:r>
              <w:rPr>
                <w:rFonts w:ascii="Arial" w:cs="Arial" w:eastAsia="Arial" w:hAnsi="Arial"/>
                <w:sz w:val="17"/>
                <w:szCs w:val="17"/>
                <w:u w:val="single" w:color="auto"/>
                <w:color w:val="0000EE"/>
                <w:w w:val="84"/>
              </w:rPr>
              <w:t>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color w:val="0000EE"/>
              </w:rPr>
              <w:t>Redeemable shares</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27</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31</w:t>
            </w: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7"/>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gridSpan w:val="1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580" w:type="dxa"/>
            <w:vAlign w:val="bottom"/>
            <w:gridSpan w:val="4"/>
          </w:tcPr>
          <w:p>
            <w:pPr>
              <w:ind w:left="1260"/>
              <w:spacing w:after="0"/>
              <w:rPr>
                <w:sz w:val="20"/>
                <w:szCs w:val="20"/>
                <w:color w:val="auto"/>
              </w:rPr>
            </w:pPr>
            <w:r>
              <w:rPr>
                <w:rFonts w:ascii="Arial" w:cs="Arial" w:eastAsia="Arial" w:hAnsi="Arial"/>
                <w:sz w:val="17"/>
                <w:szCs w:val="17"/>
                <w:color w:val="0000EE"/>
                <w:w w:val="84"/>
              </w:rPr>
              <w:t>12.</w:t>
            </w:r>
            <w:r>
              <w:rPr>
                <w:rFonts w:ascii="Arial" w:cs="Arial" w:eastAsia="Arial" w:hAnsi="Arial"/>
                <w:sz w:val="17"/>
                <w:szCs w:val="17"/>
                <w:u w:val="single" w:color="auto"/>
                <w:color w:val="0000EE"/>
                <w:w w:val="84"/>
              </w:rPr>
              <w:t>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color w:val="0000EE"/>
              </w:rPr>
              <w:t>Preference shares</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28</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31</w:t>
            </w: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7"/>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gridSpan w:val="1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580" w:type="dxa"/>
            <w:vAlign w:val="bottom"/>
            <w:gridSpan w:val="4"/>
          </w:tcPr>
          <w:p>
            <w:pPr>
              <w:ind w:left="1260"/>
              <w:spacing w:after="0"/>
              <w:rPr>
                <w:sz w:val="20"/>
                <w:szCs w:val="20"/>
                <w:color w:val="auto"/>
              </w:rPr>
            </w:pPr>
            <w:r>
              <w:rPr>
                <w:rFonts w:ascii="Arial" w:cs="Arial" w:eastAsia="Arial" w:hAnsi="Arial"/>
                <w:sz w:val="17"/>
                <w:szCs w:val="17"/>
                <w:color w:val="0000EE"/>
                <w:w w:val="84"/>
              </w:rPr>
              <w:t>12.</w:t>
            </w:r>
            <w:r>
              <w:rPr>
                <w:rFonts w:ascii="Arial" w:cs="Arial" w:eastAsia="Arial" w:hAnsi="Arial"/>
                <w:sz w:val="17"/>
                <w:szCs w:val="17"/>
                <w:u w:val="single" w:color="auto"/>
                <w:color w:val="0000EE"/>
                <w:w w:val="84"/>
              </w:rPr>
              <w:t>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color w:val="0000EE"/>
              </w:rPr>
              <w:t>Rights attaching to preference shares</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28</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31</w:t>
            </w: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gridSpan w:val="9"/>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80" w:type="dxa"/>
            <w:vAlign w:val="bottom"/>
            <w:tcBorders>
              <w:left w:val="single" w:sz="8" w:color="0000EE"/>
            </w:tcBorders>
            <w:gridSpan w:val="6"/>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320" w:type="dxa"/>
            <w:vAlign w:val="bottom"/>
            <w:tcBorders>
              <w:left w:val="single" w:sz="8" w:color="0000EE"/>
            </w:tcBorders>
            <w:gridSpan w:val="1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580" w:type="dxa"/>
            <w:vAlign w:val="bottom"/>
            <w:gridSpan w:val="4"/>
          </w:tcPr>
          <w:p>
            <w:pPr>
              <w:ind w:left="1260"/>
              <w:spacing w:after="0"/>
              <w:rPr>
                <w:sz w:val="20"/>
                <w:szCs w:val="20"/>
                <w:color w:val="auto"/>
              </w:rPr>
            </w:pPr>
            <w:r>
              <w:rPr>
                <w:rFonts w:ascii="Arial" w:cs="Arial" w:eastAsia="Arial" w:hAnsi="Arial"/>
                <w:sz w:val="17"/>
                <w:szCs w:val="17"/>
                <w:color w:val="0000EE"/>
                <w:w w:val="84"/>
              </w:rPr>
              <w:t>12.</w:t>
            </w:r>
            <w:r>
              <w:rPr>
                <w:rFonts w:ascii="Arial" w:cs="Arial" w:eastAsia="Arial" w:hAnsi="Arial"/>
                <w:sz w:val="17"/>
                <w:szCs w:val="17"/>
                <w:u w:val="single" w:color="auto"/>
                <w:color w:val="0000EE"/>
                <w:w w:val="84"/>
              </w:rPr>
              <w:t>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color w:val="0000EE"/>
              </w:rPr>
              <w:t>Variation of class rights</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28</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31</w:t>
            </w: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gridSpan w:val="9"/>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gridSpan w:val="1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580" w:type="dxa"/>
            <w:vAlign w:val="bottom"/>
            <w:gridSpan w:val="4"/>
          </w:tcPr>
          <w:p>
            <w:pPr>
              <w:ind w:left="1260"/>
              <w:spacing w:after="0"/>
              <w:rPr>
                <w:sz w:val="20"/>
                <w:szCs w:val="20"/>
                <w:color w:val="auto"/>
              </w:rPr>
            </w:pPr>
            <w:r>
              <w:rPr>
                <w:rFonts w:ascii="Arial" w:cs="Arial" w:eastAsia="Arial" w:hAnsi="Arial"/>
                <w:sz w:val="17"/>
                <w:szCs w:val="17"/>
                <w:color w:val="0000EE"/>
                <w:w w:val="84"/>
              </w:rPr>
              <w:t>12.</w:t>
            </w:r>
            <w:r>
              <w:rPr>
                <w:rFonts w:ascii="Arial" w:cs="Arial" w:eastAsia="Arial" w:hAnsi="Arial"/>
                <w:sz w:val="17"/>
                <w:szCs w:val="17"/>
                <w:u w:val="single" w:color="auto"/>
                <w:color w:val="0000EE"/>
                <w:w w:val="84"/>
              </w:rPr>
              <w:t>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color w:val="0000EE"/>
              </w:rPr>
              <w:t>Effect of share issue on class rights</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28</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32</w:t>
            </w: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gridSpan w:val="9"/>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780" w:type="dxa"/>
            <w:vAlign w:val="bottom"/>
            <w:tcBorders>
              <w:left w:val="single" w:sz="8" w:color="0000EE"/>
            </w:tcBorders>
            <w:gridSpan w:val="6"/>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gridSpan w:val="1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580" w:type="dxa"/>
            <w:vAlign w:val="bottom"/>
            <w:gridSpan w:val="4"/>
          </w:tcPr>
          <w:p>
            <w:pPr>
              <w:ind w:left="1260"/>
              <w:spacing w:after="0"/>
              <w:rPr>
                <w:sz w:val="20"/>
                <w:szCs w:val="20"/>
                <w:color w:val="auto"/>
              </w:rPr>
            </w:pPr>
            <w:r>
              <w:rPr>
                <w:rFonts w:ascii="Arial" w:cs="Arial" w:eastAsia="Arial" w:hAnsi="Arial"/>
                <w:sz w:val="17"/>
                <w:szCs w:val="17"/>
                <w:color w:val="0000EE"/>
                <w:w w:val="84"/>
              </w:rPr>
              <w:t>12.</w:t>
            </w:r>
            <w:r>
              <w:rPr>
                <w:rFonts w:ascii="Arial" w:cs="Arial" w:eastAsia="Arial" w:hAnsi="Arial"/>
                <w:sz w:val="17"/>
                <w:szCs w:val="17"/>
                <w:u w:val="single" w:color="auto"/>
                <w:color w:val="0000EE"/>
                <w:w w:val="84"/>
              </w:rPr>
              <w:t>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color w:val="0000EE"/>
              </w:rPr>
              <w:t>Calls on shares, liens on shares, forfeiture and surrender of shares</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28</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32</w:t>
            </w: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gridSpan w:val="9"/>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880" w:type="dxa"/>
            <w:vAlign w:val="bottom"/>
            <w:tcBorders>
              <w:left w:val="single" w:sz="8" w:color="0000EE"/>
            </w:tcBorders>
            <w:gridSpan w:val="7"/>
            <w:shd w:val="clear" w:color="auto" w:fill="0000EE"/>
          </w:tcPr>
          <w:p>
            <w:pPr>
              <w:spacing w:after="0" w:line="20" w:lineRule="exact"/>
              <w:rPr>
                <w:sz w:val="1"/>
                <w:szCs w:val="1"/>
                <w:color w:val="auto"/>
              </w:rPr>
            </w:pPr>
          </w:p>
        </w:tc>
        <w:tc>
          <w:tcPr>
            <w:tcW w:w="2320" w:type="dxa"/>
            <w:vAlign w:val="bottom"/>
            <w:tcBorders>
              <w:left w:val="single" w:sz="8" w:color="0000EE"/>
            </w:tcBorders>
            <w:gridSpan w:val="12"/>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60" w:type="dxa"/>
            <w:vAlign w:val="bottom"/>
            <w:gridSpan w:val="5"/>
          </w:tcPr>
          <w:p>
            <w:pPr>
              <w:ind w:left="1260"/>
              <w:spacing w:after="0"/>
              <w:rPr>
                <w:sz w:val="20"/>
                <w:szCs w:val="20"/>
                <w:color w:val="auto"/>
              </w:rPr>
            </w:pPr>
            <w:r>
              <w:rPr>
                <w:rFonts w:ascii="Arial" w:cs="Arial" w:eastAsia="Arial" w:hAnsi="Arial"/>
                <w:sz w:val="17"/>
                <w:szCs w:val="17"/>
                <w:color w:val="0000EE"/>
                <w:w w:val="84"/>
              </w:rPr>
              <w:t>12.</w:t>
            </w:r>
            <w:r>
              <w:rPr>
                <w:rFonts w:ascii="Arial" w:cs="Arial" w:eastAsia="Arial" w:hAnsi="Arial"/>
                <w:sz w:val="17"/>
                <w:szCs w:val="17"/>
                <w:u w:val="single" w:color="auto"/>
                <w:color w:val="0000EE"/>
                <w:w w:val="84"/>
              </w:rPr>
              <w:t>10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color w:val="0000EE"/>
              </w:rPr>
              <w:t>Joint holders of shares</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29</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32</w:t>
            </w: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gridSpan w:val="9"/>
            <w:shd w:val="clear" w:color="auto" w:fill="0000EE"/>
          </w:tcPr>
          <w:p>
            <w:pPr>
              <w:spacing w:after="0" w:line="20" w:lineRule="exact"/>
              <w:rPr>
                <w:sz w:val="1"/>
                <w:szCs w:val="1"/>
                <w:color w:val="auto"/>
              </w:rPr>
            </w:pPr>
          </w:p>
        </w:tc>
        <w:tc>
          <w:tcPr>
            <w:tcW w:w="260" w:type="dxa"/>
            <w:vAlign w:val="bottom"/>
            <w:tcBorders>
              <w:left w:val="single" w:sz="8" w:color="0000EE"/>
            </w:tcBorders>
            <w:gridSpan w:val="3"/>
          </w:tcPr>
          <w:p>
            <w:pPr>
              <w:spacing w:after="0" w:line="20" w:lineRule="exact"/>
              <w:rPr>
                <w:sz w:val="1"/>
                <w:szCs w:val="1"/>
                <w:color w:val="auto"/>
              </w:rPr>
            </w:pPr>
          </w:p>
        </w:tc>
        <w:tc>
          <w:tcPr>
            <w:tcW w:w="880" w:type="dxa"/>
            <w:vAlign w:val="bottom"/>
            <w:gridSpan w:val="7"/>
          </w:tcPr>
          <w:p>
            <w:pPr>
              <w:spacing w:after="0" w:line="20" w:lineRule="exact"/>
              <w:rPr>
                <w:sz w:val="1"/>
                <w:szCs w:val="1"/>
                <w:color w:val="auto"/>
              </w:rPr>
            </w:pPr>
          </w:p>
        </w:tc>
        <w:tc>
          <w:tcPr>
            <w:tcW w:w="4120" w:type="dxa"/>
            <w:vAlign w:val="bottom"/>
            <w:gridSpan w:val="14"/>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60" w:type="dxa"/>
            <w:vAlign w:val="bottom"/>
            <w:gridSpan w:val="5"/>
          </w:tcPr>
          <w:p>
            <w:pPr>
              <w:ind w:left="1260"/>
              <w:spacing w:after="0"/>
              <w:rPr>
                <w:sz w:val="20"/>
                <w:szCs w:val="20"/>
                <w:color w:val="auto"/>
              </w:rPr>
            </w:pPr>
            <w:r>
              <w:rPr>
                <w:rFonts w:ascii="Arial" w:cs="Arial" w:eastAsia="Arial" w:hAnsi="Arial"/>
                <w:sz w:val="17"/>
                <w:szCs w:val="17"/>
                <w:color w:val="0000EE"/>
                <w:w w:val="84"/>
              </w:rPr>
              <w:t>12.</w:t>
            </w:r>
            <w:r>
              <w:rPr>
                <w:rFonts w:ascii="Arial" w:cs="Arial" w:eastAsia="Arial" w:hAnsi="Arial"/>
                <w:sz w:val="17"/>
                <w:szCs w:val="17"/>
                <w:u w:val="single" w:color="auto"/>
                <w:color w:val="0000EE"/>
                <w:w w:val="84"/>
              </w:rPr>
              <w:t>11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color w:val="0000EE"/>
              </w:rPr>
              <w:t>No recognition of third party interests</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29</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32</w:t>
            </w: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gridSpan w:val="9"/>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880" w:type="dxa"/>
            <w:vAlign w:val="bottom"/>
            <w:tcBorders>
              <w:left w:val="single" w:sz="8" w:color="0000EE"/>
            </w:tcBorders>
            <w:gridSpan w:val="7"/>
            <w:shd w:val="clear" w:color="auto" w:fill="0000EE"/>
          </w:tcPr>
          <w:p>
            <w:pPr>
              <w:spacing w:after="0" w:line="20" w:lineRule="exact"/>
              <w:rPr>
                <w:sz w:val="1"/>
                <w:szCs w:val="1"/>
                <w:color w:val="auto"/>
              </w:rPr>
            </w:pPr>
          </w:p>
        </w:tc>
        <w:tc>
          <w:tcPr>
            <w:tcW w:w="4120" w:type="dxa"/>
            <w:vAlign w:val="bottom"/>
            <w:gridSpan w:val="14"/>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60" w:type="dxa"/>
            <w:vAlign w:val="bottom"/>
            <w:gridSpan w:val="5"/>
          </w:tcPr>
          <w:p>
            <w:pPr>
              <w:ind w:left="1260"/>
              <w:spacing w:after="0"/>
              <w:rPr>
                <w:sz w:val="20"/>
                <w:szCs w:val="20"/>
                <w:color w:val="auto"/>
              </w:rPr>
            </w:pPr>
            <w:r>
              <w:rPr>
                <w:rFonts w:ascii="Arial" w:cs="Arial" w:eastAsia="Arial" w:hAnsi="Arial"/>
                <w:sz w:val="17"/>
                <w:szCs w:val="17"/>
                <w:color w:val="0000EE"/>
                <w:w w:val="84"/>
              </w:rPr>
              <w:t>12.</w:t>
            </w:r>
            <w:r>
              <w:rPr>
                <w:rFonts w:ascii="Arial" w:cs="Arial" w:eastAsia="Arial" w:hAnsi="Arial"/>
                <w:sz w:val="17"/>
                <w:szCs w:val="17"/>
                <w:u w:val="single" w:color="auto"/>
                <w:color w:val="0000EE"/>
                <w:w w:val="84"/>
              </w:rPr>
              <w:t>12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color w:val="0000EE"/>
              </w:rPr>
              <w:t>Certificates for shares</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29</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32</w:t>
            </w: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gridSpan w:val="9"/>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000" w:type="dxa"/>
            <w:vAlign w:val="bottom"/>
            <w:gridSpan w:val="21"/>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440" w:type="dxa"/>
            <w:vAlign w:val="bottom"/>
            <w:gridSpan w:val="3"/>
          </w:tcPr>
          <w:p>
            <w:pPr>
              <w:ind w:left="1260"/>
              <w:spacing w:after="0"/>
              <w:rPr>
                <w:sz w:val="20"/>
                <w:szCs w:val="20"/>
                <w:color w:val="auto"/>
              </w:rPr>
            </w:pPr>
            <w:r>
              <w:rPr>
                <w:rFonts w:ascii="Arial" w:cs="Arial" w:eastAsia="Arial" w:hAnsi="Arial"/>
                <w:sz w:val="17"/>
                <w:szCs w:val="17"/>
                <w:b w:val="1"/>
                <w:bCs w:val="1"/>
                <w:color w:val="0000EE"/>
                <w:w w:val="73"/>
              </w:rPr>
              <w:t>13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34"/>
          </w:tcPr>
          <w:p>
            <w:pPr>
              <w:ind w:left="100"/>
              <w:spacing w:after="0"/>
              <w:rPr>
                <w:sz w:val="20"/>
                <w:szCs w:val="20"/>
                <w:color w:val="auto"/>
              </w:rPr>
            </w:pPr>
            <w:r>
              <w:rPr>
                <w:rFonts w:ascii="Arial" w:cs="Arial" w:eastAsia="Arial" w:hAnsi="Arial"/>
                <w:sz w:val="17"/>
                <w:szCs w:val="17"/>
                <w:b w:val="1"/>
                <w:bCs w:val="1"/>
                <w:color w:val="0000EE"/>
              </w:rPr>
              <w:t>TRANSFER OF SHARES</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FF0000"/>
                <w:strike w:val="1"/>
                <w:w w:val="84"/>
              </w:rPr>
              <w:t>29</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b w:val="1"/>
                <w:bCs w:val="1"/>
                <w:color w:val="0000FF"/>
                <w:w w:val="94"/>
              </w:rPr>
              <w:t>33</w:t>
            </w:r>
          </w:p>
        </w:tc>
      </w:tr>
      <w:tr>
        <w:trPr>
          <w:trHeight w:val="235"/>
        </w:trPr>
        <w:tc>
          <w:tcPr>
            <w:tcW w:w="1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0000EE"/>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top w:val="single" w:sz="8" w:color="0000EE"/>
              <w:bottom w:val="single" w:sz="8" w:color="auto"/>
            </w:tcBorders>
          </w:tcPr>
          <w:p>
            <w:pPr>
              <w:spacing w:after="0"/>
              <w:rPr>
                <w:sz w:val="20"/>
                <w:szCs w:val="20"/>
                <w:color w:val="auto"/>
              </w:rPr>
            </w:pPr>
          </w:p>
        </w:tc>
        <w:tc>
          <w:tcPr>
            <w:tcW w:w="220" w:type="dxa"/>
            <w:vAlign w:val="bottom"/>
            <w:tcBorders>
              <w:top w:val="single" w:sz="8" w:color="0000EE"/>
              <w:bottom w:val="single" w:sz="8" w:color="auto"/>
            </w:tcBorders>
          </w:tcPr>
          <w:p>
            <w:pPr>
              <w:spacing w:after="0"/>
              <w:rPr>
                <w:sz w:val="20"/>
                <w:szCs w:val="20"/>
                <w:color w:val="auto"/>
              </w:rPr>
            </w:pPr>
          </w:p>
        </w:tc>
        <w:tc>
          <w:tcPr>
            <w:tcW w:w="100" w:type="dxa"/>
            <w:vAlign w:val="bottom"/>
            <w:tcBorders>
              <w:top w:val="single" w:sz="8" w:color="0000EE"/>
              <w:bottom w:val="single" w:sz="8" w:color="auto"/>
            </w:tcBorders>
          </w:tcPr>
          <w:p>
            <w:pPr>
              <w:spacing w:after="0"/>
              <w:rPr>
                <w:sz w:val="20"/>
                <w:szCs w:val="20"/>
                <w:color w:val="auto"/>
              </w:rPr>
            </w:pPr>
          </w:p>
        </w:tc>
        <w:tc>
          <w:tcPr>
            <w:tcW w:w="220" w:type="dxa"/>
            <w:vAlign w:val="bottom"/>
            <w:tcBorders>
              <w:top w:val="single" w:sz="8" w:color="0000EE"/>
              <w:bottom w:val="single" w:sz="8" w:color="auto"/>
            </w:tcBorders>
          </w:tcPr>
          <w:p>
            <w:pPr>
              <w:spacing w:after="0"/>
              <w:rPr>
                <w:sz w:val="20"/>
                <w:szCs w:val="20"/>
                <w:color w:val="auto"/>
              </w:rPr>
            </w:pPr>
          </w:p>
        </w:tc>
        <w:tc>
          <w:tcPr>
            <w:tcW w:w="100" w:type="dxa"/>
            <w:vAlign w:val="bottom"/>
            <w:tcBorders>
              <w:top w:val="single" w:sz="8" w:color="0000EE"/>
              <w:bottom w:val="single" w:sz="8" w:color="auto"/>
            </w:tcBorders>
          </w:tcPr>
          <w:p>
            <w:pPr>
              <w:spacing w:after="0"/>
              <w:rPr>
                <w:sz w:val="20"/>
                <w:szCs w:val="20"/>
                <w:color w:val="auto"/>
              </w:rPr>
            </w:pPr>
          </w:p>
        </w:tc>
        <w:tc>
          <w:tcPr>
            <w:tcW w:w="20" w:type="dxa"/>
            <w:vAlign w:val="bottom"/>
            <w:tcBorders>
              <w:top w:val="single" w:sz="8" w:color="0000EE"/>
              <w:bottom w:val="single" w:sz="8" w:color="auto"/>
            </w:tcBorders>
          </w:tcPr>
          <w:p>
            <w:pPr>
              <w:spacing w:after="0"/>
              <w:rPr>
                <w:sz w:val="20"/>
                <w:szCs w:val="20"/>
                <w:color w:val="auto"/>
              </w:rPr>
            </w:pPr>
          </w:p>
        </w:tc>
        <w:tc>
          <w:tcPr>
            <w:tcW w:w="20" w:type="dxa"/>
            <w:vAlign w:val="bottom"/>
            <w:tcBorders>
              <w:top w:val="single" w:sz="8" w:color="0000EE"/>
              <w:bottom w:val="single" w:sz="8" w:color="auto"/>
            </w:tcBorders>
          </w:tcPr>
          <w:p>
            <w:pPr>
              <w:spacing w:after="0"/>
              <w:rPr>
                <w:sz w:val="20"/>
                <w:szCs w:val="20"/>
                <w:color w:val="auto"/>
              </w:rPr>
            </w:pPr>
          </w:p>
        </w:tc>
        <w:tc>
          <w:tcPr>
            <w:tcW w:w="140" w:type="dxa"/>
            <w:vAlign w:val="bottom"/>
            <w:tcBorders>
              <w:top w:val="single" w:sz="8" w:color="0000EE"/>
              <w:bottom w:val="single" w:sz="8" w:color="auto"/>
            </w:tcBorders>
          </w:tcPr>
          <w:p>
            <w:pPr>
              <w:spacing w:after="0"/>
              <w:rPr>
                <w:sz w:val="20"/>
                <w:szCs w:val="20"/>
                <w:color w:val="auto"/>
              </w:rPr>
            </w:pPr>
          </w:p>
        </w:tc>
        <w:tc>
          <w:tcPr>
            <w:tcW w:w="140" w:type="dxa"/>
            <w:vAlign w:val="bottom"/>
            <w:tcBorders>
              <w:top w:val="single" w:sz="8" w:color="0000EE"/>
              <w:bottom w:val="single" w:sz="8" w:color="auto"/>
            </w:tcBorders>
          </w:tcPr>
          <w:p>
            <w:pPr>
              <w:spacing w:after="0"/>
              <w:rPr>
                <w:sz w:val="20"/>
                <w:szCs w:val="20"/>
                <w:color w:val="auto"/>
              </w:rPr>
            </w:pPr>
          </w:p>
        </w:tc>
        <w:tc>
          <w:tcPr>
            <w:tcW w:w="80" w:type="dxa"/>
            <w:vAlign w:val="bottom"/>
            <w:tcBorders>
              <w:top w:val="single" w:sz="8" w:color="0000EE"/>
              <w:bottom w:val="single" w:sz="8" w:color="auto"/>
            </w:tcBorders>
          </w:tcPr>
          <w:p>
            <w:pPr>
              <w:spacing w:after="0"/>
              <w:rPr>
                <w:sz w:val="20"/>
                <w:szCs w:val="20"/>
                <w:color w:val="auto"/>
              </w:rPr>
            </w:pPr>
          </w:p>
        </w:tc>
        <w:tc>
          <w:tcPr>
            <w:tcW w:w="100" w:type="dxa"/>
            <w:vAlign w:val="bottom"/>
            <w:tcBorders>
              <w:top w:val="single" w:sz="8" w:color="0000EE"/>
              <w:bottom w:val="single" w:sz="8" w:color="auto"/>
            </w:tcBorders>
          </w:tcPr>
          <w:p>
            <w:pPr>
              <w:spacing w:after="0"/>
              <w:rPr>
                <w:sz w:val="20"/>
                <w:szCs w:val="20"/>
                <w:color w:val="auto"/>
              </w:rPr>
            </w:pPr>
          </w:p>
        </w:tc>
        <w:tc>
          <w:tcPr>
            <w:tcW w:w="80" w:type="dxa"/>
            <w:vAlign w:val="bottom"/>
            <w:tcBorders>
              <w:top w:val="single" w:sz="8" w:color="0000EE"/>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80" w:type="dxa"/>
            <w:vAlign w:val="bottom"/>
            <w:tcBorders>
              <w:top w:val="single" w:sz="8" w:color="FF0000"/>
              <w:bottom w:val="single" w:sz="8" w:color="auto"/>
            </w:tcBorders>
          </w:tcPr>
          <w:p>
            <w:pPr>
              <w:spacing w:after="0"/>
              <w:rPr>
                <w:sz w:val="20"/>
                <w:szCs w:val="20"/>
                <w:color w:val="auto"/>
              </w:rPr>
            </w:pPr>
          </w:p>
        </w:tc>
        <w:tc>
          <w:tcPr>
            <w:tcW w:w="200" w:type="dxa"/>
            <w:vAlign w:val="bottom"/>
            <w:tcBorders>
              <w:top w:val="single" w:sz="8" w:color="0000FF"/>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bl>
    <w:p>
      <w:pPr>
        <w:sectPr>
          <w:pgSz w:w="11900" w:h="16838" w:orient="portrait"/>
          <w:cols w:equalWidth="0" w:num="1">
            <w:col w:w="10680"/>
          </w:cols>
          <w:pgMar w:left="600" w:top="115" w:right="619" w:bottom="1440" w:gutter="0" w:footer="0" w:header="0"/>
        </w:sectPr>
      </w:pPr>
    </w:p>
    <w:bookmarkStart w:id="92" w:name="page93"/>
    <w:bookmarkEnd w:id="92"/>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112395</wp:posOffset>
            </wp:positionV>
            <wp:extent cx="615315" cy="32448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13.</w:t>
            </w:r>
            <w:r>
              <w:rPr>
                <w:rFonts w:ascii="Arial" w:cs="Arial" w:eastAsia="Arial" w:hAnsi="Arial"/>
                <w:sz w:val="17"/>
                <w:szCs w:val="17"/>
                <w:u w:val="single" w:color="auto"/>
                <w:color w:val="0000EE"/>
                <w:w w:val="96"/>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80" w:type="dxa"/>
            <w:vAlign w:val="bottom"/>
            <w:gridSpan w:val="40"/>
          </w:tcPr>
          <w:p>
            <w:pPr>
              <w:ind w:left="140"/>
              <w:spacing w:after="0"/>
              <w:rPr>
                <w:sz w:val="20"/>
                <w:szCs w:val="20"/>
                <w:color w:val="auto"/>
              </w:rPr>
            </w:pPr>
            <w:r>
              <w:rPr>
                <w:rFonts w:ascii="Arial" w:cs="Arial" w:eastAsia="Arial" w:hAnsi="Arial"/>
                <w:sz w:val="17"/>
                <w:szCs w:val="17"/>
                <w:color w:val="0000EE"/>
              </w:rPr>
              <w:t>Participation in computerised or electronic systems</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29</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33</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13.</w:t>
            </w:r>
            <w:r>
              <w:rPr>
                <w:rFonts w:ascii="Arial" w:cs="Arial" w:eastAsia="Arial" w:hAnsi="Arial"/>
                <w:sz w:val="17"/>
                <w:szCs w:val="17"/>
                <w:u w:val="single" w:color="auto"/>
                <w:color w:val="0000EE"/>
                <w:w w:val="96"/>
              </w:rPr>
              <w:t>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gridSpan w:val="40"/>
          </w:tcPr>
          <w:p>
            <w:pPr>
              <w:ind w:left="140"/>
              <w:spacing w:after="0"/>
              <w:rPr>
                <w:sz w:val="20"/>
                <w:szCs w:val="20"/>
                <w:color w:val="auto"/>
              </w:rPr>
            </w:pPr>
            <w:r>
              <w:rPr>
                <w:rFonts w:ascii="Arial" w:cs="Arial" w:eastAsia="Arial" w:hAnsi="Arial"/>
                <w:sz w:val="17"/>
                <w:szCs w:val="17"/>
                <w:color w:val="0000EE"/>
              </w:rPr>
              <w:t>Method of transfer</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29</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33</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13.</w:t>
            </w:r>
            <w:r>
              <w:rPr>
                <w:rFonts w:ascii="Arial" w:cs="Arial" w:eastAsia="Arial" w:hAnsi="Arial"/>
                <w:sz w:val="17"/>
                <w:szCs w:val="17"/>
                <w:u w:val="single" w:color="auto"/>
                <w:color w:val="0000EE"/>
                <w:w w:val="96"/>
              </w:rPr>
              <w:t>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gridSpan w:val="40"/>
          </w:tcPr>
          <w:p>
            <w:pPr>
              <w:ind w:left="140"/>
              <w:spacing w:after="0"/>
              <w:rPr>
                <w:sz w:val="20"/>
                <w:szCs w:val="20"/>
                <w:color w:val="auto"/>
              </w:rPr>
            </w:pPr>
            <w:r>
              <w:rPr>
                <w:rFonts w:ascii="Arial" w:cs="Arial" w:eastAsia="Arial" w:hAnsi="Arial"/>
                <w:sz w:val="17"/>
                <w:szCs w:val="17"/>
                <w:color w:val="0000EE"/>
              </w:rPr>
              <w:t>Written instrument of transfer</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30</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33</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13.</w:t>
            </w:r>
            <w:r>
              <w:rPr>
                <w:rFonts w:ascii="Arial" w:cs="Arial" w:eastAsia="Arial" w:hAnsi="Arial"/>
                <w:sz w:val="17"/>
                <w:szCs w:val="17"/>
                <w:u w:val="single" w:color="auto"/>
                <w:color w:val="0000EE"/>
                <w:w w:val="96"/>
              </w:rPr>
              <w:t>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gridSpan w:val="40"/>
          </w:tcPr>
          <w:p>
            <w:pPr>
              <w:ind w:left="140"/>
              <w:spacing w:after="0"/>
              <w:rPr>
                <w:sz w:val="20"/>
                <w:szCs w:val="20"/>
                <w:color w:val="auto"/>
              </w:rPr>
            </w:pPr>
            <w:r>
              <w:rPr>
                <w:rFonts w:ascii="Arial" w:cs="Arial" w:eastAsia="Arial" w:hAnsi="Arial"/>
                <w:sz w:val="17"/>
                <w:szCs w:val="17"/>
                <w:color w:val="0000EE"/>
              </w:rPr>
              <w:t>Company to register transfers</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30</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34</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13.</w:t>
            </w:r>
            <w:r>
              <w:rPr>
                <w:rFonts w:ascii="Arial" w:cs="Arial" w:eastAsia="Arial" w:hAnsi="Arial"/>
                <w:sz w:val="17"/>
                <w:szCs w:val="17"/>
                <w:u w:val="single" w:color="auto"/>
                <w:color w:val="0000EE"/>
                <w:w w:val="96"/>
              </w:rPr>
              <w:t>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gridSpan w:val="40"/>
          </w:tcPr>
          <w:p>
            <w:pPr>
              <w:ind w:left="140"/>
              <w:spacing w:after="0"/>
              <w:rPr>
                <w:sz w:val="20"/>
                <w:szCs w:val="20"/>
                <w:color w:val="auto"/>
              </w:rPr>
            </w:pPr>
            <w:r>
              <w:rPr>
                <w:rFonts w:ascii="Arial" w:cs="Arial" w:eastAsia="Arial" w:hAnsi="Arial"/>
                <w:sz w:val="17"/>
                <w:szCs w:val="17"/>
                <w:color w:val="0000EE"/>
              </w:rPr>
              <w:t>Obligation to refuse to register transfers</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30</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34</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13.</w:t>
            </w:r>
            <w:r>
              <w:rPr>
                <w:rFonts w:ascii="Arial" w:cs="Arial" w:eastAsia="Arial" w:hAnsi="Arial"/>
                <w:sz w:val="17"/>
                <w:szCs w:val="17"/>
                <w:u w:val="single" w:color="auto"/>
                <w:color w:val="0000EE"/>
                <w:w w:val="96"/>
              </w:rPr>
              <w:t>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gridSpan w:val="40"/>
          </w:tcPr>
          <w:p>
            <w:pPr>
              <w:ind w:left="140"/>
              <w:spacing w:after="0"/>
              <w:rPr>
                <w:sz w:val="20"/>
                <w:szCs w:val="20"/>
                <w:color w:val="auto"/>
              </w:rPr>
            </w:pPr>
            <w:r>
              <w:rPr>
                <w:rFonts w:ascii="Arial" w:cs="Arial" w:eastAsia="Arial" w:hAnsi="Arial"/>
                <w:sz w:val="17"/>
                <w:szCs w:val="17"/>
                <w:color w:val="0000EE"/>
              </w:rPr>
              <w:t>Power to refuse to register transfers</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30</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34</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13.</w:t>
            </w:r>
            <w:r>
              <w:rPr>
                <w:rFonts w:ascii="Arial" w:cs="Arial" w:eastAsia="Arial" w:hAnsi="Arial"/>
                <w:sz w:val="17"/>
                <w:szCs w:val="17"/>
                <w:u w:val="single" w:color="auto"/>
                <w:color w:val="0000EE"/>
                <w:w w:val="96"/>
              </w:rPr>
              <w:t>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gridSpan w:val="40"/>
          </w:tcPr>
          <w:p>
            <w:pPr>
              <w:ind w:left="140"/>
              <w:spacing w:after="0"/>
              <w:rPr>
                <w:sz w:val="20"/>
                <w:szCs w:val="20"/>
                <w:color w:val="auto"/>
              </w:rPr>
            </w:pPr>
            <w:r>
              <w:rPr>
                <w:rFonts w:ascii="Arial" w:cs="Arial" w:eastAsia="Arial" w:hAnsi="Arial"/>
                <w:sz w:val="17"/>
                <w:szCs w:val="17"/>
                <w:color w:val="0000EE"/>
              </w:rPr>
              <w:t>Notice of refusal to register transfer</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31</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34</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13.</w:t>
            </w:r>
            <w:r>
              <w:rPr>
                <w:rFonts w:ascii="Arial" w:cs="Arial" w:eastAsia="Arial" w:hAnsi="Arial"/>
                <w:sz w:val="17"/>
                <w:szCs w:val="17"/>
                <w:u w:val="single" w:color="auto"/>
                <w:color w:val="0000EE"/>
                <w:w w:val="96"/>
              </w:rPr>
              <w:t>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gridSpan w:val="40"/>
          </w:tcPr>
          <w:p>
            <w:pPr>
              <w:ind w:left="140"/>
              <w:spacing w:after="0"/>
              <w:rPr>
                <w:sz w:val="20"/>
                <w:szCs w:val="20"/>
                <w:color w:val="auto"/>
              </w:rPr>
            </w:pPr>
            <w:r>
              <w:rPr>
                <w:rFonts w:ascii="Arial" w:cs="Arial" w:eastAsia="Arial" w:hAnsi="Arial"/>
                <w:sz w:val="17"/>
                <w:szCs w:val="17"/>
                <w:color w:val="0000EE"/>
              </w:rPr>
              <w:t>Suspension of registrations</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31</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34</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13.</w:t>
            </w:r>
            <w:r>
              <w:rPr>
                <w:rFonts w:ascii="Arial" w:cs="Arial" w:eastAsia="Arial" w:hAnsi="Arial"/>
                <w:sz w:val="17"/>
                <w:szCs w:val="17"/>
                <w:u w:val="single" w:color="auto"/>
                <w:color w:val="0000EE"/>
                <w:w w:val="96"/>
              </w:rPr>
              <w:t>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gridSpan w:val="40"/>
          </w:tcPr>
          <w:p>
            <w:pPr>
              <w:ind w:left="140"/>
              <w:spacing w:after="0"/>
              <w:rPr>
                <w:sz w:val="20"/>
                <w:szCs w:val="20"/>
                <w:color w:val="auto"/>
              </w:rPr>
            </w:pPr>
            <w:r>
              <w:rPr>
                <w:rFonts w:ascii="Arial" w:cs="Arial" w:eastAsia="Arial" w:hAnsi="Arial"/>
                <w:sz w:val="17"/>
                <w:szCs w:val="17"/>
                <w:color w:val="0000EE"/>
              </w:rPr>
              <w:t>Effect of registration</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31</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35</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820" w:type="dxa"/>
            <w:vAlign w:val="bottom"/>
            <w:gridSpan w:val="5"/>
          </w:tcPr>
          <w:p>
            <w:pPr>
              <w:ind w:left="1260"/>
              <w:spacing w:after="0"/>
              <w:rPr>
                <w:sz w:val="20"/>
                <w:szCs w:val="20"/>
                <w:color w:val="auto"/>
              </w:rPr>
            </w:pPr>
            <w:r>
              <w:rPr>
                <w:rFonts w:ascii="Arial" w:cs="Arial" w:eastAsia="Arial" w:hAnsi="Arial"/>
                <w:sz w:val="17"/>
                <w:szCs w:val="17"/>
                <w:color w:val="0000EE"/>
              </w:rPr>
              <w:t>13.</w:t>
            </w:r>
            <w:r>
              <w:rPr>
                <w:rFonts w:ascii="Arial" w:cs="Arial" w:eastAsia="Arial" w:hAnsi="Arial"/>
                <w:sz w:val="17"/>
                <w:szCs w:val="17"/>
                <w:u w:val="single" w:color="auto"/>
                <w:color w:val="0000EE"/>
              </w:rPr>
              <w:t>10</w:t>
            </w:r>
          </w:p>
        </w:tc>
        <w:tc>
          <w:tcPr>
            <w:tcW w:w="7280" w:type="dxa"/>
            <w:vAlign w:val="bottom"/>
            <w:gridSpan w:val="40"/>
          </w:tcPr>
          <w:p>
            <w:pPr>
              <w:ind w:left="140"/>
              <w:spacing w:after="0"/>
              <w:rPr>
                <w:sz w:val="20"/>
                <w:szCs w:val="20"/>
                <w:color w:val="auto"/>
              </w:rPr>
            </w:pPr>
            <w:r>
              <w:rPr>
                <w:rFonts w:ascii="Arial" w:cs="Arial" w:eastAsia="Arial" w:hAnsi="Arial"/>
                <w:sz w:val="17"/>
                <w:szCs w:val="17"/>
                <w:color w:val="0000EE"/>
              </w:rPr>
              <w:t>No fee for registration of transfers</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31</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35</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80" w:type="dxa"/>
            <w:vAlign w:val="bottom"/>
            <w:gridSpan w:val="4"/>
          </w:tcPr>
          <w:p>
            <w:pPr>
              <w:ind w:left="1260"/>
              <w:spacing w:after="0"/>
              <w:rPr>
                <w:sz w:val="20"/>
                <w:szCs w:val="20"/>
                <w:color w:val="auto"/>
              </w:rPr>
            </w:pPr>
            <w:r>
              <w:rPr>
                <w:rFonts w:ascii="Arial" w:cs="Arial" w:eastAsia="Arial" w:hAnsi="Arial"/>
                <w:sz w:val="17"/>
                <w:szCs w:val="17"/>
                <w:color w:val="0000EE"/>
                <w:w w:val="89"/>
              </w:rPr>
              <w:t>13.</w:t>
            </w:r>
            <w:r>
              <w:rPr>
                <w:rFonts w:ascii="Arial" w:cs="Arial" w:eastAsia="Arial" w:hAnsi="Arial"/>
                <w:sz w:val="17"/>
                <w:szCs w:val="17"/>
                <w:u w:val="single" w:color="auto"/>
                <w:color w:val="0000EE"/>
                <w:w w:val="89"/>
              </w:rPr>
              <w:t>11</w:t>
            </w:r>
          </w:p>
        </w:tc>
        <w:tc>
          <w:tcPr>
            <w:tcW w:w="140" w:type="dxa"/>
            <w:vAlign w:val="bottom"/>
          </w:tcPr>
          <w:p>
            <w:pPr>
              <w:spacing w:after="0"/>
              <w:rPr>
                <w:sz w:val="17"/>
                <w:szCs w:val="17"/>
                <w:color w:val="auto"/>
              </w:rPr>
            </w:pPr>
          </w:p>
        </w:tc>
        <w:tc>
          <w:tcPr>
            <w:tcW w:w="7280" w:type="dxa"/>
            <w:vAlign w:val="bottom"/>
            <w:gridSpan w:val="40"/>
          </w:tcPr>
          <w:p>
            <w:pPr>
              <w:ind w:left="140"/>
              <w:spacing w:after="0"/>
              <w:rPr>
                <w:sz w:val="20"/>
                <w:szCs w:val="20"/>
                <w:color w:val="auto"/>
              </w:rPr>
            </w:pPr>
            <w:r>
              <w:rPr>
                <w:rFonts w:ascii="Arial" w:cs="Arial" w:eastAsia="Arial" w:hAnsi="Arial"/>
                <w:sz w:val="17"/>
                <w:szCs w:val="17"/>
                <w:color w:val="0000EE"/>
              </w:rPr>
              <w:t>Company to retain instrument of transfer</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31</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35</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820" w:type="dxa"/>
            <w:vAlign w:val="bottom"/>
            <w:gridSpan w:val="5"/>
          </w:tcPr>
          <w:p>
            <w:pPr>
              <w:ind w:left="1260"/>
              <w:spacing w:after="0"/>
              <w:rPr>
                <w:sz w:val="20"/>
                <w:szCs w:val="20"/>
                <w:color w:val="auto"/>
              </w:rPr>
            </w:pPr>
            <w:r>
              <w:rPr>
                <w:rFonts w:ascii="Arial" w:cs="Arial" w:eastAsia="Arial" w:hAnsi="Arial"/>
                <w:sz w:val="17"/>
                <w:szCs w:val="17"/>
                <w:color w:val="0000EE"/>
              </w:rPr>
              <w:t>13.</w:t>
            </w:r>
            <w:r>
              <w:rPr>
                <w:rFonts w:ascii="Arial" w:cs="Arial" w:eastAsia="Arial" w:hAnsi="Arial"/>
                <w:sz w:val="17"/>
                <w:szCs w:val="17"/>
                <w:u w:val="single" w:color="auto"/>
                <w:color w:val="0000EE"/>
              </w:rPr>
              <w:t>12</w:t>
            </w:r>
          </w:p>
        </w:tc>
        <w:tc>
          <w:tcPr>
            <w:tcW w:w="7280" w:type="dxa"/>
            <w:vAlign w:val="bottom"/>
            <w:gridSpan w:val="40"/>
          </w:tcPr>
          <w:p>
            <w:pPr>
              <w:ind w:left="140"/>
              <w:spacing w:after="0"/>
              <w:rPr>
                <w:sz w:val="20"/>
                <w:szCs w:val="20"/>
                <w:color w:val="auto"/>
              </w:rPr>
            </w:pPr>
            <w:r>
              <w:rPr>
                <w:rFonts w:ascii="Arial" w:cs="Arial" w:eastAsia="Arial" w:hAnsi="Arial"/>
                <w:sz w:val="17"/>
                <w:szCs w:val="17"/>
                <w:color w:val="0000EE"/>
              </w:rPr>
              <w:t>Proportional takeover bids</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31</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35</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460" w:type="dxa"/>
            <w:vAlign w:val="bottom"/>
            <w:gridSpan w:val="2"/>
          </w:tcPr>
          <w:p>
            <w:pPr>
              <w:ind w:left="1260"/>
              <w:spacing w:after="0"/>
              <w:rPr>
                <w:sz w:val="20"/>
                <w:szCs w:val="20"/>
                <w:color w:val="auto"/>
              </w:rPr>
            </w:pPr>
            <w:r>
              <w:rPr>
                <w:rFonts w:ascii="Arial" w:cs="Arial" w:eastAsia="Arial" w:hAnsi="Arial"/>
                <w:sz w:val="17"/>
                <w:szCs w:val="17"/>
                <w:b w:val="1"/>
                <w:bCs w:val="1"/>
                <w:color w:val="0000EE"/>
                <w:w w:val="94"/>
              </w:rPr>
              <w:t>14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gridSpan w:val="40"/>
          </w:tcPr>
          <w:p>
            <w:pPr>
              <w:ind w:left="140"/>
              <w:spacing w:after="0"/>
              <w:rPr>
                <w:sz w:val="20"/>
                <w:szCs w:val="20"/>
                <w:color w:val="auto"/>
              </w:rPr>
            </w:pPr>
            <w:r>
              <w:rPr>
                <w:rFonts w:ascii="Arial" w:cs="Arial" w:eastAsia="Arial" w:hAnsi="Arial"/>
                <w:sz w:val="17"/>
                <w:szCs w:val="17"/>
                <w:b w:val="1"/>
                <w:bCs w:val="1"/>
                <w:color w:val="0000EE"/>
              </w:rPr>
              <w:t>TRANSMISSION OF SHARES</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FF0000"/>
                <w:strike w:val="1"/>
                <w:w w:val="84"/>
              </w:rPr>
              <w:t>31</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b w:val="1"/>
                <w:bCs w:val="1"/>
                <w:color w:val="0000FF"/>
                <w:w w:val="94"/>
              </w:rPr>
              <w:t>35</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14.</w:t>
            </w:r>
            <w:r>
              <w:rPr>
                <w:rFonts w:ascii="Arial" w:cs="Arial" w:eastAsia="Arial" w:hAnsi="Arial"/>
                <w:sz w:val="17"/>
                <w:szCs w:val="17"/>
                <w:u w:val="single" w:color="auto"/>
                <w:color w:val="0000EE"/>
                <w:w w:val="96"/>
              </w:rPr>
              <w:t>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gridSpan w:val="40"/>
          </w:tcPr>
          <w:p>
            <w:pPr>
              <w:ind w:left="140"/>
              <w:spacing w:after="0"/>
              <w:rPr>
                <w:sz w:val="20"/>
                <w:szCs w:val="20"/>
                <w:color w:val="auto"/>
              </w:rPr>
            </w:pPr>
            <w:r>
              <w:rPr>
                <w:rFonts w:ascii="Arial" w:cs="Arial" w:eastAsia="Arial" w:hAnsi="Arial"/>
                <w:sz w:val="17"/>
                <w:szCs w:val="17"/>
                <w:color w:val="0000EE"/>
              </w:rPr>
              <w:t>Effect of statutory provisions</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31</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35</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14.</w:t>
            </w:r>
            <w:r>
              <w:rPr>
                <w:rFonts w:ascii="Arial" w:cs="Arial" w:eastAsia="Arial" w:hAnsi="Arial"/>
                <w:sz w:val="17"/>
                <w:szCs w:val="17"/>
                <w:u w:val="single" w:color="auto"/>
                <w:color w:val="0000EE"/>
                <w:w w:val="96"/>
              </w:rPr>
              <w:t>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gridSpan w:val="40"/>
          </w:tcPr>
          <w:p>
            <w:pPr>
              <w:ind w:left="140"/>
              <w:spacing w:after="0"/>
              <w:rPr>
                <w:sz w:val="20"/>
                <w:szCs w:val="20"/>
                <w:color w:val="auto"/>
              </w:rPr>
            </w:pPr>
            <w:r>
              <w:rPr>
                <w:rFonts w:ascii="Arial" w:cs="Arial" w:eastAsia="Arial" w:hAnsi="Arial"/>
                <w:sz w:val="17"/>
                <w:szCs w:val="17"/>
                <w:color w:val="0000EE"/>
              </w:rPr>
              <w:t>Transmission of shares on death</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31</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35</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14.</w:t>
            </w:r>
            <w:r>
              <w:rPr>
                <w:rFonts w:ascii="Arial" w:cs="Arial" w:eastAsia="Arial" w:hAnsi="Arial"/>
                <w:sz w:val="17"/>
                <w:szCs w:val="17"/>
                <w:u w:val="single" w:color="auto"/>
                <w:color w:val="0000EE"/>
                <w:w w:val="96"/>
              </w:rPr>
              <w:t>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gridSpan w:val="40"/>
          </w:tcPr>
          <w:p>
            <w:pPr>
              <w:ind w:left="140"/>
              <w:spacing w:after="0"/>
              <w:rPr>
                <w:sz w:val="20"/>
                <w:szCs w:val="20"/>
                <w:color w:val="auto"/>
              </w:rPr>
            </w:pPr>
            <w:r>
              <w:rPr>
                <w:rFonts w:ascii="Arial" w:cs="Arial" w:eastAsia="Arial" w:hAnsi="Arial"/>
                <w:sz w:val="17"/>
                <w:szCs w:val="17"/>
                <w:color w:val="0000EE"/>
              </w:rPr>
              <w:t>Rights of personal representative</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32</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35</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14.</w:t>
            </w:r>
            <w:r>
              <w:rPr>
                <w:rFonts w:ascii="Arial" w:cs="Arial" w:eastAsia="Arial" w:hAnsi="Arial"/>
                <w:sz w:val="17"/>
                <w:szCs w:val="17"/>
                <w:u w:val="single" w:color="auto"/>
                <w:color w:val="0000EE"/>
                <w:w w:val="96"/>
              </w:rPr>
              <w:t>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gridSpan w:val="40"/>
          </w:tcPr>
          <w:p>
            <w:pPr>
              <w:ind w:left="140"/>
              <w:spacing w:after="0"/>
              <w:rPr>
                <w:sz w:val="20"/>
                <w:szCs w:val="20"/>
                <w:color w:val="auto"/>
              </w:rPr>
            </w:pPr>
            <w:r>
              <w:rPr>
                <w:rFonts w:ascii="Arial" w:cs="Arial" w:eastAsia="Arial" w:hAnsi="Arial"/>
                <w:sz w:val="17"/>
                <w:szCs w:val="17"/>
                <w:color w:val="0000EE"/>
              </w:rPr>
              <w:t>Election by persons entitled on transmission</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32</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35</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14.</w:t>
            </w:r>
            <w:r>
              <w:rPr>
                <w:rFonts w:ascii="Arial" w:cs="Arial" w:eastAsia="Arial" w:hAnsi="Arial"/>
                <w:sz w:val="17"/>
                <w:szCs w:val="17"/>
                <w:u w:val="single" w:color="auto"/>
                <w:color w:val="0000EE"/>
                <w:w w:val="96"/>
              </w:rPr>
              <w:t>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gridSpan w:val="40"/>
          </w:tcPr>
          <w:p>
            <w:pPr>
              <w:ind w:left="140"/>
              <w:spacing w:after="0"/>
              <w:rPr>
                <w:sz w:val="20"/>
                <w:szCs w:val="20"/>
                <w:color w:val="auto"/>
              </w:rPr>
            </w:pPr>
            <w:r>
              <w:rPr>
                <w:rFonts w:ascii="Arial" w:cs="Arial" w:eastAsia="Arial" w:hAnsi="Arial"/>
                <w:sz w:val="17"/>
                <w:szCs w:val="17"/>
                <w:color w:val="0000EE"/>
              </w:rPr>
              <w:t>Manner of election</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32</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36</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14.</w:t>
            </w:r>
            <w:r>
              <w:rPr>
                <w:rFonts w:ascii="Arial" w:cs="Arial" w:eastAsia="Arial" w:hAnsi="Arial"/>
                <w:sz w:val="17"/>
                <w:szCs w:val="17"/>
                <w:u w:val="single" w:color="auto"/>
                <w:color w:val="0000EE"/>
                <w:w w:val="96"/>
              </w:rPr>
              <w:t>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gridSpan w:val="40"/>
          </w:tcPr>
          <w:p>
            <w:pPr>
              <w:ind w:left="140"/>
              <w:spacing w:after="0"/>
              <w:rPr>
                <w:sz w:val="20"/>
                <w:szCs w:val="20"/>
                <w:color w:val="auto"/>
              </w:rPr>
            </w:pPr>
            <w:r>
              <w:rPr>
                <w:rFonts w:ascii="Arial" w:cs="Arial" w:eastAsia="Arial" w:hAnsi="Arial"/>
                <w:sz w:val="17"/>
                <w:szCs w:val="17"/>
                <w:color w:val="0000EE"/>
              </w:rPr>
              <w:t>Transfer executed before occurrence of Transmission Event</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33</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36</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460" w:type="dxa"/>
            <w:vAlign w:val="bottom"/>
            <w:gridSpan w:val="2"/>
          </w:tcPr>
          <w:p>
            <w:pPr>
              <w:ind w:left="1260"/>
              <w:spacing w:after="0"/>
              <w:rPr>
                <w:sz w:val="20"/>
                <w:szCs w:val="20"/>
                <w:color w:val="auto"/>
              </w:rPr>
            </w:pPr>
            <w:r>
              <w:rPr>
                <w:rFonts w:ascii="Arial" w:cs="Arial" w:eastAsia="Arial" w:hAnsi="Arial"/>
                <w:sz w:val="17"/>
                <w:szCs w:val="17"/>
                <w:b w:val="1"/>
                <w:bCs w:val="1"/>
                <w:color w:val="0000EE"/>
                <w:w w:val="94"/>
              </w:rPr>
              <w:t>15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gridSpan w:val="40"/>
          </w:tcPr>
          <w:p>
            <w:pPr>
              <w:ind w:left="140"/>
              <w:spacing w:after="0"/>
              <w:rPr>
                <w:sz w:val="20"/>
                <w:szCs w:val="20"/>
                <w:color w:val="auto"/>
              </w:rPr>
            </w:pPr>
            <w:r>
              <w:rPr>
                <w:rFonts w:ascii="Arial" w:cs="Arial" w:eastAsia="Arial" w:hAnsi="Arial"/>
                <w:sz w:val="17"/>
                <w:szCs w:val="17"/>
                <w:b w:val="1"/>
                <w:bCs w:val="1"/>
                <w:color w:val="0000EE"/>
              </w:rPr>
              <w:t>DIVIDENDS</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FF0000"/>
                <w:strike w:val="1"/>
                <w:w w:val="84"/>
              </w:rPr>
              <w:t>33</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b w:val="1"/>
                <w:bCs w:val="1"/>
                <w:color w:val="0000FF"/>
                <w:w w:val="94"/>
              </w:rPr>
              <w:t>36</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15.</w:t>
            </w:r>
            <w:r>
              <w:rPr>
                <w:rFonts w:ascii="Arial" w:cs="Arial" w:eastAsia="Arial" w:hAnsi="Arial"/>
                <w:sz w:val="17"/>
                <w:szCs w:val="17"/>
                <w:u w:val="single" w:color="auto"/>
                <w:color w:val="0000EE"/>
                <w:w w:val="96"/>
              </w:rPr>
              <w:t>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gridSpan w:val="40"/>
          </w:tcPr>
          <w:p>
            <w:pPr>
              <w:ind w:left="140"/>
              <w:spacing w:after="0"/>
              <w:rPr>
                <w:sz w:val="20"/>
                <w:szCs w:val="20"/>
                <w:color w:val="auto"/>
              </w:rPr>
            </w:pPr>
            <w:r>
              <w:rPr>
                <w:rFonts w:ascii="Arial" w:cs="Arial" w:eastAsia="Arial" w:hAnsi="Arial"/>
                <w:sz w:val="17"/>
                <w:szCs w:val="17"/>
                <w:color w:val="0000EE"/>
              </w:rPr>
              <w:t>Decision to pay dividends</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33</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36</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15.</w:t>
            </w:r>
            <w:r>
              <w:rPr>
                <w:rFonts w:ascii="Arial" w:cs="Arial" w:eastAsia="Arial" w:hAnsi="Arial"/>
                <w:sz w:val="17"/>
                <w:szCs w:val="17"/>
                <w:u w:val="single" w:color="auto"/>
                <w:color w:val="0000EE"/>
                <w:w w:val="96"/>
              </w:rPr>
              <w:t>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gridSpan w:val="40"/>
          </w:tcPr>
          <w:p>
            <w:pPr>
              <w:ind w:left="140"/>
              <w:spacing w:after="0"/>
              <w:rPr>
                <w:sz w:val="20"/>
                <w:szCs w:val="20"/>
                <w:color w:val="auto"/>
              </w:rPr>
            </w:pPr>
            <w:r>
              <w:rPr>
                <w:rFonts w:ascii="Arial" w:cs="Arial" w:eastAsia="Arial" w:hAnsi="Arial"/>
                <w:sz w:val="17"/>
                <w:szCs w:val="17"/>
                <w:color w:val="0000EE"/>
              </w:rPr>
              <w:t>Entitlements of fully paid and partly paid shares</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33</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37</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15.</w:t>
            </w:r>
            <w:r>
              <w:rPr>
                <w:rFonts w:ascii="Arial" w:cs="Arial" w:eastAsia="Arial" w:hAnsi="Arial"/>
                <w:sz w:val="17"/>
                <w:szCs w:val="17"/>
                <w:u w:val="single" w:color="auto"/>
                <w:color w:val="0000EE"/>
                <w:w w:val="96"/>
              </w:rPr>
              <w:t>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gridSpan w:val="40"/>
          </w:tcPr>
          <w:p>
            <w:pPr>
              <w:ind w:left="140"/>
              <w:spacing w:after="0"/>
              <w:rPr>
                <w:sz w:val="20"/>
                <w:szCs w:val="20"/>
                <w:color w:val="auto"/>
              </w:rPr>
            </w:pPr>
            <w:r>
              <w:rPr>
                <w:rFonts w:ascii="Arial" w:cs="Arial" w:eastAsia="Arial" w:hAnsi="Arial"/>
                <w:sz w:val="17"/>
                <w:szCs w:val="17"/>
                <w:color w:val="0000EE"/>
              </w:rPr>
              <w:t>Payment of dividends</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34</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37</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15.</w:t>
            </w:r>
            <w:r>
              <w:rPr>
                <w:rFonts w:ascii="Arial" w:cs="Arial" w:eastAsia="Arial" w:hAnsi="Arial"/>
                <w:sz w:val="17"/>
                <w:szCs w:val="17"/>
                <w:u w:val="single" w:color="auto"/>
                <w:color w:val="0000EE"/>
                <w:w w:val="96"/>
              </w:rPr>
              <w:t>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gridSpan w:val="40"/>
          </w:tcPr>
          <w:p>
            <w:pPr>
              <w:ind w:left="140"/>
              <w:spacing w:after="0"/>
              <w:rPr>
                <w:sz w:val="20"/>
                <w:szCs w:val="20"/>
                <w:color w:val="auto"/>
              </w:rPr>
            </w:pPr>
            <w:r>
              <w:rPr>
                <w:rFonts w:ascii="Arial" w:cs="Arial" w:eastAsia="Arial" w:hAnsi="Arial"/>
                <w:sz w:val="17"/>
                <w:szCs w:val="17"/>
                <w:color w:val="0000EE"/>
              </w:rPr>
              <w:t>No interest on dividends</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34</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37</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15.</w:t>
            </w:r>
            <w:r>
              <w:rPr>
                <w:rFonts w:ascii="Arial" w:cs="Arial" w:eastAsia="Arial" w:hAnsi="Arial"/>
                <w:sz w:val="17"/>
                <w:szCs w:val="17"/>
                <w:u w:val="single" w:color="auto"/>
                <w:color w:val="0000EE"/>
                <w:w w:val="96"/>
              </w:rPr>
              <w:t>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gridSpan w:val="40"/>
          </w:tcPr>
          <w:p>
            <w:pPr>
              <w:ind w:left="140"/>
              <w:spacing w:after="0"/>
              <w:rPr>
                <w:sz w:val="20"/>
                <w:szCs w:val="20"/>
                <w:color w:val="auto"/>
              </w:rPr>
            </w:pPr>
            <w:r>
              <w:rPr>
                <w:rFonts w:ascii="Arial" w:cs="Arial" w:eastAsia="Arial" w:hAnsi="Arial"/>
                <w:sz w:val="17"/>
                <w:szCs w:val="17"/>
                <w:color w:val="0000EE"/>
              </w:rPr>
              <w:t>Deductions from dividends</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34</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38</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15.</w:t>
            </w:r>
            <w:r>
              <w:rPr>
                <w:rFonts w:ascii="Arial" w:cs="Arial" w:eastAsia="Arial" w:hAnsi="Arial"/>
                <w:sz w:val="17"/>
                <w:szCs w:val="17"/>
                <w:u w:val="single" w:color="auto"/>
                <w:color w:val="0000EE"/>
                <w:w w:val="96"/>
              </w:rPr>
              <w:t>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gridSpan w:val="40"/>
          </w:tcPr>
          <w:p>
            <w:pPr>
              <w:ind w:left="140"/>
              <w:spacing w:after="0"/>
              <w:rPr>
                <w:sz w:val="20"/>
                <w:szCs w:val="20"/>
                <w:color w:val="auto"/>
              </w:rPr>
            </w:pPr>
            <w:r>
              <w:rPr>
                <w:rFonts w:ascii="Arial" w:cs="Arial" w:eastAsia="Arial" w:hAnsi="Arial"/>
                <w:sz w:val="17"/>
                <w:szCs w:val="17"/>
                <w:color w:val="0000EE"/>
              </w:rPr>
              <w:t>Available sources for payment of dividends</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34</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38</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15.</w:t>
            </w:r>
            <w:r>
              <w:rPr>
                <w:rFonts w:ascii="Arial" w:cs="Arial" w:eastAsia="Arial" w:hAnsi="Arial"/>
                <w:sz w:val="17"/>
                <w:szCs w:val="17"/>
                <w:u w:val="single" w:color="auto"/>
                <w:color w:val="0000EE"/>
                <w:w w:val="96"/>
              </w:rPr>
              <w:t>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gridSpan w:val="40"/>
          </w:tcPr>
          <w:p>
            <w:pPr>
              <w:ind w:left="140"/>
              <w:spacing w:after="0"/>
              <w:rPr>
                <w:sz w:val="20"/>
                <w:szCs w:val="20"/>
                <w:color w:val="auto"/>
              </w:rPr>
            </w:pPr>
            <w:r>
              <w:rPr>
                <w:rFonts w:ascii="Arial" w:cs="Arial" w:eastAsia="Arial" w:hAnsi="Arial"/>
                <w:sz w:val="17"/>
                <w:szCs w:val="17"/>
                <w:color w:val="0000EE"/>
              </w:rPr>
              <w:t>Scrip dividend</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34</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38</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460" w:type="dxa"/>
            <w:vAlign w:val="bottom"/>
            <w:gridSpan w:val="2"/>
          </w:tcPr>
          <w:p>
            <w:pPr>
              <w:ind w:left="1260"/>
              <w:spacing w:after="0"/>
              <w:rPr>
                <w:sz w:val="20"/>
                <w:szCs w:val="20"/>
                <w:color w:val="auto"/>
              </w:rPr>
            </w:pPr>
            <w:r>
              <w:rPr>
                <w:rFonts w:ascii="Arial" w:cs="Arial" w:eastAsia="Arial" w:hAnsi="Arial"/>
                <w:sz w:val="17"/>
                <w:szCs w:val="17"/>
                <w:b w:val="1"/>
                <w:bCs w:val="1"/>
                <w:color w:val="0000EE"/>
                <w:w w:val="94"/>
              </w:rPr>
              <w:t>16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gridSpan w:val="40"/>
          </w:tcPr>
          <w:p>
            <w:pPr>
              <w:ind w:left="140"/>
              <w:spacing w:after="0"/>
              <w:rPr>
                <w:sz w:val="20"/>
                <w:szCs w:val="20"/>
                <w:color w:val="auto"/>
              </w:rPr>
            </w:pPr>
            <w:r>
              <w:rPr>
                <w:rFonts w:ascii="Arial" w:cs="Arial" w:eastAsia="Arial" w:hAnsi="Arial"/>
                <w:sz w:val="17"/>
                <w:szCs w:val="17"/>
                <w:b w:val="1"/>
                <w:bCs w:val="1"/>
                <w:color w:val="0000EE"/>
              </w:rPr>
              <w:t>RESERVES AND PROFITS</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FF0000"/>
                <w:strike w:val="1"/>
                <w:w w:val="84"/>
              </w:rPr>
              <w:t>35</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b w:val="1"/>
                <w:bCs w:val="1"/>
                <w:color w:val="0000FF"/>
                <w:w w:val="94"/>
              </w:rPr>
              <w:t>38</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16.</w:t>
            </w:r>
            <w:r>
              <w:rPr>
                <w:rFonts w:ascii="Arial" w:cs="Arial" w:eastAsia="Arial" w:hAnsi="Arial"/>
                <w:sz w:val="17"/>
                <w:szCs w:val="17"/>
                <w:u w:val="single" w:color="auto"/>
                <w:color w:val="0000EE"/>
                <w:w w:val="96"/>
              </w:rPr>
              <w:t>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gridSpan w:val="40"/>
          </w:tcPr>
          <w:p>
            <w:pPr>
              <w:ind w:left="140"/>
              <w:spacing w:after="0"/>
              <w:rPr>
                <w:sz w:val="20"/>
                <w:szCs w:val="20"/>
                <w:color w:val="auto"/>
              </w:rPr>
            </w:pPr>
            <w:r>
              <w:rPr>
                <w:rFonts w:ascii="Arial" w:cs="Arial" w:eastAsia="Arial" w:hAnsi="Arial"/>
                <w:sz w:val="17"/>
                <w:szCs w:val="17"/>
                <w:color w:val="0000EE"/>
              </w:rPr>
              <w:t>Reserves</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35</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38</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16.</w:t>
            </w:r>
            <w:r>
              <w:rPr>
                <w:rFonts w:ascii="Arial" w:cs="Arial" w:eastAsia="Arial" w:hAnsi="Arial"/>
                <w:sz w:val="17"/>
                <w:szCs w:val="17"/>
                <w:u w:val="single" w:color="auto"/>
                <w:color w:val="0000EE"/>
                <w:w w:val="96"/>
              </w:rPr>
              <w:t>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gridSpan w:val="40"/>
          </w:tcPr>
          <w:p>
            <w:pPr>
              <w:ind w:left="140"/>
              <w:spacing w:after="0"/>
              <w:rPr>
                <w:sz w:val="20"/>
                <w:szCs w:val="20"/>
                <w:color w:val="auto"/>
              </w:rPr>
            </w:pPr>
            <w:r>
              <w:rPr>
                <w:rFonts w:ascii="Arial" w:cs="Arial" w:eastAsia="Arial" w:hAnsi="Arial"/>
                <w:sz w:val="17"/>
                <w:szCs w:val="17"/>
                <w:color w:val="0000EE"/>
              </w:rPr>
              <w:t>Carry forward of profits</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35</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38</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16.</w:t>
            </w:r>
            <w:r>
              <w:rPr>
                <w:rFonts w:ascii="Arial" w:cs="Arial" w:eastAsia="Arial" w:hAnsi="Arial"/>
                <w:sz w:val="17"/>
                <w:szCs w:val="17"/>
                <w:u w:val="single" w:color="auto"/>
                <w:color w:val="0000EE"/>
                <w:w w:val="96"/>
              </w:rPr>
              <w:t>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gridSpan w:val="40"/>
          </w:tcPr>
          <w:p>
            <w:pPr>
              <w:ind w:left="140"/>
              <w:spacing w:after="0"/>
              <w:rPr>
                <w:sz w:val="20"/>
                <w:szCs w:val="20"/>
                <w:color w:val="auto"/>
              </w:rPr>
            </w:pPr>
            <w:r>
              <w:rPr>
                <w:rFonts w:ascii="Arial" w:cs="Arial" w:eastAsia="Arial" w:hAnsi="Arial"/>
                <w:sz w:val="17"/>
                <w:szCs w:val="17"/>
                <w:color w:val="0000EE"/>
              </w:rPr>
              <w:t>Capitalisation of reserves and profits</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35</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38</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5"/>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16.</w:t>
            </w:r>
            <w:r>
              <w:rPr>
                <w:rFonts w:ascii="Arial" w:cs="Arial" w:eastAsia="Arial" w:hAnsi="Arial"/>
                <w:sz w:val="17"/>
                <w:szCs w:val="17"/>
                <w:u w:val="single" w:color="auto"/>
                <w:color w:val="0000EE"/>
                <w:w w:val="96"/>
              </w:rPr>
              <w:t>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gridSpan w:val="40"/>
          </w:tcPr>
          <w:p>
            <w:pPr>
              <w:ind w:left="140"/>
              <w:spacing w:after="0"/>
              <w:rPr>
                <w:sz w:val="20"/>
                <w:szCs w:val="20"/>
                <w:color w:val="auto"/>
              </w:rPr>
            </w:pPr>
            <w:r>
              <w:rPr>
                <w:rFonts w:ascii="Arial" w:cs="Arial" w:eastAsia="Arial" w:hAnsi="Arial"/>
                <w:sz w:val="17"/>
                <w:szCs w:val="17"/>
                <w:color w:val="0000EE"/>
              </w:rPr>
              <w:t>Agreement on behalf of members</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35</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39</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5"/>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460" w:type="dxa"/>
            <w:vAlign w:val="bottom"/>
            <w:gridSpan w:val="2"/>
          </w:tcPr>
          <w:p>
            <w:pPr>
              <w:ind w:left="1260"/>
              <w:spacing w:after="0"/>
              <w:rPr>
                <w:sz w:val="20"/>
                <w:szCs w:val="20"/>
                <w:color w:val="auto"/>
              </w:rPr>
            </w:pPr>
            <w:r>
              <w:rPr>
                <w:rFonts w:ascii="Arial" w:cs="Arial" w:eastAsia="Arial" w:hAnsi="Arial"/>
                <w:sz w:val="17"/>
                <w:szCs w:val="17"/>
                <w:b w:val="1"/>
                <w:bCs w:val="1"/>
                <w:color w:val="0000EE"/>
                <w:w w:val="94"/>
              </w:rPr>
              <w:t>17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gridSpan w:val="40"/>
          </w:tcPr>
          <w:p>
            <w:pPr>
              <w:ind w:left="140"/>
              <w:spacing w:after="0"/>
              <w:rPr>
                <w:sz w:val="20"/>
                <w:szCs w:val="20"/>
                <w:color w:val="auto"/>
              </w:rPr>
            </w:pPr>
            <w:r>
              <w:rPr>
                <w:rFonts w:ascii="Arial" w:cs="Arial" w:eastAsia="Arial" w:hAnsi="Arial"/>
                <w:sz w:val="17"/>
                <w:szCs w:val="17"/>
                <w:b w:val="1"/>
                <w:bCs w:val="1"/>
                <w:color w:val="0000EE"/>
              </w:rPr>
              <w:t>DISTRIBUTION OF ASSETS</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FF0000"/>
                <w:strike w:val="1"/>
                <w:w w:val="84"/>
              </w:rPr>
              <w:t>36</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b w:val="1"/>
                <w:bCs w:val="1"/>
                <w:color w:val="0000FF"/>
                <w:w w:val="94"/>
              </w:rPr>
              <w:t>39</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5"/>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17.</w:t>
            </w:r>
            <w:r>
              <w:rPr>
                <w:rFonts w:ascii="Arial" w:cs="Arial" w:eastAsia="Arial" w:hAnsi="Arial"/>
                <w:sz w:val="17"/>
                <w:szCs w:val="17"/>
                <w:u w:val="single" w:color="auto"/>
                <w:color w:val="0000EE"/>
                <w:w w:val="96"/>
              </w:rPr>
              <w:t>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gridSpan w:val="40"/>
          </w:tcPr>
          <w:p>
            <w:pPr>
              <w:ind w:left="140"/>
              <w:spacing w:after="0"/>
              <w:rPr>
                <w:sz w:val="20"/>
                <w:szCs w:val="20"/>
                <w:color w:val="auto"/>
              </w:rPr>
            </w:pPr>
            <w:r>
              <w:rPr>
                <w:rFonts w:ascii="Arial" w:cs="Arial" w:eastAsia="Arial" w:hAnsi="Arial"/>
                <w:sz w:val="17"/>
                <w:szCs w:val="17"/>
                <w:color w:val="0000EE"/>
              </w:rPr>
              <w:t>Distribution by way of dividend or return of capital</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36</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39</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7"/>
            <w:shd w:val="clear" w:color="auto" w:fill="0000EE"/>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17.</w:t>
            </w:r>
            <w:r>
              <w:rPr>
                <w:rFonts w:ascii="Arial" w:cs="Arial" w:eastAsia="Arial" w:hAnsi="Arial"/>
                <w:sz w:val="17"/>
                <w:szCs w:val="17"/>
                <w:u w:val="single" w:color="auto"/>
                <w:color w:val="0000EE"/>
                <w:w w:val="96"/>
              </w:rPr>
              <w:t>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gridSpan w:val="40"/>
          </w:tcPr>
          <w:p>
            <w:pPr>
              <w:ind w:left="140"/>
              <w:spacing w:after="0"/>
              <w:rPr>
                <w:sz w:val="20"/>
                <w:szCs w:val="20"/>
                <w:color w:val="auto"/>
              </w:rPr>
            </w:pPr>
            <w:r>
              <w:rPr>
                <w:rFonts w:ascii="Arial" w:cs="Arial" w:eastAsia="Arial" w:hAnsi="Arial"/>
                <w:sz w:val="17"/>
                <w:szCs w:val="17"/>
                <w:color w:val="0000EE"/>
              </w:rPr>
              <w:t>Agreement on behalf of members</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36</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39</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7"/>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17.</w:t>
            </w:r>
            <w:r>
              <w:rPr>
                <w:rFonts w:ascii="Arial" w:cs="Arial" w:eastAsia="Arial" w:hAnsi="Arial"/>
                <w:sz w:val="17"/>
                <w:szCs w:val="17"/>
                <w:u w:val="single" w:color="auto"/>
                <w:color w:val="0000EE"/>
                <w:w w:val="96"/>
              </w:rPr>
              <w:t>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gridSpan w:val="40"/>
          </w:tcPr>
          <w:p>
            <w:pPr>
              <w:ind w:left="140"/>
              <w:spacing w:after="0"/>
              <w:rPr>
                <w:sz w:val="20"/>
                <w:szCs w:val="20"/>
                <w:color w:val="auto"/>
              </w:rPr>
            </w:pPr>
            <w:r>
              <w:rPr>
                <w:rFonts w:ascii="Arial" w:cs="Arial" w:eastAsia="Arial" w:hAnsi="Arial"/>
                <w:sz w:val="17"/>
                <w:szCs w:val="17"/>
                <w:color w:val="0000EE"/>
              </w:rPr>
              <w:t>Distribution of assets on a winding up</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36</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40</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7"/>
            <w:shd w:val="clear" w:color="auto" w:fill="0000EE"/>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460" w:type="dxa"/>
            <w:vAlign w:val="bottom"/>
            <w:gridSpan w:val="2"/>
          </w:tcPr>
          <w:p>
            <w:pPr>
              <w:ind w:left="1260"/>
              <w:spacing w:after="0"/>
              <w:rPr>
                <w:sz w:val="20"/>
                <w:szCs w:val="20"/>
                <w:color w:val="auto"/>
              </w:rPr>
            </w:pPr>
            <w:r>
              <w:rPr>
                <w:rFonts w:ascii="Arial" w:cs="Arial" w:eastAsia="Arial" w:hAnsi="Arial"/>
                <w:sz w:val="17"/>
                <w:szCs w:val="17"/>
                <w:b w:val="1"/>
                <w:bCs w:val="1"/>
                <w:color w:val="0000EE"/>
                <w:w w:val="94"/>
              </w:rPr>
              <w:t>18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gridSpan w:val="40"/>
          </w:tcPr>
          <w:p>
            <w:pPr>
              <w:ind w:left="140"/>
              <w:spacing w:after="0"/>
              <w:rPr>
                <w:sz w:val="20"/>
                <w:szCs w:val="20"/>
                <w:color w:val="auto"/>
              </w:rPr>
            </w:pPr>
            <w:r>
              <w:rPr>
                <w:rFonts w:ascii="Arial" w:cs="Arial" w:eastAsia="Arial" w:hAnsi="Arial"/>
                <w:sz w:val="17"/>
                <w:szCs w:val="17"/>
                <w:b w:val="1"/>
                <w:bCs w:val="1"/>
                <w:color w:val="0000EE"/>
              </w:rPr>
              <w:t>INDEMNITY AND INSURANCE</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FF0000"/>
                <w:strike w:val="1"/>
                <w:w w:val="84"/>
              </w:rPr>
              <w:t>37</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b w:val="1"/>
                <w:bCs w:val="1"/>
                <w:color w:val="0000FF"/>
                <w:w w:val="94"/>
              </w:rPr>
              <w:t>40</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7"/>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18.</w:t>
            </w:r>
            <w:r>
              <w:rPr>
                <w:rFonts w:ascii="Arial" w:cs="Arial" w:eastAsia="Arial" w:hAnsi="Arial"/>
                <w:sz w:val="17"/>
                <w:szCs w:val="17"/>
                <w:u w:val="single" w:color="auto"/>
                <w:color w:val="0000EE"/>
                <w:w w:val="96"/>
              </w:rPr>
              <w:t>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gridSpan w:val="40"/>
          </w:tcPr>
          <w:p>
            <w:pPr>
              <w:ind w:left="140"/>
              <w:spacing w:after="0"/>
              <w:rPr>
                <w:sz w:val="20"/>
                <w:szCs w:val="20"/>
                <w:color w:val="auto"/>
              </w:rPr>
            </w:pPr>
            <w:r>
              <w:rPr>
                <w:rFonts w:ascii="Arial" w:cs="Arial" w:eastAsia="Arial" w:hAnsi="Arial"/>
                <w:sz w:val="17"/>
                <w:szCs w:val="17"/>
                <w:color w:val="0000EE"/>
              </w:rPr>
              <w:t>Indemnity</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37</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40</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18.</w:t>
            </w:r>
            <w:r>
              <w:rPr>
                <w:rFonts w:ascii="Arial" w:cs="Arial" w:eastAsia="Arial" w:hAnsi="Arial"/>
                <w:sz w:val="17"/>
                <w:szCs w:val="17"/>
                <w:u w:val="single" w:color="auto"/>
                <w:color w:val="0000EE"/>
                <w:w w:val="96"/>
              </w:rPr>
              <w:t>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gridSpan w:val="40"/>
          </w:tcPr>
          <w:p>
            <w:pPr>
              <w:ind w:left="140"/>
              <w:spacing w:after="0"/>
              <w:rPr>
                <w:sz w:val="20"/>
                <w:szCs w:val="20"/>
                <w:color w:val="auto"/>
              </w:rPr>
            </w:pPr>
            <w:r>
              <w:rPr>
                <w:rFonts w:ascii="Arial" w:cs="Arial" w:eastAsia="Arial" w:hAnsi="Arial"/>
                <w:sz w:val="17"/>
                <w:szCs w:val="17"/>
                <w:color w:val="0000EE"/>
              </w:rPr>
              <w:t>Extent of indemnity</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37</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40</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18.</w:t>
            </w:r>
            <w:r>
              <w:rPr>
                <w:rFonts w:ascii="Arial" w:cs="Arial" w:eastAsia="Arial" w:hAnsi="Arial"/>
                <w:sz w:val="17"/>
                <w:szCs w:val="17"/>
                <w:u w:val="single" w:color="auto"/>
                <w:color w:val="0000EE"/>
                <w:w w:val="96"/>
              </w:rPr>
              <w:t>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gridSpan w:val="40"/>
          </w:tcPr>
          <w:p>
            <w:pPr>
              <w:ind w:left="140"/>
              <w:spacing w:after="0"/>
              <w:rPr>
                <w:sz w:val="20"/>
                <w:szCs w:val="20"/>
                <w:color w:val="auto"/>
              </w:rPr>
            </w:pPr>
            <w:r>
              <w:rPr>
                <w:rFonts w:ascii="Arial" w:cs="Arial" w:eastAsia="Arial" w:hAnsi="Arial"/>
                <w:sz w:val="17"/>
                <w:szCs w:val="17"/>
                <w:color w:val="0000EE"/>
              </w:rPr>
              <w:t>Insurance</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37</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41</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18.</w:t>
            </w:r>
            <w:r>
              <w:rPr>
                <w:rFonts w:ascii="Arial" w:cs="Arial" w:eastAsia="Arial" w:hAnsi="Arial"/>
                <w:sz w:val="17"/>
                <w:szCs w:val="17"/>
                <w:u w:val="single" w:color="auto"/>
                <w:color w:val="0000EE"/>
                <w:w w:val="96"/>
              </w:rPr>
              <w:t>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gridSpan w:val="40"/>
          </w:tcPr>
          <w:p>
            <w:pPr>
              <w:ind w:left="140"/>
              <w:spacing w:after="0"/>
              <w:rPr>
                <w:sz w:val="20"/>
                <w:szCs w:val="20"/>
                <w:color w:val="auto"/>
              </w:rPr>
            </w:pPr>
            <w:r>
              <w:rPr>
                <w:rFonts w:ascii="Arial" w:cs="Arial" w:eastAsia="Arial" w:hAnsi="Arial"/>
                <w:sz w:val="17"/>
                <w:szCs w:val="17"/>
                <w:color w:val="0000EE"/>
              </w:rPr>
              <w:t>Company may enter into contracts</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37</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41</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7"/>
            <w:shd w:val="clear" w:color="auto" w:fill="0000EE"/>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18.</w:t>
            </w:r>
            <w:r>
              <w:rPr>
                <w:rFonts w:ascii="Arial" w:cs="Arial" w:eastAsia="Arial" w:hAnsi="Arial"/>
                <w:sz w:val="17"/>
                <w:szCs w:val="17"/>
                <w:u w:val="single" w:color="auto"/>
                <w:color w:val="0000EE"/>
                <w:w w:val="96"/>
              </w:rPr>
              <w:t>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gridSpan w:val="40"/>
          </w:tcPr>
          <w:p>
            <w:pPr>
              <w:ind w:left="140"/>
              <w:spacing w:after="0"/>
              <w:rPr>
                <w:sz w:val="20"/>
                <w:szCs w:val="20"/>
                <w:color w:val="auto"/>
              </w:rPr>
            </w:pPr>
            <w:r>
              <w:rPr>
                <w:rFonts w:ascii="Arial" w:cs="Arial" w:eastAsia="Arial" w:hAnsi="Arial"/>
                <w:sz w:val="17"/>
                <w:szCs w:val="17"/>
                <w:color w:val="0000EE"/>
              </w:rPr>
              <w:t>Indemnity not exclusive</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37</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41</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1060" w:type="dxa"/>
            <w:vAlign w:val="bottom"/>
            <w:gridSpan w:val="11"/>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460" w:type="dxa"/>
            <w:vAlign w:val="bottom"/>
            <w:gridSpan w:val="2"/>
          </w:tcPr>
          <w:p>
            <w:pPr>
              <w:ind w:left="1260"/>
              <w:spacing w:after="0"/>
              <w:rPr>
                <w:sz w:val="20"/>
                <w:szCs w:val="20"/>
                <w:color w:val="auto"/>
              </w:rPr>
            </w:pPr>
            <w:r>
              <w:rPr>
                <w:rFonts w:ascii="Arial" w:cs="Arial" w:eastAsia="Arial" w:hAnsi="Arial"/>
                <w:sz w:val="17"/>
                <w:szCs w:val="17"/>
                <w:b w:val="1"/>
                <w:bCs w:val="1"/>
                <w:color w:val="0000EE"/>
                <w:w w:val="94"/>
              </w:rPr>
              <w:t>19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gridSpan w:val="40"/>
          </w:tcPr>
          <w:p>
            <w:pPr>
              <w:ind w:left="140"/>
              <w:spacing w:after="0"/>
              <w:rPr>
                <w:sz w:val="20"/>
                <w:szCs w:val="20"/>
                <w:color w:val="auto"/>
              </w:rPr>
            </w:pPr>
            <w:r>
              <w:rPr>
                <w:rFonts w:ascii="Arial" w:cs="Arial" w:eastAsia="Arial" w:hAnsi="Arial"/>
                <w:sz w:val="17"/>
                <w:szCs w:val="17"/>
                <w:b w:val="1"/>
                <w:bCs w:val="1"/>
                <w:color w:val="0000EE"/>
              </w:rPr>
              <w:t>SEALS AND EXECUTION OF DOCUMENTS</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FF0000"/>
                <w:strike w:val="1"/>
                <w:w w:val="84"/>
              </w:rPr>
              <w:t>38</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b w:val="1"/>
                <w:bCs w:val="1"/>
                <w:color w:val="0000FF"/>
                <w:w w:val="94"/>
              </w:rPr>
              <w:t>41</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300" w:type="dxa"/>
            <w:vAlign w:val="bottom"/>
            <w:tcBorders>
              <w:left w:val="single" w:sz="8" w:color="0000EE"/>
            </w:tcBorders>
            <w:gridSpan w:val="4"/>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7"/>
            <w:shd w:val="clear" w:color="auto" w:fill="0000EE"/>
          </w:tcPr>
          <w:p>
            <w:pPr>
              <w:spacing w:after="0" w:line="20" w:lineRule="exact"/>
              <w:rPr>
                <w:sz w:val="1"/>
                <w:szCs w:val="1"/>
                <w:color w:val="auto"/>
              </w:rPr>
            </w:pPr>
          </w:p>
        </w:tc>
        <w:tc>
          <w:tcPr>
            <w:tcW w:w="1060" w:type="dxa"/>
            <w:vAlign w:val="bottom"/>
            <w:tcBorders>
              <w:left w:val="single" w:sz="8" w:color="0000EE"/>
            </w:tcBorders>
            <w:gridSpan w:val="11"/>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19.</w:t>
            </w:r>
            <w:r>
              <w:rPr>
                <w:rFonts w:ascii="Arial" w:cs="Arial" w:eastAsia="Arial" w:hAnsi="Arial"/>
                <w:sz w:val="17"/>
                <w:szCs w:val="17"/>
                <w:u w:val="single" w:color="auto"/>
                <w:color w:val="0000EE"/>
                <w:w w:val="96"/>
              </w:rPr>
              <w:t>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gridSpan w:val="40"/>
          </w:tcPr>
          <w:p>
            <w:pPr>
              <w:ind w:left="140"/>
              <w:spacing w:after="0"/>
              <w:rPr>
                <w:sz w:val="20"/>
                <w:szCs w:val="20"/>
                <w:color w:val="auto"/>
              </w:rPr>
            </w:pPr>
            <w:r>
              <w:rPr>
                <w:rFonts w:ascii="Arial" w:cs="Arial" w:eastAsia="Arial" w:hAnsi="Arial"/>
                <w:sz w:val="17"/>
                <w:szCs w:val="17"/>
                <w:color w:val="0000EE"/>
              </w:rPr>
              <w:t>Common seal</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38</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41</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1220" w:type="dxa"/>
            <w:vAlign w:val="bottom"/>
            <w:gridSpan w:val="13"/>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19.</w:t>
            </w:r>
            <w:r>
              <w:rPr>
                <w:rFonts w:ascii="Arial" w:cs="Arial" w:eastAsia="Arial" w:hAnsi="Arial"/>
                <w:sz w:val="17"/>
                <w:szCs w:val="17"/>
                <w:u w:val="single" w:color="auto"/>
                <w:color w:val="0000EE"/>
                <w:w w:val="96"/>
              </w:rPr>
              <w:t>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gridSpan w:val="40"/>
          </w:tcPr>
          <w:p>
            <w:pPr>
              <w:ind w:left="140"/>
              <w:spacing w:after="0"/>
              <w:rPr>
                <w:sz w:val="20"/>
                <w:szCs w:val="20"/>
                <w:color w:val="auto"/>
              </w:rPr>
            </w:pPr>
            <w:r>
              <w:rPr>
                <w:rFonts w:ascii="Arial" w:cs="Arial" w:eastAsia="Arial" w:hAnsi="Arial"/>
                <w:sz w:val="17"/>
                <w:szCs w:val="17"/>
                <w:color w:val="0000EE"/>
              </w:rPr>
              <w:t>Use of common seal</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38</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42</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40" w:type="dxa"/>
            <w:vAlign w:val="bottom"/>
            <w:tcBorders>
              <w:right w:val="single" w:sz="8" w:color="0000EE"/>
            </w:tcBorders>
            <w:gridSpan w:val="9"/>
            <w:shd w:val="clear" w:color="auto" w:fill="0000EE"/>
          </w:tcPr>
          <w:p>
            <w:pPr>
              <w:spacing w:after="0" w:line="20" w:lineRule="exact"/>
              <w:rPr>
                <w:sz w:val="1"/>
                <w:szCs w:val="1"/>
                <w:color w:val="auto"/>
              </w:rPr>
            </w:pPr>
          </w:p>
        </w:tc>
        <w:tc>
          <w:tcPr>
            <w:tcW w:w="300" w:type="dxa"/>
            <w:vAlign w:val="bottom"/>
            <w:tcBorders>
              <w:left w:val="single" w:sz="8" w:color="0000EE"/>
            </w:tcBorders>
            <w:gridSpan w:val="4"/>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1220" w:type="dxa"/>
            <w:vAlign w:val="bottom"/>
            <w:gridSpan w:val="13"/>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19.</w:t>
            </w:r>
            <w:r>
              <w:rPr>
                <w:rFonts w:ascii="Arial" w:cs="Arial" w:eastAsia="Arial" w:hAnsi="Arial"/>
                <w:sz w:val="17"/>
                <w:szCs w:val="17"/>
                <w:u w:val="single" w:color="auto"/>
                <w:color w:val="0000EE"/>
                <w:w w:val="96"/>
              </w:rPr>
              <w:t>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gridSpan w:val="40"/>
          </w:tcPr>
          <w:p>
            <w:pPr>
              <w:ind w:left="140"/>
              <w:spacing w:after="0"/>
              <w:rPr>
                <w:sz w:val="20"/>
                <w:szCs w:val="20"/>
                <w:color w:val="auto"/>
              </w:rPr>
            </w:pPr>
            <w:r>
              <w:rPr>
                <w:rFonts w:ascii="Arial" w:cs="Arial" w:eastAsia="Arial" w:hAnsi="Arial"/>
                <w:sz w:val="17"/>
                <w:szCs w:val="17"/>
                <w:color w:val="0000EE"/>
              </w:rPr>
              <w:t>Share certificate sealing and signing mechanics</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38</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42</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40" w:type="dxa"/>
            <w:vAlign w:val="bottom"/>
            <w:tcBorders>
              <w:right w:val="single" w:sz="8" w:color="0000EE"/>
            </w:tcBorders>
            <w:gridSpan w:val="9"/>
            <w:shd w:val="clear" w:color="auto" w:fill="0000EE"/>
          </w:tcPr>
          <w:p>
            <w:pPr>
              <w:spacing w:after="0" w:line="20" w:lineRule="exact"/>
              <w:rPr>
                <w:sz w:val="1"/>
                <w:szCs w:val="1"/>
                <w:color w:val="auto"/>
              </w:rPr>
            </w:pPr>
          </w:p>
        </w:tc>
        <w:tc>
          <w:tcPr>
            <w:tcW w:w="300" w:type="dxa"/>
            <w:vAlign w:val="bottom"/>
            <w:tcBorders>
              <w:left w:val="single" w:sz="8" w:color="0000EE"/>
            </w:tcBorders>
            <w:gridSpan w:val="4"/>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7"/>
            <w:shd w:val="clear" w:color="auto" w:fill="0000EE"/>
          </w:tcPr>
          <w:p>
            <w:pPr>
              <w:spacing w:after="0" w:line="20" w:lineRule="exact"/>
              <w:rPr>
                <w:sz w:val="1"/>
                <w:szCs w:val="1"/>
                <w:color w:val="auto"/>
              </w:rPr>
            </w:pPr>
          </w:p>
        </w:tc>
        <w:tc>
          <w:tcPr>
            <w:tcW w:w="1220" w:type="dxa"/>
            <w:vAlign w:val="bottom"/>
            <w:tcBorders>
              <w:left w:val="single" w:sz="8" w:color="0000EE"/>
            </w:tcBorders>
            <w:gridSpan w:val="13"/>
            <w:shd w:val="clear" w:color="auto" w:fill="0000EE"/>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19.</w:t>
            </w:r>
            <w:r>
              <w:rPr>
                <w:rFonts w:ascii="Arial" w:cs="Arial" w:eastAsia="Arial" w:hAnsi="Arial"/>
                <w:sz w:val="17"/>
                <w:szCs w:val="17"/>
                <w:u w:val="single" w:color="auto"/>
                <w:color w:val="0000EE"/>
                <w:w w:val="96"/>
              </w:rPr>
              <w:t>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gridSpan w:val="40"/>
          </w:tcPr>
          <w:p>
            <w:pPr>
              <w:ind w:left="140"/>
              <w:spacing w:after="0"/>
              <w:rPr>
                <w:sz w:val="20"/>
                <w:szCs w:val="20"/>
                <w:color w:val="auto"/>
              </w:rPr>
            </w:pPr>
            <w:r>
              <w:rPr>
                <w:rFonts w:ascii="Arial" w:cs="Arial" w:eastAsia="Arial" w:hAnsi="Arial"/>
                <w:sz w:val="17"/>
                <w:szCs w:val="17"/>
                <w:color w:val="0000EE"/>
              </w:rPr>
              <w:t>Execution of documents</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38</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42</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40" w:type="dxa"/>
            <w:vAlign w:val="bottom"/>
            <w:tcBorders>
              <w:right w:val="single" w:sz="8" w:color="0000EE"/>
            </w:tcBorders>
            <w:gridSpan w:val="9"/>
            <w:shd w:val="clear" w:color="auto" w:fill="0000EE"/>
          </w:tcPr>
          <w:p>
            <w:pPr>
              <w:spacing w:after="0" w:line="20" w:lineRule="exact"/>
              <w:rPr>
                <w:sz w:val="1"/>
                <w:szCs w:val="1"/>
                <w:color w:val="auto"/>
              </w:rPr>
            </w:pPr>
          </w:p>
        </w:tc>
        <w:tc>
          <w:tcPr>
            <w:tcW w:w="300" w:type="dxa"/>
            <w:vAlign w:val="bottom"/>
            <w:tcBorders>
              <w:left w:val="single" w:sz="8" w:color="0000EE"/>
            </w:tcBorders>
            <w:gridSpan w:val="4"/>
            <w:shd w:val="clear" w:color="auto" w:fill="0000EE"/>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3760" w:type="dxa"/>
            <w:vAlign w:val="bottom"/>
            <w:gridSpan w:val="1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19.</w:t>
            </w:r>
            <w:r>
              <w:rPr>
                <w:rFonts w:ascii="Arial" w:cs="Arial" w:eastAsia="Arial" w:hAnsi="Arial"/>
                <w:sz w:val="17"/>
                <w:szCs w:val="17"/>
                <w:u w:val="single" w:color="auto"/>
                <w:color w:val="0000EE"/>
                <w:w w:val="96"/>
              </w:rPr>
              <w:t>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gridSpan w:val="40"/>
          </w:tcPr>
          <w:p>
            <w:pPr>
              <w:ind w:left="140"/>
              <w:spacing w:after="0"/>
              <w:rPr>
                <w:sz w:val="20"/>
                <w:szCs w:val="20"/>
                <w:color w:val="auto"/>
              </w:rPr>
            </w:pPr>
            <w:r>
              <w:rPr>
                <w:rFonts w:ascii="Arial" w:cs="Arial" w:eastAsia="Arial" w:hAnsi="Arial"/>
                <w:sz w:val="17"/>
                <w:szCs w:val="17"/>
                <w:color w:val="0000EE"/>
              </w:rPr>
              <w:t>Signing of cheques and receipts</w:t>
            </w:r>
          </w:p>
        </w:tc>
        <w:tc>
          <w:tcPr>
            <w:tcW w:w="180" w:type="dxa"/>
            <w:vAlign w:val="bottom"/>
          </w:tcPr>
          <w:p>
            <w:pPr>
              <w:jc w:val="right"/>
              <w:spacing w:after="0"/>
              <w:rPr>
                <w:sz w:val="20"/>
                <w:szCs w:val="20"/>
                <w:color w:val="auto"/>
              </w:rPr>
            </w:pPr>
            <w:r>
              <w:rPr>
                <w:rFonts w:ascii="Arial" w:cs="Arial" w:eastAsia="Arial" w:hAnsi="Arial"/>
                <w:sz w:val="17"/>
                <w:szCs w:val="17"/>
                <w:color w:val="FF0000"/>
                <w:strike w:val="1"/>
                <w:w w:val="84"/>
              </w:rPr>
              <w:t>39</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color w:val="0000FF"/>
                <w:w w:val="94"/>
              </w:rPr>
              <w:t>42</w:t>
            </w: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40" w:type="dxa"/>
            <w:vAlign w:val="bottom"/>
            <w:tcBorders>
              <w:right w:val="single" w:sz="8" w:color="0000EE"/>
            </w:tcBorders>
            <w:gridSpan w:val="9"/>
            <w:shd w:val="clear" w:color="auto" w:fill="0000EE"/>
          </w:tcPr>
          <w:p>
            <w:pPr>
              <w:spacing w:after="0" w:line="20" w:lineRule="exact"/>
              <w:rPr>
                <w:sz w:val="1"/>
                <w:szCs w:val="1"/>
                <w:color w:val="auto"/>
              </w:rPr>
            </w:pPr>
          </w:p>
        </w:tc>
        <w:tc>
          <w:tcPr>
            <w:tcW w:w="920" w:type="dxa"/>
            <w:vAlign w:val="bottom"/>
            <w:tcBorders>
              <w:left w:val="single" w:sz="8" w:color="0000EE"/>
              <w:right w:val="single" w:sz="8" w:color="0000EE"/>
            </w:tcBorders>
            <w:gridSpan w:val="11"/>
            <w:shd w:val="clear" w:color="auto" w:fill="0000EE"/>
          </w:tcPr>
          <w:p>
            <w:pPr>
              <w:spacing w:after="0" w:line="20" w:lineRule="exact"/>
              <w:rPr>
                <w:sz w:val="1"/>
                <w:szCs w:val="1"/>
                <w:color w:val="auto"/>
              </w:rPr>
            </w:pPr>
          </w:p>
        </w:tc>
        <w:tc>
          <w:tcPr>
            <w:tcW w:w="3760" w:type="dxa"/>
            <w:vAlign w:val="bottom"/>
            <w:gridSpan w:val="1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1460" w:type="dxa"/>
            <w:vAlign w:val="bottom"/>
            <w:gridSpan w:val="2"/>
          </w:tcPr>
          <w:p>
            <w:pPr>
              <w:ind w:left="1260"/>
              <w:spacing w:after="0"/>
              <w:rPr>
                <w:sz w:val="20"/>
                <w:szCs w:val="20"/>
                <w:color w:val="auto"/>
              </w:rPr>
            </w:pPr>
            <w:r>
              <w:rPr>
                <w:rFonts w:ascii="Arial" w:cs="Arial" w:eastAsia="Arial" w:hAnsi="Arial"/>
                <w:sz w:val="17"/>
                <w:szCs w:val="17"/>
                <w:b w:val="1"/>
                <w:bCs w:val="1"/>
                <w:color w:val="0000EE"/>
                <w:w w:val="94"/>
              </w:rPr>
              <w:t>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ind w:left="140"/>
              <w:spacing w:after="0"/>
              <w:rPr>
                <w:sz w:val="20"/>
                <w:szCs w:val="20"/>
                <w:color w:val="auto"/>
              </w:rPr>
            </w:pPr>
            <w:r>
              <w:rPr>
                <w:rFonts w:ascii="Arial" w:cs="Arial" w:eastAsia="Arial" w:hAnsi="Arial"/>
                <w:sz w:val="17"/>
                <w:szCs w:val="17"/>
                <w:b w:val="1"/>
                <w:bCs w:val="1"/>
                <w:color w:val="0000EE"/>
              </w:rPr>
              <w:t>AUDIT,</w:t>
            </w:r>
          </w:p>
        </w:tc>
        <w:tc>
          <w:tcPr>
            <w:tcW w:w="940" w:type="dxa"/>
            <w:vAlign w:val="bottom"/>
            <w:gridSpan w:val="9"/>
          </w:tcPr>
          <w:p>
            <w:pPr>
              <w:spacing w:after="0"/>
              <w:rPr>
                <w:sz w:val="20"/>
                <w:szCs w:val="20"/>
                <w:color w:val="auto"/>
              </w:rPr>
            </w:pPr>
            <w:r>
              <w:rPr>
                <w:rFonts w:ascii="Arial" w:cs="Arial" w:eastAsia="Arial" w:hAnsi="Arial"/>
                <w:sz w:val="17"/>
                <w:szCs w:val="17"/>
                <w:b w:val="1"/>
                <w:bCs w:val="1"/>
                <w:color w:val="FF0000"/>
                <w:strike w:val="1"/>
              </w:rPr>
              <w:t>FINANCAL</w:t>
            </w:r>
          </w:p>
        </w:tc>
        <w:tc>
          <w:tcPr>
            <w:tcW w:w="5580" w:type="dxa"/>
            <w:vAlign w:val="bottom"/>
            <w:gridSpan w:val="29"/>
          </w:tcPr>
          <w:p>
            <w:pPr>
              <w:spacing w:after="0"/>
              <w:rPr>
                <w:sz w:val="20"/>
                <w:szCs w:val="20"/>
                <w:color w:val="auto"/>
              </w:rPr>
            </w:pPr>
            <w:r>
              <w:rPr>
                <w:rFonts w:ascii="Arial" w:cs="Arial" w:eastAsia="Arial" w:hAnsi="Arial"/>
                <w:sz w:val="17"/>
                <w:szCs w:val="17"/>
                <w:b w:val="1"/>
                <w:bCs w:val="1"/>
                <w:color w:val="0000FF"/>
              </w:rPr>
              <w:t xml:space="preserve">FINANCIAL </w:t>
            </w:r>
            <w:r>
              <w:rPr>
                <w:rFonts w:ascii="Arial" w:cs="Arial" w:eastAsia="Arial" w:hAnsi="Arial"/>
                <w:sz w:val="17"/>
                <w:szCs w:val="17"/>
                <w:b w:val="1"/>
                <w:bCs w:val="1"/>
                <w:color w:val="0000EE"/>
              </w:rPr>
              <w:t>ACCOUNTS AND INSPECTION OF RECORDS</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FF0000"/>
                <w:strike w:val="1"/>
                <w:w w:val="84"/>
              </w:rPr>
              <w:t>39</w:t>
            </w:r>
          </w:p>
        </w:tc>
        <w:tc>
          <w:tcPr>
            <w:tcW w:w="1400" w:type="dxa"/>
            <w:vAlign w:val="bottom"/>
            <w:gridSpan w:val="2"/>
          </w:tcPr>
          <w:p>
            <w:pPr>
              <w:jc w:val="right"/>
              <w:ind w:right="1200"/>
              <w:spacing w:after="0"/>
              <w:rPr>
                <w:sz w:val="20"/>
                <w:szCs w:val="20"/>
                <w:color w:val="auto"/>
              </w:rPr>
            </w:pPr>
            <w:r>
              <w:rPr>
                <w:rFonts w:ascii="Arial" w:cs="Arial" w:eastAsia="Arial" w:hAnsi="Arial"/>
                <w:sz w:val="17"/>
                <w:szCs w:val="17"/>
                <w:b w:val="1"/>
                <w:bCs w:val="1"/>
                <w:color w:val="0000FF"/>
                <w:w w:val="94"/>
              </w:rPr>
              <w:t>42</w:t>
            </w:r>
          </w:p>
        </w:tc>
      </w:tr>
      <w:tr>
        <w:trPr>
          <w:trHeight w:val="235"/>
        </w:trPr>
        <w:tc>
          <w:tcPr>
            <w:tcW w:w="1260" w:type="dxa"/>
            <w:vAlign w:val="bottom"/>
            <w:tcBorders>
              <w:bottom w:val="single" w:sz="8" w:color="auto"/>
            </w:tcBorders>
          </w:tcPr>
          <w:p>
            <w:pPr>
              <w:spacing w:after="0"/>
              <w:rPr>
                <w:sz w:val="20"/>
                <w:szCs w:val="20"/>
                <w:color w:val="auto"/>
              </w:rPr>
            </w:pPr>
          </w:p>
        </w:tc>
        <w:tc>
          <w:tcPr>
            <w:tcW w:w="200" w:type="dxa"/>
            <w:vAlign w:val="bottom"/>
            <w:tcBorders>
              <w:top w:val="single" w:sz="8" w:color="0000EE"/>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top w:val="single" w:sz="8" w:color="0000EE"/>
              <w:bottom w:val="single" w:sz="8" w:color="auto"/>
            </w:tcBorders>
          </w:tcPr>
          <w:p>
            <w:pPr>
              <w:spacing w:after="0"/>
              <w:rPr>
                <w:sz w:val="20"/>
                <w:szCs w:val="20"/>
                <w:color w:val="auto"/>
              </w:rPr>
            </w:pPr>
          </w:p>
        </w:tc>
        <w:tc>
          <w:tcPr>
            <w:tcW w:w="120" w:type="dxa"/>
            <w:vAlign w:val="bottom"/>
            <w:tcBorders>
              <w:top w:val="single" w:sz="8" w:color="0000EE"/>
              <w:bottom w:val="single" w:sz="8" w:color="auto"/>
            </w:tcBorders>
          </w:tcPr>
          <w:p>
            <w:pPr>
              <w:spacing w:after="0"/>
              <w:rPr>
                <w:sz w:val="20"/>
                <w:szCs w:val="20"/>
                <w:color w:val="auto"/>
              </w:rPr>
            </w:pPr>
          </w:p>
        </w:tc>
        <w:tc>
          <w:tcPr>
            <w:tcW w:w="20" w:type="dxa"/>
            <w:vAlign w:val="bottom"/>
            <w:tcBorders>
              <w:top w:val="single" w:sz="8" w:color="0000EE"/>
              <w:bottom w:val="single" w:sz="8" w:color="auto"/>
            </w:tcBorders>
          </w:tcPr>
          <w:p>
            <w:pPr>
              <w:spacing w:after="0"/>
              <w:rPr>
                <w:sz w:val="20"/>
                <w:szCs w:val="20"/>
                <w:color w:val="auto"/>
              </w:rPr>
            </w:pPr>
          </w:p>
        </w:tc>
        <w:tc>
          <w:tcPr>
            <w:tcW w:w="20" w:type="dxa"/>
            <w:vAlign w:val="bottom"/>
            <w:tcBorders>
              <w:top w:val="single" w:sz="8" w:color="0000EE"/>
              <w:bottom w:val="single" w:sz="8" w:color="auto"/>
            </w:tcBorders>
          </w:tcPr>
          <w:p>
            <w:pPr>
              <w:spacing w:after="0"/>
              <w:rPr>
                <w:sz w:val="20"/>
                <w:szCs w:val="20"/>
                <w:color w:val="auto"/>
              </w:rPr>
            </w:pPr>
          </w:p>
        </w:tc>
        <w:tc>
          <w:tcPr>
            <w:tcW w:w="180" w:type="dxa"/>
            <w:vAlign w:val="bottom"/>
            <w:tcBorders>
              <w:top w:val="single" w:sz="8" w:color="0000EE"/>
              <w:bottom w:val="single" w:sz="8" w:color="auto"/>
            </w:tcBorders>
          </w:tcPr>
          <w:p>
            <w:pPr>
              <w:spacing w:after="0"/>
              <w:rPr>
                <w:sz w:val="20"/>
                <w:szCs w:val="20"/>
                <w:color w:val="auto"/>
              </w:rPr>
            </w:pPr>
          </w:p>
        </w:tc>
        <w:tc>
          <w:tcPr>
            <w:tcW w:w="120" w:type="dxa"/>
            <w:vAlign w:val="bottom"/>
            <w:tcBorders>
              <w:top w:val="single" w:sz="8" w:color="0000EE"/>
              <w:bottom w:val="single" w:sz="8" w:color="auto"/>
            </w:tcBorders>
          </w:tcPr>
          <w:p>
            <w:pPr>
              <w:spacing w:after="0"/>
              <w:rPr>
                <w:sz w:val="20"/>
                <w:szCs w:val="20"/>
                <w:color w:val="auto"/>
              </w:rPr>
            </w:pPr>
          </w:p>
        </w:tc>
        <w:tc>
          <w:tcPr>
            <w:tcW w:w="340" w:type="dxa"/>
            <w:vAlign w:val="bottom"/>
            <w:tcBorders>
              <w:top w:val="single" w:sz="8" w:color="0000EE"/>
              <w:bottom w:val="single" w:sz="8" w:color="auto"/>
            </w:tcBorders>
          </w:tcPr>
          <w:p>
            <w:pPr>
              <w:spacing w:after="0"/>
              <w:rPr>
                <w:sz w:val="20"/>
                <w:szCs w:val="20"/>
                <w:color w:val="auto"/>
              </w:rPr>
            </w:pPr>
          </w:p>
        </w:tc>
        <w:tc>
          <w:tcPr>
            <w:tcW w:w="20" w:type="dxa"/>
            <w:vAlign w:val="bottom"/>
            <w:tcBorders>
              <w:top w:val="single" w:sz="8" w:color="0000EE"/>
              <w:bottom w:val="single" w:sz="8" w:color="auto"/>
            </w:tcBorders>
          </w:tcPr>
          <w:p>
            <w:pPr>
              <w:spacing w:after="0"/>
              <w:rPr>
                <w:sz w:val="20"/>
                <w:szCs w:val="20"/>
                <w:color w:val="auto"/>
              </w:rPr>
            </w:pPr>
          </w:p>
        </w:tc>
        <w:tc>
          <w:tcPr>
            <w:tcW w:w="40" w:type="dxa"/>
            <w:vAlign w:val="bottom"/>
            <w:tcBorders>
              <w:top w:val="single" w:sz="8" w:color="0000EE"/>
              <w:bottom w:val="single" w:sz="8" w:color="auto"/>
            </w:tcBorders>
          </w:tcPr>
          <w:p>
            <w:pPr>
              <w:spacing w:after="0"/>
              <w:rPr>
                <w:sz w:val="20"/>
                <w:szCs w:val="20"/>
                <w:color w:val="auto"/>
              </w:rPr>
            </w:pPr>
          </w:p>
        </w:tc>
        <w:tc>
          <w:tcPr>
            <w:tcW w:w="80" w:type="dxa"/>
            <w:vAlign w:val="bottom"/>
            <w:tcBorders>
              <w:top w:val="single" w:sz="8" w:color="0000EE"/>
              <w:bottom w:val="single" w:sz="8" w:color="auto"/>
            </w:tcBorders>
          </w:tcPr>
          <w:p>
            <w:pPr>
              <w:spacing w:after="0"/>
              <w:rPr>
                <w:sz w:val="20"/>
                <w:szCs w:val="20"/>
                <w:color w:val="auto"/>
              </w:rPr>
            </w:pPr>
          </w:p>
        </w:tc>
        <w:tc>
          <w:tcPr>
            <w:tcW w:w="120" w:type="dxa"/>
            <w:vAlign w:val="bottom"/>
            <w:tcBorders>
              <w:top w:val="single" w:sz="8" w:color="0000FF"/>
              <w:bottom w:val="single" w:sz="8" w:color="auto"/>
            </w:tcBorders>
          </w:tcPr>
          <w:p>
            <w:pPr>
              <w:spacing w:after="0"/>
              <w:rPr>
                <w:sz w:val="20"/>
                <w:szCs w:val="20"/>
                <w:color w:val="auto"/>
              </w:rPr>
            </w:pPr>
          </w:p>
        </w:tc>
        <w:tc>
          <w:tcPr>
            <w:tcW w:w="100" w:type="dxa"/>
            <w:vAlign w:val="bottom"/>
            <w:tcBorders>
              <w:top w:val="single" w:sz="8" w:color="0000FF"/>
              <w:bottom w:val="single" w:sz="8" w:color="auto"/>
            </w:tcBorders>
          </w:tcPr>
          <w:p>
            <w:pPr>
              <w:spacing w:after="0"/>
              <w:rPr>
                <w:sz w:val="20"/>
                <w:szCs w:val="20"/>
                <w:color w:val="auto"/>
              </w:rPr>
            </w:pPr>
          </w:p>
        </w:tc>
        <w:tc>
          <w:tcPr>
            <w:tcW w:w="40" w:type="dxa"/>
            <w:vAlign w:val="bottom"/>
            <w:tcBorders>
              <w:top w:val="single" w:sz="8" w:color="0000FF"/>
              <w:bottom w:val="single" w:sz="8" w:color="auto"/>
            </w:tcBorders>
          </w:tcPr>
          <w:p>
            <w:pPr>
              <w:spacing w:after="0"/>
              <w:rPr>
                <w:sz w:val="20"/>
                <w:szCs w:val="20"/>
                <w:color w:val="auto"/>
              </w:rPr>
            </w:pPr>
          </w:p>
        </w:tc>
        <w:tc>
          <w:tcPr>
            <w:tcW w:w="40" w:type="dxa"/>
            <w:vAlign w:val="bottom"/>
            <w:tcBorders>
              <w:top w:val="single" w:sz="8" w:color="0000FF"/>
              <w:bottom w:val="single" w:sz="8" w:color="auto"/>
            </w:tcBorders>
          </w:tcPr>
          <w:p>
            <w:pPr>
              <w:spacing w:after="0"/>
              <w:rPr>
                <w:sz w:val="20"/>
                <w:szCs w:val="20"/>
                <w:color w:val="auto"/>
              </w:rPr>
            </w:pPr>
          </w:p>
        </w:tc>
        <w:tc>
          <w:tcPr>
            <w:tcW w:w="120" w:type="dxa"/>
            <w:vAlign w:val="bottom"/>
            <w:tcBorders>
              <w:top w:val="single" w:sz="8" w:color="0000FF"/>
              <w:bottom w:val="single" w:sz="8" w:color="auto"/>
            </w:tcBorders>
          </w:tcPr>
          <w:p>
            <w:pPr>
              <w:spacing w:after="0"/>
              <w:rPr>
                <w:sz w:val="20"/>
                <w:szCs w:val="20"/>
                <w:color w:val="auto"/>
              </w:rPr>
            </w:pPr>
          </w:p>
        </w:tc>
        <w:tc>
          <w:tcPr>
            <w:tcW w:w="80" w:type="dxa"/>
            <w:vAlign w:val="bottom"/>
            <w:tcBorders>
              <w:top w:val="single" w:sz="8" w:color="0000FF"/>
              <w:bottom w:val="single" w:sz="8" w:color="auto"/>
            </w:tcBorders>
          </w:tcPr>
          <w:p>
            <w:pPr>
              <w:spacing w:after="0"/>
              <w:rPr>
                <w:sz w:val="20"/>
                <w:szCs w:val="20"/>
                <w:color w:val="auto"/>
              </w:rPr>
            </w:pPr>
          </w:p>
        </w:tc>
        <w:tc>
          <w:tcPr>
            <w:tcW w:w="120" w:type="dxa"/>
            <w:vAlign w:val="bottom"/>
            <w:tcBorders>
              <w:top w:val="single" w:sz="8" w:color="0000FF"/>
              <w:bottom w:val="single" w:sz="8" w:color="auto"/>
            </w:tcBorders>
          </w:tcPr>
          <w:p>
            <w:pPr>
              <w:spacing w:after="0"/>
              <w:rPr>
                <w:sz w:val="20"/>
                <w:szCs w:val="20"/>
                <w:color w:val="auto"/>
              </w:rPr>
            </w:pPr>
          </w:p>
        </w:tc>
        <w:tc>
          <w:tcPr>
            <w:tcW w:w="80" w:type="dxa"/>
            <w:vAlign w:val="bottom"/>
            <w:tcBorders>
              <w:top w:val="single" w:sz="8" w:color="0000FF"/>
              <w:bottom w:val="single" w:sz="8" w:color="auto"/>
            </w:tcBorders>
          </w:tcPr>
          <w:p>
            <w:pPr>
              <w:spacing w:after="0"/>
              <w:rPr>
                <w:sz w:val="20"/>
                <w:szCs w:val="20"/>
                <w:color w:val="auto"/>
              </w:rPr>
            </w:pPr>
          </w:p>
        </w:tc>
        <w:tc>
          <w:tcPr>
            <w:tcW w:w="20" w:type="dxa"/>
            <w:vAlign w:val="bottom"/>
            <w:tcBorders>
              <w:top w:val="single" w:sz="8" w:color="0000FF"/>
              <w:bottom w:val="single" w:sz="8" w:color="auto"/>
            </w:tcBorders>
          </w:tcPr>
          <w:p>
            <w:pPr>
              <w:spacing w:after="0"/>
              <w:rPr>
                <w:sz w:val="20"/>
                <w:szCs w:val="20"/>
                <w:color w:val="auto"/>
              </w:rPr>
            </w:pPr>
          </w:p>
        </w:tc>
        <w:tc>
          <w:tcPr>
            <w:tcW w:w="140" w:type="dxa"/>
            <w:vAlign w:val="bottom"/>
            <w:tcBorders>
              <w:top w:val="single" w:sz="8" w:color="0000FF"/>
              <w:bottom w:val="single" w:sz="8" w:color="auto"/>
            </w:tcBorders>
          </w:tcPr>
          <w:p>
            <w:pPr>
              <w:spacing w:after="0"/>
              <w:rPr>
                <w:sz w:val="20"/>
                <w:szCs w:val="20"/>
                <w:color w:val="auto"/>
              </w:rPr>
            </w:pPr>
          </w:p>
        </w:tc>
        <w:tc>
          <w:tcPr>
            <w:tcW w:w="60" w:type="dxa"/>
            <w:vAlign w:val="bottom"/>
            <w:tcBorders>
              <w:top w:val="single" w:sz="8" w:color="0000FF"/>
              <w:bottom w:val="single" w:sz="8" w:color="auto"/>
            </w:tcBorders>
          </w:tcPr>
          <w:p>
            <w:pPr>
              <w:spacing w:after="0"/>
              <w:rPr>
                <w:sz w:val="20"/>
                <w:szCs w:val="20"/>
                <w:color w:val="auto"/>
              </w:rPr>
            </w:pPr>
          </w:p>
        </w:tc>
        <w:tc>
          <w:tcPr>
            <w:tcW w:w="80" w:type="dxa"/>
            <w:vAlign w:val="bottom"/>
            <w:tcBorders>
              <w:top w:val="single" w:sz="8" w:color="0000EE"/>
              <w:bottom w:val="single" w:sz="8" w:color="auto"/>
            </w:tcBorders>
          </w:tcPr>
          <w:p>
            <w:pPr>
              <w:spacing w:after="0"/>
              <w:rPr>
                <w:sz w:val="20"/>
                <w:szCs w:val="20"/>
                <w:color w:val="auto"/>
              </w:rPr>
            </w:pPr>
          </w:p>
        </w:tc>
        <w:tc>
          <w:tcPr>
            <w:tcW w:w="40" w:type="dxa"/>
            <w:vAlign w:val="bottom"/>
            <w:tcBorders>
              <w:top w:val="single" w:sz="8" w:color="0000EE"/>
              <w:bottom w:val="single" w:sz="8" w:color="auto"/>
            </w:tcBorders>
          </w:tcPr>
          <w:p>
            <w:pPr>
              <w:spacing w:after="0"/>
              <w:rPr>
                <w:sz w:val="20"/>
                <w:szCs w:val="20"/>
                <w:color w:val="auto"/>
              </w:rPr>
            </w:pPr>
          </w:p>
        </w:tc>
        <w:tc>
          <w:tcPr>
            <w:tcW w:w="60" w:type="dxa"/>
            <w:vAlign w:val="bottom"/>
            <w:tcBorders>
              <w:top w:val="single" w:sz="8" w:color="0000EE"/>
              <w:bottom w:val="single" w:sz="8" w:color="auto"/>
            </w:tcBorders>
          </w:tcPr>
          <w:p>
            <w:pPr>
              <w:spacing w:after="0"/>
              <w:rPr>
                <w:sz w:val="20"/>
                <w:szCs w:val="20"/>
                <w:color w:val="auto"/>
              </w:rPr>
            </w:pPr>
          </w:p>
        </w:tc>
        <w:tc>
          <w:tcPr>
            <w:tcW w:w="80" w:type="dxa"/>
            <w:vAlign w:val="bottom"/>
            <w:tcBorders>
              <w:top w:val="single" w:sz="8" w:color="0000EE"/>
              <w:bottom w:val="single" w:sz="8" w:color="auto"/>
            </w:tcBorders>
          </w:tcPr>
          <w:p>
            <w:pPr>
              <w:spacing w:after="0"/>
              <w:rPr>
                <w:sz w:val="20"/>
                <w:szCs w:val="20"/>
                <w:color w:val="auto"/>
              </w:rPr>
            </w:pPr>
          </w:p>
        </w:tc>
        <w:tc>
          <w:tcPr>
            <w:tcW w:w="80" w:type="dxa"/>
            <w:vAlign w:val="bottom"/>
            <w:tcBorders>
              <w:top w:val="single" w:sz="8" w:color="0000EE"/>
              <w:bottom w:val="single" w:sz="8" w:color="auto"/>
            </w:tcBorders>
          </w:tcPr>
          <w:p>
            <w:pPr>
              <w:spacing w:after="0"/>
              <w:rPr>
                <w:sz w:val="20"/>
                <w:szCs w:val="20"/>
                <w:color w:val="auto"/>
              </w:rPr>
            </w:pPr>
          </w:p>
        </w:tc>
        <w:tc>
          <w:tcPr>
            <w:tcW w:w="80" w:type="dxa"/>
            <w:vAlign w:val="bottom"/>
            <w:tcBorders>
              <w:top w:val="single" w:sz="8" w:color="0000EE"/>
              <w:bottom w:val="single" w:sz="8" w:color="auto"/>
            </w:tcBorders>
          </w:tcPr>
          <w:p>
            <w:pPr>
              <w:spacing w:after="0"/>
              <w:rPr>
                <w:sz w:val="20"/>
                <w:szCs w:val="20"/>
                <w:color w:val="auto"/>
              </w:rPr>
            </w:pPr>
          </w:p>
        </w:tc>
        <w:tc>
          <w:tcPr>
            <w:tcW w:w="180" w:type="dxa"/>
            <w:vAlign w:val="bottom"/>
            <w:tcBorders>
              <w:top w:val="single" w:sz="8" w:color="0000EE"/>
              <w:bottom w:val="single" w:sz="8" w:color="auto"/>
            </w:tcBorders>
          </w:tcPr>
          <w:p>
            <w:pPr>
              <w:spacing w:after="0"/>
              <w:rPr>
                <w:sz w:val="20"/>
                <w:szCs w:val="20"/>
                <w:color w:val="auto"/>
              </w:rPr>
            </w:pPr>
          </w:p>
        </w:tc>
        <w:tc>
          <w:tcPr>
            <w:tcW w:w="40" w:type="dxa"/>
            <w:vAlign w:val="bottom"/>
            <w:tcBorders>
              <w:top w:val="single" w:sz="8" w:color="0000EE"/>
              <w:bottom w:val="single" w:sz="8" w:color="auto"/>
            </w:tcBorders>
          </w:tcPr>
          <w:p>
            <w:pPr>
              <w:spacing w:after="0"/>
              <w:rPr>
                <w:sz w:val="20"/>
                <w:szCs w:val="20"/>
                <w:color w:val="auto"/>
              </w:rPr>
            </w:pPr>
          </w:p>
        </w:tc>
        <w:tc>
          <w:tcPr>
            <w:tcW w:w="200" w:type="dxa"/>
            <w:vAlign w:val="bottom"/>
            <w:tcBorders>
              <w:top w:val="single" w:sz="8" w:color="0000EE"/>
              <w:bottom w:val="single" w:sz="8" w:color="auto"/>
            </w:tcBorders>
          </w:tcPr>
          <w:p>
            <w:pPr>
              <w:spacing w:after="0"/>
              <w:rPr>
                <w:sz w:val="20"/>
                <w:szCs w:val="20"/>
                <w:color w:val="auto"/>
              </w:rPr>
            </w:pPr>
          </w:p>
        </w:tc>
        <w:tc>
          <w:tcPr>
            <w:tcW w:w="100" w:type="dxa"/>
            <w:vAlign w:val="bottom"/>
            <w:tcBorders>
              <w:top w:val="single" w:sz="8" w:color="0000EE"/>
              <w:bottom w:val="single" w:sz="8" w:color="auto"/>
            </w:tcBorders>
          </w:tcPr>
          <w:p>
            <w:pPr>
              <w:spacing w:after="0"/>
              <w:rPr>
                <w:sz w:val="20"/>
                <w:szCs w:val="20"/>
                <w:color w:val="auto"/>
              </w:rPr>
            </w:pPr>
          </w:p>
        </w:tc>
        <w:tc>
          <w:tcPr>
            <w:tcW w:w="120" w:type="dxa"/>
            <w:vAlign w:val="bottom"/>
            <w:tcBorders>
              <w:top w:val="single" w:sz="8" w:color="0000EE"/>
              <w:bottom w:val="single" w:sz="8" w:color="auto"/>
            </w:tcBorders>
          </w:tcPr>
          <w:p>
            <w:pPr>
              <w:spacing w:after="0"/>
              <w:rPr>
                <w:sz w:val="20"/>
                <w:szCs w:val="20"/>
                <w:color w:val="auto"/>
              </w:rPr>
            </w:pPr>
          </w:p>
        </w:tc>
        <w:tc>
          <w:tcPr>
            <w:tcW w:w="120" w:type="dxa"/>
            <w:vAlign w:val="bottom"/>
            <w:tcBorders>
              <w:top w:val="single" w:sz="8" w:color="0000EE"/>
              <w:bottom w:val="single" w:sz="8" w:color="auto"/>
            </w:tcBorders>
          </w:tcPr>
          <w:p>
            <w:pPr>
              <w:spacing w:after="0"/>
              <w:rPr>
                <w:sz w:val="20"/>
                <w:szCs w:val="20"/>
                <w:color w:val="auto"/>
              </w:rPr>
            </w:pPr>
          </w:p>
        </w:tc>
        <w:tc>
          <w:tcPr>
            <w:tcW w:w="40" w:type="dxa"/>
            <w:vAlign w:val="bottom"/>
            <w:tcBorders>
              <w:top w:val="single" w:sz="8" w:color="0000EE"/>
              <w:bottom w:val="single" w:sz="8" w:color="auto"/>
            </w:tcBorders>
          </w:tcPr>
          <w:p>
            <w:pPr>
              <w:spacing w:after="0"/>
              <w:rPr>
                <w:sz w:val="20"/>
                <w:szCs w:val="20"/>
                <w:color w:val="auto"/>
              </w:rPr>
            </w:pPr>
          </w:p>
        </w:tc>
        <w:tc>
          <w:tcPr>
            <w:tcW w:w="120" w:type="dxa"/>
            <w:vAlign w:val="bottom"/>
            <w:tcBorders>
              <w:top w:val="single" w:sz="8" w:color="0000EE"/>
              <w:bottom w:val="single" w:sz="8" w:color="auto"/>
            </w:tcBorders>
          </w:tcPr>
          <w:p>
            <w:pPr>
              <w:spacing w:after="0"/>
              <w:rPr>
                <w:sz w:val="20"/>
                <w:szCs w:val="20"/>
                <w:color w:val="auto"/>
              </w:rPr>
            </w:pPr>
          </w:p>
        </w:tc>
        <w:tc>
          <w:tcPr>
            <w:tcW w:w="120" w:type="dxa"/>
            <w:vAlign w:val="bottom"/>
            <w:tcBorders>
              <w:top w:val="single" w:sz="8" w:color="0000EE"/>
              <w:bottom w:val="single" w:sz="8" w:color="auto"/>
            </w:tcBorders>
          </w:tcPr>
          <w:p>
            <w:pPr>
              <w:spacing w:after="0"/>
              <w:rPr>
                <w:sz w:val="20"/>
                <w:szCs w:val="20"/>
                <w:color w:val="auto"/>
              </w:rPr>
            </w:pPr>
          </w:p>
        </w:tc>
        <w:tc>
          <w:tcPr>
            <w:tcW w:w="680" w:type="dxa"/>
            <w:vAlign w:val="bottom"/>
            <w:tcBorders>
              <w:top w:val="single" w:sz="8" w:color="0000EE"/>
              <w:bottom w:val="single" w:sz="8" w:color="auto"/>
            </w:tcBorders>
          </w:tcPr>
          <w:p>
            <w:pPr>
              <w:spacing w:after="0"/>
              <w:rPr>
                <w:sz w:val="20"/>
                <w:szCs w:val="20"/>
                <w:color w:val="auto"/>
              </w:rPr>
            </w:pPr>
          </w:p>
        </w:tc>
        <w:tc>
          <w:tcPr>
            <w:tcW w:w="1620" w:type="dxa"/>
            <w:vAlign w:val="bottom"/>
            <w:tcBorders>
              <w:top w:val="single" w:sz="8" w:color="0000EE"/>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 w:type="dxa"/>
            <w:vAlign w:val="bottom"/>
            <w:tcBorders>
              <w:top w:val="single" w:sz="8" w:color="FF0000"/>
              <w:bottom w:val="single" w:sz="8" w:color="auto"/>
            </w:tcBorders>
          </w:tcPr>
          <w:p>
            <w:pPr>
              <w:spacing w:after="0"/>
              <w:rPr>
                <w:sz w:val="20"/>
                <w:szCs w:val="20"/>
                <w:color w:val="auto"/>
              </w:rPr>
            </w:pPr>
          </w:p>
        </w:tc>
        <w:tc>
          <w:tcPr>
            <w:tcW w:w="200" w:type="dxa"/>
            <w:vAlign w:val="bottom"/>
            <w:tcBorders>
              <w:top w:val="single" w:sz="8" w:color="0000FF"/>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bl>
    <w:p>
      <w:pPr>
        <w:sectPr>
          <w:pgSz w:w="11900" w:h="16838" w:orient="portrait"/>
          <w:cols w:equalWidth="0" w:num="1">
            <w:col w:w="10680"/>
          </w:cols>
          <w:pgMar w:left="600" w:top="115" w:right="619" w:bottom="1440" w:gutter="0" w:footer="0" w:header="0"/>
        </w:sectPr>
      </w:pPr>
    </w:p>
    <w:bookmarkStart w:id="93" w:name="page94"/>
    <w:bookmarkEnd w:id="93"/>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112395</wp:posOffset>
            </wp:positionV>
            <wp:extent cx="615315" cy="32448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20.</w:t>
            </w:r>
            <w:r>
              <w:rPr>
                <w:rFonts w:ascii="Arial" w:cs="Arial" w:eastAsia="Arial" w:hAnsi="Arial"/>
                <w:sz w:val="17"/>
                <w:szCs w:val="17"/>
                <w:u w:val="single" w:color="auto"/>
                <w:color w:val="0000EE"/>
                <w:w w:val="96"/>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960" w:type="dxa"/>
            <w:vAlign w:val="bottom"/>
            <w:gridSpan w:val="29"/>
          </w:tcPr>
          <w:p>
            <w:pPr>
              <w:ind w:left="60"/>
              <w:spacing w:after="0"/>
              <w:rPr>
                <w:sz w:val="20"/>
                <w:szCs w:val="20"/>
                <w:color w:val="auto"/>
              </w:rPr>
            </w:pPr>
            <w:r>
              <w:rPr>
                <w:rFonts w:ascii="Arial" w:cs="Arial" w:eastAsia="Arial" w:hAnsi="Arial"/>
                <w:sz w:val="17"/>
                <w:szCs w:val="17"/>
                <w:color w:val="0000EE"/>
              </w:rPr>
              <w:t>Audit</w:t>
            </w:r>
          </w:p>
        </w:tc>
        <w:tc>
          <w:tcPr>
            <w:tcW w:w="200" w:type="dxa"/>
            <w:vAlign w:val="bottom"/>
          </w:tcPr>
          <w:p>
            <w:pPr>
              <w:jc w:val="right"/>
              <w:spacing w:after="0"/>
              <w:rPr>
                <w:sz w:val="20"/>
                <w:szCs w:val="20"/>
                <w:color w:val="auto"/>
              </w:rPr>
            </w:pPr>
            <w:r>
              <w:rPr>
                <w:rFonts w:ascii="Arial" w:cs="Arial" w:eastAsia="Arial" w:hAnsi="Arial"/>
                <w:sz w:val="17"/>
                <w:szCs w:val="17"/>
                <w:color w:val="FF0000"/>
                <w:strike w:val="1"/>
                <w:w w:val="94"/>
              </w:rPr>
              <w:t>39</w:t>
            </w:r>
          </w:p>
        </w:tc>
        <w:tc>
          <w:tcPr>
            <w:tcW w:w="1440" w:type="dxa"/>
            <w:vAlign w:val="bottom"/>
            <w:gridSpan w:val="2"/>
          </w:tcPr>
          <w:p>
            <w:pPr>
              <w:jc w:val="right"/>
              <w:ind w:right="1260"/>
              <w:spacing w:after="0"/>
              <w:rPr>
                <w:sz w:val="20"/>
                <w:szCs w:val="20"/>
                <w:color w:val="auto"/>
              </w:rPr>
            </w:pPr>
            <w:r>
              <w:rPr>
                <w:rFonts w:ascii="Arial" w:cs="Arial" w:eastAsia="Arial" w:hAnsi="Arial"/>
                <w:sz w:val="17"/>
                <w:szCs w:val="17"/>
                <w:color w:val="0000FF"/>
                <w:w w:val="84"/>
              </w:rPr>
              <w:t>42</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FF0000"/>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20.</w:t>
            </w:r>
            <w:r>
              <w:rPr>
                <w:rFonts w:ascii="Arial" w:cs="Arial" w:eastAsia="Arial" w:hAnsi="Arial"/>
                <w:sz w:val="17"/>
                <w:szCs w:val="17"/>
                <w:u w:val="single" w:color="auto"/>
                <w:color w:val="0000EE"/>
                <w:w w:val="96"/>
              </w:rPr>
              <w:t>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960" w:type="dxa"/>
            <w:vAlign w:val="bottom"/>
            <w:gridSpan w:val="29"/>
          </w:tcPr>
          <w:p>
            <w:pPr>
              <w:ind w:left="60"/>
              <w:spacing w:after="0"/>
              <w:rPr>
                <w:sz w:val="20"/>
                <w:szCs w:val="20"/>
                <w:color w:val="auto"/>
              </w:rPr>
            </w:pPr>
            <w:r>
              <w:rPr>
                <w:rFonts w:ascii="Arial" w:cs="Arial" w:eastAsia="Arial" w:hAnsi="Arial"/>
                <w:sz w:val="17"/>
                <w:szCs w:val="17"/>
                <w:color w:val="0000EE"/>
              </w:rPr>
              <w:t>Provision of financial statements</w:t>
            </w:r>
          </w:p>
        </w:tc>
        <w:tc>
          <w:tcPr>
            <w:tcW w:w="200" w:type="dxa"/>
            <w:vAlign w:val="bottom"/>
          </w:tcPr>
          <w:p>
            <w:pPr>
              <w:jc w:val="right"/>
              <w:spacing w:after="0"/>
              <w:rPr>
                <w:sz w:val="20"/>
                <w:szCs w:val="20"/>
                <w:color w:val="auto"/>
              </w:rPr>
            </w:pPr>
            <w:r>
              <w:rPr>
                <w:rFonts w:ascii="Arial" w:cs="Arial" w:eastAsia="Arial" w:hAnsi="Arial"/>
                <w:sz w:val="17"/>
                <w:szCs w:val="17"/>
                <w:color w:val="FF0000"/>
                <w:strike w:val="1"/>
                <w:w w:val="94"/>
              </w:rPr>
              <w:t>39</w:t>
            </w:r>
          </w:p>
        </w:tc>
        <w:tc>
          <w:tcPr>
            <w:tcW w:w="1440" w:type="dxa"/>
            <w:vAlign w:val="bottom"/>
            <w:gridSpan w:val="2"/>
          </w:tcPr>
          <w:p>
            <w:pPr>
              <w:jc w:val="right"/>
              <w:ind w:right="1260"/>
              <w:spacing w:after="0"/>
              <w:rPr>
                <w:sz w:val="20"/>
                <w:szCs w:val="20"/>
                <w:color w:val="auto"/>
              </w:rPr>
            </w:pPr>
            <w:r>
              <w:rPr>
                <w:rFonts w:ascii="Arial" w:cs="Arial" w:eastAsia="Arial" w:hAnsi="Arial"/>
                <w:sz w:val="17"/>
                <w:szCs w:val="17"/>
                <w:color w:val="0000FF"/>
                <w:w w:val="84"/>
              </w:rPr>
              <w:t>42</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FF0000"/>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3"/>
        </w:trPr>
        <w:tc>
          <w:tcPr>
            <w:tcW w:w="1280" w:type="dxa"/>
            <w:vAlign w:val="bottom"/>
          </w:tcPr>
          <w:p>
            <w:pPr>
              <w:spacing w:after="0"/>
              <w:rPr>
                <w:sz w:val="17"/>
                <w:szCs w:val="17"/>
                <w:color w:val="auto"/>
              </w:rPr>
            </w:pPr>
          </w:p>
        </w:tc>
        <w:tc>
          <w:tcPr>
            <w:tcW w:w="320" w:type="dxa"/>
            <w:vAlign w:val="bottom"/>
            <w:gridSpan w:val="2"/>
          </w:tcPr>
          <w:p>
            <w:pPr>
              <w:spacing w:after="0"/>
              <w:rPr>
                <w:sz w:val="20"/>
                <w:szCs w:val="20"/>
                <w:color w:val="auto"/>
              </w:rPr>
            </w:pPr>
            <w:r>
              <w:rPr>
                <w:rFonts w:ascii="Arial" w:cs="Arial" w:eastAsia="Arial" w:hAnsi="Arial"/>
                <w:sz w:val="17"/>
                <w:szCs w:val="17"/>
                <w:color w:val="FF0000"/>
                <w:strike w:val="1"/>
                <w:w w:val="90"/>
              </w:rPr>
              <w:t>20.</w:t>
            </w:r>
            <w:r>
              <w:rPr>
                <w:rFonts w:ascii="Arial" w:cs="Arial" w:eastAsia="Arial" w:hAnsi="Arial"/>
                <w:sz w:val="17"/>
                <w:szCs w:val="17"/>
                <w:u w:val="single" w:color="auto"/>
                <w:color w:val="FF0000"/>
                <w:strike w:val="1"/>
                <w:w w:val="90"/>
              </w:rPr>
              <w:t>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960" w:type="dxa"/>
            <w:vAlign w:val="bottom"/>
            <w:gridSpan w:val="29"/>
          </w:tcPr>
          <w:p>
            <w:pPr>
              <w:ind w:left="60"/>
              <w:spacing w:after="0"/>
              <w:rPr>
                <w:sz w:val="20"/>
                <w:szCs w:val="20"/>
                <w:color w:val="auto"/>
              </w:rPr>
            </w:pPr>
            <w:r>
              <w:rPr>
                <w:rFonts w:ascii="Arial" w:cs="Arial" w:eastAsia="Arial" w:hAnsi="Arial"/>
                <w:sz w:val="17"/>
                <w:szCs w:val="17"/>
                <w:color w:val="0000EE"/>
              </w:rPr>
              <w:t>Inspection by members</w:t>
            </w:r>
          </w:p>
        </w:tc>
        <w:tc>
          <w:tcPr>
            <w:tcW w:w="200" w:type="dxa"/>
            <w:vAlign w:val="bottom"/>
          </w:tcPr>
          <w:p>
            <w:pPr>
              <w:jc w:val="right"/>
              <w:spacing w:after="0"/>
              <w:rPr>
                <w:sz w:val="20"/>
                <w:szCs w:val="20"/>
                <w:color w:val="auto"/>
              </w:rPr>
            </w:pPr>
            <w:r>
              <w:rPr>
                <w:rFonts w:ascii="Arial" w:cs="Arial" w:eastAsia="Arial" w:hAnsi="Arial"/>
                <w:sz w:val="17"/>
                <w:szCs w:val="17"/>
                <w:color w:val="FF0000"/>
                <w:strike w:val="1"/>
                <w:w w:val="94"/>
              </w:rPr>
              <w:t>39</w:t>
            </w:r>
          </w:p>
        </w:tc>
        <w:tc>
          <w:tcPr>
            <w:tcW w:w="1440" w:type="dxa"/>
            <w:vAlign w:val="bottom"/>
            <w:gridSpan w:val="2"/>
          </w:tcPr>
          <w:p>
            <w:pPr>
              <w:jc w:val="right"/>
              <w:ind w:right="1260"/>
              <w:spacing w:after="0"/>
              <w:rPr>
                <w:sz w:val="20"/>
                <w:szCs w:val="20"/>
                <w:color w:val="auto"/>
              </w:rPr>
            </w:pPr>
            <w:r>
              <w:rPr>
                <w:rFonts w:ascii="Arial" w:cs="Arial" w:eastAsia="Arial" w:hAnsi="Arial"/>
                <w:sz w:val="17"/>
                <w:szCs w:val="17"/>
                <w:color w:val="0000FF"/>
                <w:w w:val="84"/>
              </w:rPr>
              <w:t>43</w:t>
            </w:r>
          </w:p>
        </w:tc>
      </w:tr>
      <w:tr>
        <w:trPr>
          <w:trHeight w:val="20"/>
        </w:trPr>
        <w:tc>
          <w:tcPr>
            <w:tcW w:w="1280" w:type="dxa"/>
            <w:vAlign w:val="bottom"/>
            <w:tcBorders>
              <w:right w:val="single" w:sz="8" w:color="FF0000"/>
            </w:tcBorders>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140" w:type="dxa"/>
            <w:vAlign w:val="bottom"/>
            <w:shd w:val="clear" w:color="auto" w:fill="FF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FF0000"/>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3"/>
        </w:trPr>
        <w:tc>
          <w:tcPr>
            <w:tcW w:w="1280" w:type="dxa"/>
            <w:vAlign w:val="bottom"/>
          </w:tcPr>
          <w:p>
            <w:pPr>
              <w:spacing w:after="0"/>
              <w:rPr>
                <w:sz w:val="17"/>
                <w:szCs w:val="17"/>
                <w:color w:val="auto"/>
              </w:rPr>
            </w:pPr>
          </w:p>
        </w:tc>
        <w:tc>
          <w:tcPr>
            <w:tcW w:w="320" w:type="dxa"/>
            <w:vAlign w:val="bottom"/>
            <w:gridSpan w:val="2"/>
          </w:tcPr>
          <w:p>
            <w:pPr>
              <w:spacing w:after="0"/>
              <w:rPr>
                <w:sz w:val="20"/>
                <w:szCs w:val="20"/>
                <w:color w:val="auto"/>
              </w:rPr>
            </w:pPr>
            <w:r>
              <w:rPr>
                <w:rFonts w:ascii="Arial" w:cs="Arial" w:eastAsia="Arial" w:hAnsi="Arial"/>
                <w:sz w:val="17"/>
                <w:szCs w:val="17"/>
                <w:color w:val="FF0000"/>
                <w:strike w:val="1"/>
                <w:w w:val="90"/>
              </w:rPr>
              <w:t>20.</w:t>
            </w:r>
            <w:r>
              <w:rPr>
                <w:rFonts w:ascii="Arial" w:cs="Arial" w:eastAsia="Arial" w:hAnsi="Arial"/>
                <w:sz w:val="17"/>
                <w:szCs w:val="17"/>
                <w:u w:val="single" w:color="auto"/>
                <w:color w:val="FF0000"/>
                <w:strike w:val="1"/>
                <w:w w:val="90"/>
              </w:rPr>
              <w:t>4</w:t>
            </w:r>
          </w:p>
        </w:tc>
        <w:tc>
          <w:tcPr>
            <w:tcW w:w="340" w:type="dxa"/>
            <w:vAlign w:val="bottom"/>
            <w:gridSpan w:val="3"/>
          </w:tcPr>
          <w:p>
            <w:pPr>
              <w:jc w:val="right"/>
              <w:spacing w:after="0"/>
              <w:rPr>
                <w:sz w:val="20"/>
                <w:szCs w:val="20"/>
                <w:color w:val="auto"/>
              </w:rPr>
            </w:pPr>
            <w:r>
              <w:rPr>
                <w:rFonts w:ascii="Arial" w:cs="Arial" w:eastAsia="Arial" w:hAnsi="Arial"/>
                <w:sz w:val="17"/>
                <w:szCs w:val="17"/>
                <w:color w:val="0000FF"/>
                <w:w w:val="96"/>
              </w:rPr>
              <w:t>20.3</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960" w:type="dxa"/>
            <w:vAlign w:val="bottom"/>
            <w:gridSpan w:val="29"/>
          </w:tcPr>
          <w:p>
            <w:pPr>
              <w:ind w:left="60"/>
              <w:spacing w:after="0"/>
              <w:rPr>
                <w:sz w:val="20"/>
                <w:szCs w:val="20"/>
                <w:color w:val="auto"/>
              </w:rPr>
            </w:pPr>
            <w:r>
              <w:rPr>
                <w:rFonts w:ascii="Arial" w:cs="Arial" w:eastAsia="Arial" w:hAnsi="Arial"/>
                <w:sz w:val="17"/>
                <w:szCs w:val="17"/>
                <w:color w:val="0000EE"/>
              </w:rPr>
              <w:t>Inspection by current and former officers</w:t>
            </w:r>
          </w:p>
        </w:tc>
        <w:tc>
          <w:tcPr>
            <w:tcW w:w="200" w:type="dxa"/>
            <w:vAlign w:val="bottom"/>
          </w:tcPr>
          <w:p>
            <w:pPr>
              <w:jc w:val="right"/>
              <w:spacing w:after="0"/>
              <w:rPr>
                <w:sz w:val="20"/>
                <w:szCs w:val="20"/>
                <w:color w:val="auto"/>
              </w:rPr>
            </w:pPr>
            <w:r>
              <w:rPr>
                <w:rFonts w:ascii="Arial" w:cs="Arial" w:eastAsia="Arial" w:hAnsi="Arial"/>
                <w:sz w:val="17"/>
                <w:szCs w:val="17"/>
                <w:color w:val="FF0000"/>
                <w:strike w:val="1"/>
                <w:w w:val="94"/>
              </w:rPr>
              <w:t>39</w:t>
            </w:r>
          </w:p>
        </w:tc>
        <w:tc>
          <w:tcPr>
            <w:tcW w:w="1440" w:type="dxa"/>
            <w:vAlign w:val="bottom"/>
            <w:gridSpan w:val="2"/>
          </w:tcPr>
          <w:p>
            <w:pPr>
              <w:jc w:val="right"/>
              <w:ind w:right="1260"/>
              <w:spacing w:after="0"/>
              <w:rPr>
                <w:sz w:val="20"/>
                <w:szCs w:val="20"/>
                <w:color w:val="auto"/>
              </w:rPr>
            </w:pPr>
            <w:r>
              <w:rPr>
                <w:rFonts w:ascii="Arial" w:cs="Arial" w:eastAsia="Arial" w:hAnsi="Arial"/>
                <w:sz w:val="17"/>
                <w:szCs w:val="17"/>
                <w:color w:val="0000FF"/>
                <w:w w:val="84"/>
              </w:rPr>
              <w:t>43</w:t>
            </w:r>
          </w:p>
        </w:tc>
      </w:tr>
      <w:tr>
        <w:trPr>
          <w:trHeight w:val="20"/>
        </w:trPr>
        <w:tc>
          <w:tcPr>
            <w:tcW w:w="1280" w:type="dxa"/>
            <w:vAlign w:val="bottom"/>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140" w:type="dxa"/>
            <w:vAlign w:val="bottom"/>
            <w:shd w:val="clear" w:color="auto" w:fill="FF0000"/>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FF0000"/>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3"/>
        </w:trPr>
        <w:tc>
          <w:tcPr>
            <w:tcW w:w="1460" w:type="dxa"/>
            <w:vAlign w:val="bottom"/>
            <w:gridSpan w:val="2"/>
          </w:tcPr>
          <w:p>
            <w:pPr>
              <w:ind w:left="1260"/>
              <w:spacing w:after="0"/>
              <w:rPr>
                <w:sz w:val="20"/>
                <w:szCs w:val="20"/>
                <w:color w:val="auto"/>
              </w:rPr>
            </w:pPr>
            <w:r>
              <w:rPr>
                <w:rFonts w:ascii="Arial" w:cs="Arial" w:eastAsia="Arial" w:hAnsi="Arial"/>
                <w:sz w:val="17"/>
                <w:szCs w:val="17"/>
                <w:b w:val="1"/>
                <w:bCs w:val="1"/>
                <w:color w:val="0000EE"/>
                <w:w w:val="94"/>
              </w:rPr>
              <w:t>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960" w:type="dxa"/>
            <w:vAlign w:val="bottom"/>
            <w:gridSpan w:val="29"/>
          </w:tcPr>
          <w:p>
            <w:pPr>
              <w:ind w:left="60"/>
              <w:spacing w:after="0"/>
              <w:rPr>
                <w:sz w:val="20"/>
                <w:szCs w:val="20"/>
                <w:color w:val="auto"/>
              </w:rPr>
            </w:pPr>
            <w:r>
              <w:rPr>
                <w:rFonts w:ascii="Arial" w:cs="Arial" w:eastAsia="Arial" w:hAnsi="Arial"/>
                <w:sz w:val="17"/>
                <w:szCs w:val="17"/>
                <w:b w:val="1"/>
                <w:bCs w:val="1"/>
                <w:color w:val="0000EE"/>
              </w:rPr>
              <w:t>PAYMENTS BY THE COMPANY</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FF0000"/>
                <w:strike w:val="1"/>
                <w:w w:val="94"/>
              </w:rPr>
              <w:t>39</w:t>
            </w:r>
          </w:p>
        </w:tc>
        <w:tc>
          <w:tcPr>
            <w:tcW w:w="1440" w:type="dxa"/>
            <w:vAlign w:val="bottom"/>
            <w:gridSpan w:val="2"/>
          </w:tcPr>
          <w:p>
            <w:pPr>
              <w:jc w:val="right"/>
              <w:ind w:right="1260"/>
              <w:spacing w:after="0"/>
              <w:rPr>
                <w:sz w:val="20"/>
                <w:szCs w:val="20"/>
                <w:color w:val="auto"/>
              </w:rPr>
            </w:pPr>
            <w:r>
              <w:rPr>
                <w:rFonts w:ascii="Arial" w:cs="Arial" w:eastAsia="Arial" w:hAnsi="Arial"/>
                <w:sz w:val="17"/>
                <w:szCs w:val="17"/>
                <w:b w:val="1"/>
                <w:bCs w:val="1"/>
                <w:color w:val="0000FF"/>
                <w:w w:val="84"/>
              </w:rPr>
              <w:t>43</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FF0000"/>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21.</w:t>
            </w:r>
            <w:r>
              <w:rPr>
                <w:rFonts w:ascii="Arial" w:cs="Arial" w:eastAsia="Arial" w:hAnsi="Arial"/>
                <w:sz w:val="17"/>
                <w:szCs w:val="17"/>
                <w:u w:val="single" w:color="auto"/>
                <w:color w:val="0000EE"/>
                <w:w w:val="96"/>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960" w:type="dxa"/>
            <w:vAlign w:val="bottom"/>
            <w:gridSpan w:val="29"/>
          </w:tcPr>
          <w:p>
            <w:pPr>
              <w:ind w:left="60"/>
              <w:spacing w:after="0"/>
              <w:rPr>
                <w:sz w:val="20"/>
                <w:szCs w:val="20"/>
                <w:color w:val="auto"/>
              </w:rPr>
            </w:pPr>
            <w:r>
              <w:rPr>
                <w:rFonts w:ascii="Arial" w:cs="Arial" w:eastAsia="Arial" w:hAnsi="Arial"/>
                <w:sz w:val="17"/>
                <w:szCs w:val="17"/>
                <w:color w:val="0000EE"/>
              </w:rPr>
              <w:t>Method of payment</w:t>
            </w:r>
          </w:p>
        </w:tc>
        <w:tc>
          <w:tcPr>
            <w:tcW w:w="200" w:type="dxa"/>
            <w:vAlign w:val="bottom"/>
          </w:tcPr>
          <w:p>
            <w:pPr>
              <w:jc w:val="right"/>
              <w:spacing w:after="0"/>
              <w:rPr>
                <w:sz w:val="20"/>
                <w:szCs w:val="20"/>
                <w:color w:val="auto"/>
              </w:rPr>
            </w:pPr>
            <w:r>
              <w:rPr>
                <w:rFonts w:ascii="Arial" w:cs="Arial" w:eastAsia="Arial" w:hAnsi="Arial"/>
                <w:sz w:val="17"/>
                <w:szCs w:val="17"/>
                <w:color w:val="FF0000"/>
                <w:strike w:val="1"/>
                <w:w w:val="94"/>
              </w:rPr>
              <w:t>39</w:t>
            </w:r>
          </w:p>
        </w:tc>
        <w:tc>
          <w:tcPr>
            <w:tcW w:w="1440" w:type="dxa"/>
            <w:vAlign w:val="bottom"/>
            <w:gridSpan w:val="2"/>
          </w:tcPr>
          <w:p>
            <w:pPr>
              <w:jc w:val="right"/>
              <w:ind w:right="1260"/>
              <w:spacing w:after="0"/>
              <w:rPr>
                <w:sz w:val="20"/>
                <w:szCs w:val="20"/>
                <w:color w:val="auto"/>
              </w:rPr>
            </w:pPr>
            <w:r>
              <w:rPr>
                <w:rFonts w:ascii="Arial" w:cs="Arial" w:eastAsia="Arial" w:hAnsi="Arial"/>
                <w:sz w:val="17"/>
                <w:szCs w:val="17"/>
                <w:color w:val="0000FF"/>
                <w:w w:val="84"/>
              </w:rPr>
              <w:t>43</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FF0000"/>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21.</w:t>
            </w:r>
            <w:r>
              <w:rPr>
                <w:rFonts w:ascii="Arial" w:cs="Arial" w:eastAsia="Arial" w:hAnsi="Arial"/>
                <w:sz w:val="17"/>
                <w:szCs w:val="17"/>
                <w:u w:val="single" w:color="auto"/>
                <w:color w:val="0000EE"/>
                <w:w w:val="96"/>
              </w:rPr>
              <w:t>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960" w:type="dxa"/>
            <w:vAlign w:val="bottom"/>
            <w:gridSpan w:val="29"/>
          </w:tcPr>
          <w:p>
            <w:pPr>
              <w:ind w:left="60"/>
              <w:spacing w:after="0"/>
              <w:rPr>
                <w:sz w:val="20"/>
                <w:szCs w:val="20"/>
                <w:color w:val="auto"/>
              </w:rPr>
            </w:pPr>
            <w:r>
              <w:rPr>
                <w:rFonts w:ascii="Arial" w:cs="Arial" w:eastAsia="Arial" w:hAnsi="Arial"/>
                <w:sz w:val="17"/>
                <w:szCs w:val="17"/>
                <w:color w:val="0000EE"/>
              </w:rPr>
              <w:t>Persons entitled by transmission</w:t>
            </w:r>
          </w:p>
        </w:tc>
        <w:tc>
          <w:tcPr>
            <w:tcW w:w="200" w:type="dxa"/>
            <w:vAlign w:val="bottom"/>
          </w:tcPr>
          <w:p>
            <w:pPr>
              <w:jc w:val="right"/>
              <w:spacing w:after="0"/>
              <w:rPr>
                <w:sz w:val="20"/>
                <w:szCs w:val="20"/>
                <w:color w:val="auto"/>
              </w:rPr>
            </w:pPr>
            <w:r>
              <w:rPr>
                <w:rFonts w:ascii="Arial" w:cs="Arial" w:eastAsia="Arial" w:hAnsi="Arial"/>
                <w:sz w:val="17"/>
                <w:szCs w:val="17"/>
                <w:color w:val="FF0000"/>
                <w:strike w:val="1"/>
                <w:w w:val="94"/>
              </w:rPr>
              <w:t>40</w:t>
            </w:r>
          </w:p>
        </w:tc>
        <w:tc>
          <w:tcPr>
            <w:tcW w:w="1440" w:type="dxa"/>
            <w:vAlign w:val="bottom"/>
            <w:gridSpan w:val="2"/>
          </w:tcPr>
          <w:p>
            <w:pPr>
              <w:jc w:val="right"/>
              <w:ind w:right="1260"/>
              <w:spacing w:after="0"/>
              <w:rPr>
                <w:sz w:val="20"/>
                <w:szCs w:val="20"/>
                <w:color w:val="auto"/>
              </w:rPr>
            </w:pPr>
            <w:r>
              <w:rPr>
                <w:rFonts w:ascii="Arial" w:cs="Arial" w:eastAsia="Arial" w:hAnsi="Arial"/>
                <w:sz w:val="17"/>
                <w:szCs w:val="17"/>
                <w:color w:val="0000FF"/>
                <w:w w:val="84"/>
              </w:rPr>
              <w:t>43</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FF0000"/>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21.</w:t>
            </w:r>
            <w:r>
              <w:rPr>
                <w:rFonts w:ascii="Arial" w:cs="Arial" w:eastAsia="Arial" w:hAnsi="Arial"/>
                <w:sz w:val="17"/>
                <w:szCs w:val="17"/>
                <w:u w:val="single" w:color="auto"/>
                <w:color w:val="0000EE"/>
                <w:w w:val="96"/>
              </w:rPr>
              <w:t>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960" w:type="dxa"/>
            <w:vAlign w:val="bottom"/>
            <w:gridSpan w:val="29"/>
          </w:tcPr>
          <w:p>
            <w:pPr>
              <w:ind w:left="60"/>
              <w:spacing w:after="0"/>
              <w:rPr>
                <w:sz w:val="20"/>
                <w:szCs w:val="20"/>
                <w:color w:val="auto"/>
              </w:rPr>
            </w:pPr>
            <w:r>
              <w:rPr>
                <w:rFonts w:ascii="Arial" w:cs="Arial" w:eastAsia="Arial" w:hAnsi="Arial"/>
                <w:sz w:val="17"/>
                <w:szCs w:val="17"/>
                <w:color w:val="0000EE"/>
              </w:rPr>
              <w:t>Risk of payments</w:t>
            </w:r>
          </w:p>
        </w:tc>
        <w:tc>
          <w:tcPr>
            <w:tcW w:w="200" w:type="dxa"/>
            <w:vAlign w:val="bottom"/>
          </w:tcPr>
          <w:p>
            <w:pPr>
              <w:jc w:val="right"/>
              <w:spacing w:after="0"/>
              <w:rPr>
                <w:sz w:val="20"/>
                <w:szCs w:val="20"/>
                <w:color w:val="auto"/>
              </w:rPr>
            </w:pPr>
            <w:r>
              <w:rPr>
                <w:rFonts w:ascii="Arial" w:cs="Arial" w:eastAsia="Arial" w:hAnsi="Arial"/>
                <w:sz w:val="17"/>
                <w:szCs w:val="17"/>
                <w:color w:val="FF0000"/>
                <w:strike w:val="1"/>
                <w:w w:val="94"/>
              </w:rPr>
              <w:t>40</w:t>
            </w:r>
          </w:p>
        </w:tc>
        <w:tc>
          <w:tcPr>
            <w:tcW w:w="1440" w:type="dxa"/>
            <w:vAlign w:val="bottom"/>
            <w:gridSpan w:val="2"/>
          </w:tcPr>
          <w:p>
            <w:pPr>
              <w:jc w:val="right"/>
              <w:ind w:right="1260"/>
              <w:spacing w:after="0"/>
              <w:rPr>
                <w:sz w:val="20"/>
                <w:szCs w:val="20"/>
                <w:color w:val="auto"/>
              </w:rPr>
            </w:pPr>
            <w:r>
              <w:rPr>
                <w:rFonts w:ascii="Arial" w:cs="Arial" w:eastAsia="Arial" w:hAnsi="Arial"/>
                <w:sz w:val="17"/>
                <w:szCs w:val="17"/>
                <w:color w:val="0000FF"/>
                <w:w w:val="84"/>
              </w:rPr>
              <w:t>43</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FF0000"/>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21.</w:t>
            </w:r>
            <w:r>
              <w:rPr>
                <w:rFonts w:ascii="Arial" w:cs="Arial" w:eastAsia="Arial" w:hAnsi="Arial"/>
                <w:sz w:val="17"/>
                <w:szCs w:val="17"/>
                <w:u w:val="single" w:color="auto"/>
                <w:color w:val="0000EE"/>
                <w:w w:val="96"/>
              </w:rPr>
              <w:t>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960" w:type="dxa"/>
            <w:vAlign w:val="bottom"/>
            <w:gridSpan w:val="29"/>
          </w:tcPr>
          <w:p>
            <w:pPr>
              <w:ind w:left="60"/>
              <w:spacing w:after="0"/>
              <w:rPr>
                <w:sz w:val="20"/>
                <w:szCs w:val="20"/>
                <w:color w:val="auto"/>
              </w:rPr>
            </w:pPr>
            <w:r>
              <w:rPr>
                <w:rFonts w:ascii="Arial" w:cs="Arial" w:eastAsia="Arial" w:hAnsi="Arial"/>
                <w:sz w:val="17"/>
                <w:szCs w:val="17"/>
                <w:color w:val="0000EE"/>
              </w:rPr>
              <w:t>Currency of payments</w:t>
            </w:r>
          </w:p>
        </w:tc>
        <w:tc>
          <w:tcPr>
            <w:tcW w:w="200" w:type="dxa"/>
            <w:vAlign w:val="bottom"/>
          </w:tcPr>
          <w:p>
            <w:pPr>
              <w:jc w:val="right"/>
              <w:spacing w:after="0"/>
              <w:rPr>
                <w:sz w:val="20"/>
                <w:szCs w:val="20"/>
                <w:color w:val="auto"/>
              </w:rPr>
            </w:pPr>
            <w:r>
              <w:rPr>
                <w:rFonts w:ascii="Arial" w:cs="Arial" w:eastAsia="Arial" w:hAnsi="Arial"/>
                <w:sz w:val="17"/>
                <w:szCs w:val="17"/>
                <w:color w:val="FF0000"/>
                <w:strike w:val="1"/>
                <w:w w:val="94"/>
              </w:rPr>
              <w:t>40</w:t>
            </w:r>
          </w:p>
        </w:tc>
        <w:tc>
          <w:tcPr>
            <w:tcW w:w="1440" w:type="dxa"/>
            <w:vAlign w:val="bottom"/>
            <w:gridSpan w:val="2"/>
          </w:tcPr>
          <w:p>
            <w:pPr>
              <w:jc w:val="right"/>
              <w:ind w:right="1260"/>
              <w:spacing w:after="0"/>
              <w:rPr>
                <w:sz w:val="20"/>
                <w:szCs w:val="20"/>
                <w:color w:val="auto"/>
              </w:rPr>
            </w:pPr>
            <w:r>
              <w:rPr>
                <w:rFonts w:ascii="Arial" w:cs="Arial" w:eastAsia="Arial" w:hAnsi="Arial"/>
                <w:sz w:val="17"/>
                <w:szCs w:val="17"/>
                <w:color w:val="0000FF"/>
                <w:w w:val="84"/>
              </w:rPr>
              <w:t>44</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FF0000"/>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21.</w:t>
            </w:r>
            <w:r>
              <w:rPr>
                <w:rFonts w:ascii="Arial" w:cs="Arial" w:eastAsia="Arial" w:hAnsi="Arial"/>
                <w:sz w:val="17"/>
                <w:szCs w:val="17"/>
                <w:u w:val="single" w:color="auto"/>
                <w:color w:val="0000EE"/>
                <w:w w:val="96"/>
              </w:rPr>
              <w:t>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960" w:type="dxa"/>
            <w:vAlign w:val="bottom"/>
            <w:gridSpan w:val="29"/>
          </w:tcPr>
          <w:p>
            <w:pPr>
              <w:ind w:left="60"/>
              <w:spacing w:after="0"/>
              <w:rPr>
                <w:sz w:val="20"/>
                <w:szCs w:val="20"/>
                <w:color w:val="auto"/>
              </w:rPr>
            </w:pPr>
            <w:r>
              <w:rPr>
                <w:rFonts w:ascii="Arial" w:cs="Arial" w:eastAsia="Arial" w:hAnsi="Arial"/>
                <w:sz w:val="17"/>
                <w:szCs w:val="17"/>
                <w:color w:val="0000EE"/>
              </w:rPr>
              <w:t>Company unable to make payment</w:t>
            </w:r>
          </w:p>
        </w:tc>
        <w:tc>
          <w:tcPr>
            <w:tcW w:w="200" w:type="dxa"/>
            <w:vAlign w:val="bottom"/>
          </w:tcPr>
          <w:p>
            <w:pPr>
              <w:jc w:val="right"/>
              <w:spacing w:after="0"/>
              <w:rPr>
                <w:sz w:val="20"/>
                <w:szCs w:val="20"/>
                <w:color w:val="auto"/>
              </w:rPr>
            </w:pPr>
            <w:r>
              <w:rPr>
                <w:rFonts w:ascii="Arial" w:cs="Arial" w:eastAsia="Arial" w:hAnsi="Arial"/>
                <w:sz w:val="17"/>
                <w:szCs w:val="17"/>
                <w:color w:val="FF0000"/>
                <w:strike w:val="1"/>
                <w:w w:val="94"/>
              </w:rPr>
              <w:t>40</w:t>
            </w:r>
          </w:p>
        </w:tc>
        <w:tc>
          <w:tcPr>
            <w:tcW w:w="1440" w:type="dxa"/>
            <w:vAlign w:val="bottom"/>
            <w:gridSpan w:val="2"/>
          </w:tcPr>
          <w:p>
            <w:pPr>
              <w:jc w:val="right"/>
              <w:ind w:right="1260"/>
              <w:spacing w:after="0"/>
              <w:rPr>
                <w:sz w:val="20"/>
                <w:szCs w:val="20"/>
                <w:color w:val="auto"/>
              </w:rPr>
            </w:pPr>
            <w:r>
              <w:rPr>
                <w:rFonts w:ascii="Arial" w:cs="Arial" w:eastAsia="Arial" w:hAnsi="Arial"/>
                <w:sz w:val="17"/>
                <w:szCs w:val="17"/>
                <w:color w:val="0000FF"/>
                <w:w w:val="84"/>
              </w:rPr>
              <w:t>44</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FF0000"/>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21.</w:t>
            </w:r>
            <w:r>
              <w:rPr>
                <w:rFonts w:ascii="Arial" w:cs="Arial" w:eastAsia="Arial" w:hAnsi="Arial"/>
                <w:sz w:val="17"/>
                <w:szCs w:val="17"/>
                <w:u w:val="single" w:color="auto"/>
                <w:color w:val="0000EE"/>
                <w:w w:val="96"/>
              </w:rPr>
              <w:t>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960" w:type="dxa"/>
            <w:vAlign w:val="bottom"/>
            <w:gridSpan w:val="29"/>
          </w:tcPr>
          <w:p>
            <w:pPr>
              <w:ind w:left="60"/>
              <w:spacing w:after="0"/>
              <w:rPr>
                <w:sz w:val="20"/>
                <w:szCs w:val="20"/>
                <w:color w:val="auto"/>
              </w:rPr>
            </w:pPr>
            <w:r>
              <w:rPr>
                <w:rFonts w:ascii="Arial" w:cs="Arial" w:eastAsia="Arial" w:hAnsi="Arial"/>
                <w:sz w:val="17"/>
                <w:szCs w:val="17"/>
                <w:color w:val="0000EE"/>
              </w:rPr>
              <w:t>Payment returned or rejected</w:t>
            </w:r>
          </w:p>
        </w:tc>
        <w:tc>
          <w:tcPr>
            <w:tcW w:w="200" w:type="dxa"/>
            <w:vAlign w:val="bottom"/>
          </w:tcPr>
          <w:p>
            <w:pPr>
              <w:jc w:val="right"/>
              <w:spacing w:after="0"/>
              <w:rPr>
                <w:sz w:val="20"/>
                <w:szCs w:val="20"/>
                <w:color w:val="auto"/>
              </w:rPr>
            </w:pPr>
            <w:r>
              <w:rPr>
                <w:rFonts w:ascii="Arial" w:cs="Arial" w:eastAsia="Arial" w:hAnsi="Arial"/>
                <w:sz w:val="17"/>
                <w:szCs w:val="17"/>
                <w:color w:val="FF0000"/>
                <w:strike w:val="1"/>
                <w:w w:val="94"/>
              </w:rPr>
              <w:t>41</w:t>
            </w:r>
          </w:p>
        </w:tc>
        <w:tc>
          <w:tcPr>
            <w:tcW w:w="1440" w:type="dxa"/>
            <w:vAlign w:val="bottom"/>
            <w:gridSpan w:val="2"/>
          </w:tcPr>
          <w:p>
            <w:pPr>
              <w:jc w:val="right"/>
              <w:ind w:right="1260"/>
              <w:spacing w:after="0"/>
              <w:rPr>
                <w:sz w:val="20"/>
                <w:szCs w:val="20"/>
                <w:color w:val="auto"/>
              </w:rPr>
            </w:pPr>
            <w:r>
              <w:rPr>
                <w:rFonts w:ascii="Arial" w:cs="Arial" w:eastAsia="Arial" w:hAnsi="Arial"/>
                <w:sz w:val="17"/>
                <w:szCs w:val="17"/>
                <w:color w:val="0000FF"/>
                <w:w w:val="84"/>
              </w:rPr>
              <w:t>44</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FF0000"/>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21.</w:t>
            </w:r>
            <w:r>
              <w:rPr>
                <w:rFonts w:ascii="Arial" w:cs="Arial" w:eastAsia="Arial" w:hAnsi="Arial"/>
                <w:sz w:val="17"/>
                <w:szCs w:val="17"/>
                <w:u w:val="single" w:color="auto"/>
                <w:color w:val="0000EE"/>
                <w:w w:val="96"/>
              </w:rPr>
              <w:t>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960" w:type="dxa"/>
            <w:vAlign w:val="bottom"/>
            <w:gridSpan w:val="29"/>
          </w:tcPr>
          <w:p>
            <w:pPr>
              <w:ind w:left="60"/>
              <w:spacing w:after="0"/>
              <w:rPr>
                <w:sz w:val="20"/>
                <w:szCs w:val="20"/>
                <w:color w:val="auto"/>
              </w:rPr>
            </w:pPr>
            <w:r>
              <w:rPr>
                <w:rFonts w:ascii="Arial" w:cs="Arial" w:eastAsia="Arial" w:hAnsi="Arial"/>
                <w:sz w:val="17"/>
                <w:szCs w:val="17"/>
                <w:color w:val="0000EE"/>
              </w:rPr>
              <w:t>Terms on which amounts held</w:t>
            </w:r>
          </w:p>
        </w:tc>
        <w:tc>
          <w:tcPr>
            <w:tcW w:w="200" w:type="dxa"/>
            <w:vAlign w:val="bottom"/>
          </w:tcPr>
          <w:p>
            <w:pPr>
              <w:jc w:val="right"/>
              <w:spacing w:after="0"/>
              <w:rPr>
                <w:sz w:val="20"/>
                <w:szCs w:val="20"/>
                <w:color w:val="auto"/>
              </w:rPr>
            </w:pPr>
            <w:r>
              <w:rPr>
                <w:rFonts w:ascii="Arial" w:cs="Arial" w:eastAsia="Arial" w:hAnsi="Arial"/>
                <w:sz w:val="17"/>
                <w:szCs w:val="17"/>
                <w:color w:val="FF0000"/>
                <w:strike w:val="1"/>
                <w:w w:val="94"/>
              </w:rPr>
              <w:t>41</w:t>
            </w:r>
          </w:p>
        </w:tc>
        <w:tc>
          <w:tcPr>
            <w:tcW w:w="1440" w:type="dxa"/>
            <w:vAlign w:val="bottom"/>
            <w:gridSpan w:val="2"/>
          </w:tcPr>
          <w:p>
            <w:pPr>
              <w:jc w:val="right"/>
              <w:ind w:right="1260"/>
              <w:spacing w:after="0"/>
              <w:rPr>
                <w:sz w:val="20"/>
                <w:szCs w:val="20"/>
                <w:color w:val="auto"/>
              </w:rPr>
            </w:pPr>
            <w:r>
              <w:rPr>
                <w:rFonts w:ascii="Arial" w:cs="Arial" w:eastAsia="Arial" w:hAnsi="Arial"/>
                <w:sz w:val="17"/>
                <w:szCs w:val="17"/>
                <w:color w:val="0000FF"/>
                <w:w w:val="84"/>
              </w:rPr>
              <w:t>44</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FF0000"/>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21.</w:t>
            </w:r>
            <w:r>
              <w:rPr>
                <w:rFonts w:ascii="Arial" w:cs="Arial" w:eastAsia="Arial" w:hAnsi="Arial"/>
                <w:sz w:val="17"/>
                <w:szCs w:val="17"/>
                <w:u w:val="single" w:color="auto"/>
                <w:color w:val="0000EE"/>
                <w:w w:val="96"/>
              </w:rPr>
              <w:t>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960" w:type="dxa"/>
            <w:vAlign w:val="bottom"/>
            <w:gridSpan w:val="29"/>
          </w:tcPr>
          <w:p>
            <w:pPr>
              <w:ind w:left="60"/>
              <w:spacing w:after="0"/>
              <w:rPr>
                <w:sz w:val="20"/>
                <w:szCs w:val="20"/>
                <w:color w:val="auto"/>
              </w:rPr>
            </w:pPr>
            <w:r>
              <w:rPr>
                <w:rFonts w:ascii="Arial" w:cs="Arial" w:eastAsia="Arial" w:hAnsi="Arial"/>
                <w:sz w:val="17"/>
                <w:szCs w:val="17"/>
                <w:color w:val="0000EE"/>
              </w:rPr>
              <w:t>Reinvest unclaimed monies</w:t>
            </w:r>
          </w:p>
        </w:tc>
        <w:tc>
          <w:tcPr>
            <w:tcW w:w="200" w:type="dxa"/>
            <w:vAlign w:val="bottom"/>
          </w:tcPr>
          <w:p>
            <w:pPr>
              <w:jc w:val="right"/>
              <w:spacing w:after="0"/>
              <w:rPr>
                <w:sz w:val="20"/>
                <w:szCs w:val="20"/>
                <w:color w:val="auto"/>
              </w:rPr>
            </w:pPr>
            <w:r>
              <w:rPr>
                <w:rFonts w:ascii="Arial" w:cs="Arial" w:eastAsia="Arial" w:hAnsi="Arial"/>
                <w:sz w:val="17"/>
                <w:szCs w:val="17"/>
                <w:color w:val="FF0000"/>
                <w:strike w:val="1"/>
                <w:w w:val="94"/>
              </w:rPr>
              <w:t>41</w:t>
            </w:r>
          </w:p>
        </w:tc>
        <w:tc>
          <w:tcPr>
            <w:tcW w:w="1440" w:type="dxa"/>
            <w:vAlign w:val="bottom"/>
            <w:gridSpan w:val="2"/>
          </w:tcPr>
          <w:p>
            <w:pPr>
              <w:jc w:val="right"/>
              <w:ind w:right="1260"/>
              <w:spacing w:after="0"/>
              <w:rPr>
                <w:sz w:val="20"/>
                <w:szCs w:val="20"/>
                <w:color w:val="auto"/>
              </w:rPr>
            </w:pPr>
            <w:r>
              <w:rPr>
                <w:rFonts w:ascii="Arial" w:cs="Arial" w:eastAsia="Arial" w:hAnsi="Arial"/>
                <w:sz w:val="17"/>
                <w:szCs w:val="17"/>
                <w:color w:val="0000FF"/>
                <w:w w:val="84"/>
              </w:rPr>
              <w:t>45</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FF0000"/>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3"/>
        </w:trPr>
        <w:tc>
          <w:tcPr>
            <w:tcW w:w="1460" w:type="dxa"/>
            <w:vAlign w:val="bottom"/>
            <w:gridSpan w:val="2"/>
          </w:tcPr>
          <w:p>
            <w:pPr>
              <w:ind w:left="1260"/>
              <w:spacing w:after="0"/>
              <w:rPr>
                <w:sz w:val="20"/>
                <w:szCs w:val="20"/>
                <w:color w:val="auto"/>
              </w:rPr>
            </w:pPr>
            <w:r>
              <w:rPr>
                <w:rFonts w:ascii="Arial" w:cs="Arial" w:eastAsia="Arial" w:hAnsi="Arial"/>
                <w:sz w:val="17"/>
                <w:szCs w:val="17"/>
                <w:b w:val="1"/>
                <w:bCs w:val="1"/>
                <w:color w:val="0000EE"/>
                <w:w w:val="94"/>
              </w:rPr>
              <w:t>22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960" w:type="dxa"/>
            <w:vAlign w:val="bottom"/>
            <w:gridSpan w:val="29"/>
          </w:tcPr>
          <w:p>
            <w:pPr>
              <w:ind w:left="60"/>
              <w:spacing w:after="0"/>
              <w:rPr>
                <w:sz w:val="20"/>
                <w:szCs w:val="20"/>
                <w:color w:val="auto"/>
              </w:rPr>
            </w:pPr>
            <w:r>
              <w:rPr>
                <w:rFonts w:ascii="Arial" w:cs="Arial" w:eastAsia="Arial" w:hAnsi="Arial"/>
                <w:sz w:val="17"/>
                <w:szCs w:val="17"/>
                <w:b w:val="1"/>
                <w:bCs w:val="1"/>
                <w:color w:val="0000EE"/>
              </w:rPr>
              <w:t>NOTICES, DOCUMENTS AND OTHER COMMUNICATIONS</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FF0000"/>
                <w:strike w:val="1"/>
                <w:w w:val="94"/>
              </w:rPr>
              <w:t>42</w:t>
            </w:r>
          </w:p>
        </w:tc>
        <w:tc>
          <w:tcPr>
            <w:tcW w:w="1440" w:type="dxa"/>
            <w:vAlign w:val="bottom"/>
            <w:gridSpan w:val="2"/>
          </w:tcPr>
          <w:p>
            <w:pPr>
              <w:jc w:val="right"/>
              <w:ind w:right="1260"/>
              <w:spacing w:after="0"/>
              <w:rPr>
                <w:sz w:val="20"/>
                <w:szCs w:val="20"/>
                <w:color w:val="auto"/>
              </w:rPr>
            </w:pPr>
            <w:r>
              <w:rPr>
                <w:rFonts w:ascii="Arial" w:cs="Arial" w:eastAsia="Arial" w:hAnsi="Arial"/>
                <w:sz w:val="17"/>
                <w:szCs w:val="17"/>
                <w:b w:val="1"/>
                <w:bCs w:val="1"/>
                <w:color w:val="0000FF"/>
                <w:w w:val="84"/>
              </w:rPr>
              <w:t>45</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FF0000"/>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22.</w:t>
            </w:r>
            <w:r>
              <w:rPr>
                <w:rFonts w:ascii="Arial" w:cs="Arial" w:eastAsia="Arial" w:hAnsi="Arial"/>
                <w:sz w:val="17"/>
                <w:szCs w:val="17"/>
                <w:u w:val="single" w:color="auto"/>
                <w:color w:val="0000EE"/>
                <w:w w:val="96"/>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960" w:type="dxa"/>
            <w:vAlign w:val="bottom"/>
            <w:gridSpan w:val="29"/>
          </w:tcPr>
          <w:p>
            <w:pPr>
              <w:ind w:left="60"/>
              <w:spacing w:after="0"/>
              <w:rPr>
                <w:sz w:val="20"/>
                <w:szCs w:val="20"/>
                <w:color w:val="auto"/>
              </w:rPr>
            </w:pPr>
            <w:r>
              <w:rPr>
                <w:rFonts w:ascii="Arial" w:cs="Arial" w:eastAsia="Arial" w:hAnsi="Arial"/>
                <w:sz w:val="17"/>
                <w:szCs w:val="17"/>
                <w:color w:val="0000EE"/>
              </w:rPr>
              <w:t>Meaning of communication</w:t>
            </w:r>
          </w:p>
        </w:tc>
        <w:tc>
          <w:tcPr>
            <w:tcW w:w="200" w:type="dxa"/>
            <w:vAlign w:val="bottom"/>
          </w:tcPr>
          <w:p>
            <w:pPr>
              <w:jc w:val="right"/>
              <w:spacing w:after="0"/>
              <w:rPr>
                <w:sz w:val="20"/>
                <w:szCs w:val="20"/>
                <w:color w:val="auto"/>
              </w:rPr>
            </w:pPr>
            <w:r>
              <w:rPr>
                <w:rFonts w:ascii="Arial" w:cs="Arial" w:eastAsia="Arial" w:hAnsi="Arial"/>
                <w:sz w:val="17"/>
                <w:szCs w:val="17"/>
                <w:color w:val="FF0000"/>
                <w:strike w:val="1"/>
                <w:w w:val="94"/>
              </w:rPr>
              <w:t>42</w:t>
            </w:r>
          </w:p>
        </w:tc>
        <w:tc>
          <w:tcPr>
            <w:tcW w:w="1440" w:type="dxa"/>
            <w:vAlign w:val="bottom"/>
            <w:gridSpan w:val="2"/>
          </w:tcPr>
          <w:p>
            <w:pPr>
              <w:jc w:val="right"/>
              <w:ind w:right="1260"/>
              <w:spacing w:after="0"/>
              <w:rPr>
                <w:sz w:val="20"/>
                <w:szCs w:val="20"/>
                <w:color w:val="auto"/>
              </w:rPr>
            </w:pPr>
            <w:r>
              <w:rPr>
                <w:rFonts w:ascii="Arial" w:cs="Arial" w:eastAsia="Arial" w:hAnsi="Arial"/>
                <w:sz w:val="17"/>
                <w:szCs w:val="17"/>
                <w:color w:val="0000FF"/>
                <w:w w:val="84"/>
              </w:rPr>
              <w:t>45</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FF0000"/>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22.</w:t>
            </w:r>
            <w:r>
              <w:rPr>
                <w:rFonts w:ascii="Arial" w:cs="Arial" w:eastAsia="Arial" w:hAnsi="Arial"/>
                <w:sz w:val="17"/>
                <w:szCs w:val="17"/>
                <w:u w:val="single" w:color="auto"/>
                <w:color w:val="0000EE"/>
                <w:w w:val="96"/>
              </w:rPr>
              <w:t>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960" w:type="dxa"/>
            <w:vAlign w:val="bottom"/>
            <w:gridSpan w:val="29"/>
          </w:tcPr>
          <w:p>
            <w:pPr>
              <w:ind w:left="60"/>
              <w:spacing w:after="0"/>
              <w:rPr>
                <w:sz w:val="20"/>
                <w:szCs w:val="20"/>
                <w:color w:val="auto"/>
              </w:rPr>
            </w:pPr>
            <w:r>
              <w:rPr>
                <w:rFonts w:ascii="Arial" w:cs="Arial" w:eastAsia="Arial" w:hAnsi="Arial"/>
                <w:sz w:val="17"/>
                <w:szCs w:val="17"/>
                <w:color w:val="0000EE"/>
              </w:rPr>
              <w:t>Communications by the company to members</w:t>
            </w:r>
          </w:p>
        </w:tc>
        <w:tc>
          <w:tcPr>
            <w:tcW w:w="200" w:type="dxa"/>
            <w:vAlign w:val="bottom"/>
          </w:tcPr>
          <w:p>
            <w:pPr>
              <w:jc w:val="right"/>
              <w:spacing w:after="0"/>
              <w:rPr>
                <w:sz w:val="20"/>
                <w:szCs w:val="20"/>
                <w:color w:val="auto"/>
              </w:rPr>
            </w:pPr>
            <w:r>
              <w:rPr>
                <w:rFonts w:ascii="Arial" w:cs="Arial" w:eastAsia="Arial" w:hAnsi="Arial"/>
                <w:sz w:val="17"/>
                <w:szCs w:val="17"/>
                <w:color w:val="FF0000"/>
                <w:strike w:val="1"/>
                <w:w w:val="94"/>
              </w:rPr>
              <w:t>42</w:t>
            </w:r>
          </w:p>
        </w:tc>
        <w:tc>
          <w:tcPr>
            <w:tcW w:w="1440" w:type="dxa"/>
            <w:vAlign w:val="bottom"/>
            <w:gridSpan w:val="2"/>
          </w:tcPr>
          <w:p>
            <w:pPr>
              <w:jc w:val="right"/>
              <w:ind w:right="1260"/>
              <w:spacing w:after="0"/>
              <w:rPr>
                <w:sz w:val="20"/>
                <w:szCs w:val="20"/>
                <w:color w:val="auto"/>
              </w:rPr>
            </w:pPr>
            <w:r>
              <w:rPr>
                <w:rFonts w:ascii="Arial" w:cs="Arial" w:eastAsia="Arial" w:hAnsi="Arial"/>
                <w:sz w:val="17"/>
                <w:szCs w:val="17"/>
                <w:color w:val="0000FF"/>
                <w:w w:val="84"/>
              </w:rPr>
              <w:t>45</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FF0000"/>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22.</w:t>
            </w:r>
            <w:r>
              <w:rPr>
                <w:rFonts w:ascii="Arial" w:cs="Arial" w:eastAsia="Arial" w:hAnsi="Arial"/>
                <w:sz w:val="17"/>
                <w:szCs w:val="17"/>
                <w:u w:val="single" w:color="auto"/>
                <w:color w:val="0000EE"/>
                <w:w w:val="96"/>
              </w:rPr>
              <w:t>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960" w:type="dxa"/>
            <w:vAlign w:val="bottom"/>
            <w:gridSpan w:val="29"/>
          </w:tcPr>
          <w:p>
            <w:pPr>
              <w:ind w:left="60"/>
              <w:spacing w:after="0"/>
              <w:rPr>
                <w:sz w:val="20"/>
                <w:szCs w:val="20"/>
                <w:color w:val="auto"/>
              </w:rPr>
            </w:pPr>
            <w:r>
              <w:rPr>
                <w:rFonts w:ascii="Arial" w:cs="Arial" w:eastAsia="Arial" w:hAnsi="Arial"/>
                <w:sz w:val="17"/>
                <w:szCs w:val="17"/>
                <w:color w:val="0000EE"/>
              </w:rPr>
              <w:t>Additional rule for notices of meeting</w:t>
            </w:r>
          </w:p>
        </w:tc>
        <w:tc>
          <w:tcPr>
            <w:tcW w:w="200" w:type="dxa"/>
            <w:vAlign w:val="bottom"/>
          </w:tcPr>
          <w:p>
            <w:pPr>
              <w:jc w:val="right"/>
              <w:spacing w:after="0"/>
              <w:rPr>
                <w:sz w:val="20"/>
                <w:szCs w:val="20"/>
                <w:color w:val="auto"/>
              </w:rPr>
            </w:pPr>
            <w:r>
              <w:rPr>
                <w:rFonts w:ascii="Arial" w:cs="Arial" w:eastAsia="Arial" w:hAnsi="Arial"/>
                <w:sz w:val="17"/>
                <w:szCs w:val="17"/>
                <w:color w:val="FF0000"/>
                <w:strike w:val="1"/>
                <w:w w:val="94"/>
              </w:rPr>
              <w:t>42</w:t>
            </w:r>
          </w:p>
        </w:tc>
        <w:tc>
          <w:tcPr>
            <w:tcW w:w="1440" w:type="dxa"/>
            <w:vAlign w:val="bottom"/>
            <w:gridSpan w:val="2"/>
          </w:tcPr>
          <w:p>
            <w:pPr>
              <w:jc w:val="right"/>
              <w:ind w:right="1260"/>
              <w:spacing w:after="0"/>
              <w:rPr>
                <w:sz w:val="20"/>
                <w:szCs w:val="20"/>
                <w:color w:val="auto"/>
              </w:rPr>
            </w:pPr>
            <w:r>
              <w:rPr>
                <w:rFonts w:ascii="Arial" w:cs="Arial" w:eastAsia="Arial" w:hAnsi="Arial"/>
                <w:sz w:val="17"/>
                <w:szCs w:val="17"/>
                <w:color w:val="0000FF"/>
                <w:w w:val="84"/>
              </w:rPr>
              <w:t>46</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FF0000"/>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22.</w:t>
            </w:r>
            <w:r>
              <w:rPr>
                <w:rFonts w:ascii="Arial" w:cs="Arial" w:eastAsia="Arial" w:hAnsi="Arial"/>
                <w:sz w:val="17"/>
                <w:szCs w:val="17"/>
                <w:u w:val="single" w:color="auto"/>
                <w:color w:val="0000EE"/>
                <w:w w:val="96"/>
              </w:rPr>
              <w:t>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960" w:type="dxa"/>
            <w:vAlign w:val="bottom"/>
            <w:gridSpan w:val="29"/>
          </w:tcPr>
          <w:p>
            <w:pPr>
              <w:ind w:left="60"/>
              <w:spacing w:after="0"/>
              <w:rPr>
                <w:sz w:val="20"/>
                <w:szCs w:val="20"/>
                <w:color w:val="auto"/>
              </w:rPr>
            </w:pPr>
            <w:r>
              <w:rPr>
                <w:rFonts w:ascii="Arial" w:cs="Arial" w:eastAsia="Arial" w:hAnsi="Arial"/>
                <w:sz w:val="17"/>
                <w:szCs w:val="17"/>
                <w:color w:val="0000EE"/>
              </w:rPr>
              <w:t>Signature</w:t>
            </w:r>
          </w:p>
        </w:tc>
        <w:tc>
          <w:tcPr>
            <w:tcW w:w="200" w:type="dxa"/>
            <w:vAlign w:val="bottom"/>
          </w:tcPr>
          <w:p>
            <w:pPr>
              <w:jc w:val="right"/>
              <w:spacing w:after="0"/>
              <w:rPr>
                <w:sz w:val="20"/>
                <w:szCs w:val="20"/>
                <w:color w:val="auto"/>
              </w:rPr>
            </w:pPr>
            <w:r>
              <w:rPr>
                <w:rFonts w:ascii="Arial" w:cs="Arial" w:eastAsia="Arial" w:hAnsi="Arial"/>
                <w:sz w:val="17"/>
                <w:szCs w:val="17"/>
                <w:color w:val="FF0000"/>
                <w:strike w:val="1"/>
                <w:w w:val="94"/>
              </w:rPr>
              <w:t>43</w:t>
            </w:r>
          </w:p>
        </w:tc>
        <w:tc>
          <w:tcPr>
            <w:tcW w:w="1440" w:type="dxa"/>
            <w:vAlign w:val="bottom"/>
            <w:gridSpan w:val="2"/>
          </w:tcPr>
          <w:p>
            <w:pPr>
              <w:jc w:val="right"/>
              <w:ind w:right="1260"/>
              <w:spacing w:after="0"/>
              <w:rPr>
                <w:sz w:val="20"/>
                <w:szCs w:val="20"/>
                <w:color w:val="auto"/>
              </w:rPr>
            </w:pPr>
            <w:r>
              <w:rPr>
                <w:rFonts w:ascii="Arial" w:cs="Arial" w:eastAsia="Arial" w:hAnsi="Arial"/>
                <w:sz w:val="17"/>
                <w:szCs w:val="17"/>
                <w:color w:val="0000FF"/>
                <w:w w:val="84"/>
              </w:rPr>
              <w:t>46</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FF0000"/>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22.</w:t>
            </w:r>
            <w:r>
              <w:rPr>
                <w:rFonts w:ascii="Arial" w:cs="Arial" w:eastAsia="Arial" w:hAnsi="Arial"/>
                <w:sz w:val="17"/>
                <w:szCs w:val="17"/>
                <w:u w:val="single" w:color="auto"/>
                <w:color w:val="0000EE"/>
                <w:w w:val="96"/>
              </w:rPr>
              <w:t>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960" w:type="dxa"/>
            <w:vAlign w:val="bottom"/>
            <w:gridSpan w:val="29"/>
          </w:tcPr>
          <w:p>
            <w:pPr>
              <w:ind w:left="60"/>
              <w:spacing w:after="0"/>
              <w:rPr>
                <w:sz w:val="20"/>
                <w:szCs w:val="20"/>
                <w:color w:val="auto"/>
              </w:rPr>
            </w:pPr>
            <w:r>
              <w:rPr>
                <w:rFonts w:ascii="Arial" w:cs="Arial" w:eastAsia="Arial" w:hAnsi="Arial"/>
                <w:sz w:val="17"/>
                <w:szCs w:val="17"/>
                <w:color w:val="0000EE"/>
              </w:rPr>
              <w:t>Communications by the company to directors</w:t>
            </w:r>
          </w:p>
        </w:tc>
        <w:tc>
          <w:tcPr>
            <w:tcW w:w="200" w:type="dxa"/>
            <w:vAlign w:val="bottom"/>
          </w:tcPr>
          <w:p>
            <w:pPr>
              <w:jc w:val="right"/>
              <w:spacing w:after="0"/>
              <w:rPr>
                <w:sz w:val="20"/>
                <w:szCs w:val="20"/>
                <w:color w:val="auto"/>
              </w:rPr>
            </w:pPr>
            <w:r>
              <w:rPr>
                <w:rFonts w:ascii="Arial" w:cs="Arial" w:eastAsia="Arial" w:hAnsi="Arial"/>
                <w:sz w:val="17"/>
                <w:szCs w:val="17"/>
                <w:color w:val="FF0000"/>
                <w:strike w:val="1"/>
                <w:w w:val="94"/>
              </w:rPr>
              <w:t>43</w:t>
            </w:r>
          </w:p>
        </w:tc>
        <w:tc>
          <w:tcPr>
            <w:tcW w:w="1440" w:type="dxa"/>
            <w:vAlign w:val="bottom"/>
            <w:gridSpan w:val="2"/>
          </w:tcPr>
          <w:p>
            <w:pPr>
              <w:jc w:val="right"/>
              <w:ind w:right="1260"/>
              <w:spacing w:after="0"/>
              <w:rPr>
                <w:sz w:val="20"/>
                <w:szCs w:val="20"/>
                <w:color w:val="auto"/>
              </w:rPr>
            </w:pPr>
            <w:r>
              <w:rPr>
                <w:rFonts w:ascii="Arial" w:cs="Arial" w:eastAsia="Arial" w:hAnsi="Arial"/>
                <w:sz w:val="17"/>
                <w:szCs w:val="17"/>
                <w:color w:val="0000FF"/>
                <w:w w:val="84"/>
              </w:rPr>
              <w:t>46</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FF0000"/>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22.</w:t>
            </w:r>
            <w:r>
              <w:rPr>
                <w:rFonts w:ascii="Arial" w:cs="Arial" w:eastAsia="Arial" w:hAnsi="Arial"/>
                <w:sz w:val="17"/>
                <w:szCs w:val="17"/>
                <w:u w:val="single" w:color="auto"/>
                <w:color w:val="0000EE"/>
                <w:w w:val="96"/>
              </w:rPr>
              <w:t>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960" w:type="dxa"/>
            <w:vAlign w:val="bottom"/>
            <w:gridSpan w:val="29"/>
          </w:tcPr>
          <w:p>
            <w:pPr>
              <w:ind w:left="60"/>
              <w:spacing w:after="0"/>
              <w:rPr>
                <w:sz w:val="20"/>
                <w:szCs w:val="20"/>
                <w:color w:val="auto"/>
              </w:rPr>
            </w:pPr>
            <w:r>
              <w:rPr>
                <w:rFonts w:ascii="Arial" w:cs="Arial" w:eastAsia="Arial" w:hAnsi="Arial"/>
                <w:sz w:val="17"/>
                <w:szCs w:val="17"/>
                <w:color w:val="0000EE"/>
              </w:rPr>
              <w:t>Communications given by members to the company</w:t>
            </w:r>
          </w:p>
        </w:tc>
        <w:tc>
          <w:tcPr>
            <w:tcW w:w="200" w:type="dxa"/>
            <w:vAlign w:val="bottom"/>
          </w:tcPr>
          <w:p>
            <w:pPr>
              <w:jc w:val="right"/>
              <w:spacing w:after="0"/>
              <w:rPr>
                <w:sz w:val="20"/>
                <w:szCs w:val="20"/>
                <w:color w:val="auto"/>
              </w:rPr>
            </w:pPr>
            <w:r>
              <w:rPr>
                <w:rFonts w:ascii="Arial" w:cs="Arial" w:eastAsia="Arial" w:hAnsi="Arial"/>
                <w:sz w:val="17"/>
                <w:szCs w:val="17"/>
                <w:color w:val="FF0000"/>
                <w:strike w:val="1"/>
                <w:w w:val="94"/>
              </w:rPr>
              <w:t>43</w:t>
            </w:r>
          </w:p>
        </w:tc>
        <w:tc>
          <w:tcPr>
            <w:tcW w:w="1440" w:type="dxa"/>
            <w:vAlign w:val="bottom"/>
            <w:gridSpan w:val="2"/>
          </w:tcPr>
          <w:p>
            <w:pPr>
              <w:jc w:val="right"/>
              <w:ind w:right="1260"/>
              <w:spacing w:after="0"/>
              <w:rPr>
                <w:sz w:val="20"/>
                <w:szCs w:val="20"/>
                <w:color w:val="auto"/>
              </w:rPr>
            </w:pPr>
            <w:r>
              <w:rPr>
                <w:rFonts w:ascii="Arial" w:cs="Arial" w:eastAsia="Arial" w:hAnsi="Arial"/>
                <w:sz w:val="17"/>
                <w:szCs w:val="17"/>
                <w:color w:val="0000FF"/>
                <w:w w:val="84"/>
              </w:rPr>
              <w:t>46</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FF0000"/>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22.</w:t>
            </w:r>
            <w:r>
              <w:rPr>
                <w:rFonts w:ascii="Arial" w:cs="Arial" w:eastAsia="Arial" w:hAnsi="Arial"/>
                <w:sz w:val="17"/>
                <w:szCs w:val="17"/>
                <w:u w:val="single" w:color="auto"/>
                <w:color w:val="0000EE"/>
                <w:w w:val="96"/>
              </w:rPr>
              <w:t>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960" w:type="dxa"/>
            <w:vAlign w:val="bottom"/>
            <w:gridSpan w:val="29"/>
          </w:tcPr>
          <w:p>
            <w:pPr>
              <w:ind w:left="60"/>
              <w:spacing w:after="0"/>
              <w:rPr>
                <w:sz w:val="20"/>
                <w:szCs w:val="20"/>
                <w:color w:val="auto"/>
              </w:rPr>
            </w:pPr>
            <w:r>
              <w:rPr>
                <w:rFonts w:ascii="Arial" w:cs="Arial" w:eastAsia="Arial" w:hAnsi="Arial"/>
                <w:sz w:val="17"/>
                <w:szCs w:val="17"/>
                <w:color w:val="0000EE"/>
              </w:rPr>
              <w:t>Communications given by directors to the company</w:t>
            </w:r>
          </w:p>
        </w:tc>
        <w:tc>
          <w:tcPr>
            <w:tcW w:w="200" w:type="dxa"/>
            <w:vAlign w:val="bottom"/>
          </w:tcPr>
          <w:p>
            <w:pPr>
              <w:jc w:val="right"/>
              <w:spacing w:after="0"/>
              <w:rPr>
                <w:sz w:val="20"/>
                <w:szCs w:val="20"/>
                <w:color w:val="auto"/>
              </w:rPr>
            </w:pPr>
            <w:r>
              <w:rPr>
                <w:rFonts w:ascii="Arial" w:cs="Arial" w:eastAsia="Arial" w:hAnsi="Arial"/>
                <w:sz w:val="17"/>
                <w:szCs w:val="17"/>
                <w:color w:val="FF0000"/>
                <w:strike w:val="1"/>
                <w:w w:val="94"/>
              </w:rPr>
              <w:t>43</w:t>
            </w:r>
          </w:p>
        </w:tc>
        <w:tc>
          <w:tcPr>
            <w:tcW w:w="1440" w:type="dxa"/>
            <w:vAlign w:val="bottom"/>
            <w:gridSpan w:val="2"/>
          </w:tcPr>
          <w:p>
            <w:pPr>
              <w:jc w:val="right"/>
              <w:ind w:right="1260"/>
              <w:spacing w:after="0"/>
              <w:rPr>
                <w:sz w:val="20"/>
                <w:szCs w:val="20"/>
                <w:color w:val="auto"/>
              </w:rPr>
            </w:pPr>
            <w:r>
              <w:rPr>
                <w:rFonts w:ascii="Arial" w:cs="Arial" w:eastAsia="Arial" w:hAnsi="Arial"/>
                <w:sz w:val="17"/>
                <w:szCs w:val="17"/>
                <w:color w:val="0000FF"/>
                <w:w w:val="84"/>
              </w:rPr>
              <w:t>47</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340" w:type="dxa"/>
            <w:vAlign w:val="bottom"/>
            <w:tcBorders>
              <w:left w:val="single" w:sz="8" w:color="0000EE"/>
            </w:tcBorders>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FF0000"/>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22.</w:t>
            </w:r>
            <w:r>
              <w:rPr>
                <w:rFonts w:ascii="Arial" w:cs="Arial" w:eastAsia="Arial" w:hAnsi="Arial"/>
                <w:sz w:val="17"/>
                <w:szCs w:val="17"/>
                <w:u w:val="single" w:color="auto"/>
                <w:color w:val="0000EE"/>
                <w:w w:val="96"/>
              </w:rPr>
              <w:t>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960" w:type="dxa"/>
            <w:vAlign w:val="bottom"/>
            <w:gridSpan w:val="29"/>
          </w:tcPr>
          <w:p>
            <w:pPr>
              <w:ind w:left="60"/>
              <w:spacing w:after="0"/>
              <w:rPr>
                <w:sz w:val="20"/>
                <w:szCs w:val="20"/>
                <w:color w:val="auto"/>
              </w:rPr>
            </w:pPr>
            <w:r>
              <w:rPr>
                <w:rFonts w:ascii="Arial" w:cs="Arial" w:eastAsia="Arial" w:hAnsi="Arial"/>
                <w:sz w:val="17"/>
                <w:szCs w:val="17"/>
                <w:color w:val="0000EE"/>
              </w:rPr>
              <w:t>When communications taken to be received</w:t>
            </w:r>
          </w:p>
        </w:tc>
        <w:tc>
          <w:tcPr>
            <w:tcW w:w="200" w:type="dxa"/>
            <w:vAlign w:val="bottom"/>
          </w:tcPr>
          <w:p>
            <w:pPr>
              <w:jc w:val="right"/>
              <w:spacing w:after="0"/>
              <w:rPr>
                <w:sz w:val="20"/>
                <w:szCs w:val="20"/>
                <w:color w:val="auto"/>
              </w:rPr>
            </w:pPr>
            <w:r>
              <w:rPr>
                <w:rFonts w:ascii="Arial" w:cs="Arial" w:eastAsia="Arial" w:hAnsi="Arial"/>
                <w:sz w:val="17"/>
                <w:szCs w:val="17"/>
                <w:color w:val="FF0000"/>
                <w:strike w:val="1"/>
                <w:w w:val="94"/>
              </w:rPr>
              <w:t>43</w:t>
            </w:r>
          </w:p>
        </w:tc>
        <w:tc>
          <w:tcPr>
            <w:tcW w:w="1440" w:type="dxa"/>
            <w:vAlign w:val="bottom"/>
            <w:gridSpan w:val="2"/>
          </w:tcPr>
          <w:p>
            <w:pPr>
              <w:jc w:val="right"/>
              <w:ind w:right="1260"/>
              <w:spacing w:after="0"/>
              <w:rPr>
                <w:sz w:val="20"/>
                <w:szCs w:val="20"/>
                <w:color w:val="auto"/>
              </w:rPr>
            </w:pPr>
            <w:r>
              <w:rPr>
                <w:rFonts w:ascii="Arial" w:cs="Arial" w:eastAsia="Arial" w:hAnsi="Arial"/>
                <w:sz w:val="17"/>
                <w:szCs w:val="17"/>
                <w:color w:val="0000FF"/>
                <w:w w:val="84"/>
              </w:rPr>
              <w:t>47</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FF0000"/>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3"/>
        </w:trPr>
        <w:tc>
          <w:tcPr>
            <w:tcW w:w="1600" w:type="dxa"/>
            <w:vAlign w:val="bottom"/>
            <w:gridSpan w:val="3"/>
          </w:tcPr>
          <w:p>
            <w:pPr>
              <w:ind w:left="1260"/>
              <w:spacing w:after="0"/>
              <w:rPr>
                <w:sz w:val="20"/>
                <w:szCs w:val="20"/>
                <w:color w:val="auto"/>
              </w:rPr>
            </w:pPr>
            <w:r>
              <w:rPr>
                <w:rFonts w:ascii="Arial" w:cs="Arial" w:eastAsia="Arial" w:hAnsi="Arial"/>
                <w:sz w:val="17"/>
                <w:szCs w:val="17"/>
                <w:color w:val="0000EE"/>
                <w:w w:val="96"/>
              </w:rPr>
              <w:t>22.</w:t>
            </w:r>
            <w:r>
              <w:rPr>
                <w:rFonts w:ascii="Arial" w:cs="Arial" w:eastAsia="Arial" w:hAnsi="Arial"/>
                <w:sz w:val="17"/>
                <w:szCs w:val="17"/>
                <w:u w:val="single" w:color="auto"/>
                <w:color w:val="0000EE"/>
                <w:w w:val="96"/>
              </w:rPr>
              <w:t>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960" w:type="dxa"/>
            <w:vAlign w:val="bottom"/>
            <w:gridSpan w:val="29"/>
          </w:tcPr>
          <w:p>
            <w:pPr>
              <w:ind w:left="60"/>
              <w:spacing w:after="0"/>
              <w:rPr>
                <w:sz w:val="20"/>
                <w:szCs w:val="20"/>
                <w:color w:val="auto"/>
              </w:rPr>
            </w:pPr>
            <w:r>
              <w:rPr>
                <w:rFonts w:ascii="Arial" w:cs="Arial" w:eastAsia="Arial" w:hAnsi="Arial"/>
                <w:sz w:val="17"/>
                <w:szCs w:val="17"/>
                <w:color w:val="0000EE"/>
              </w:rPr>
              <w:t>Joint holders</w:t>
            </w:r>
          </w:p>
        </w:tc>
        <w:tc>
          <w:tcPr>
            <w:tcW w:w="200" w:type="dxa"/>
            <w:vAlign w:val="bottom"/>
          </w:tcPr>
          <w:p>
            <w:pPr>
              <w:jc w:val="right"/>
              <w:spacing w:after="0"/>
              <w:rPr>
                <w:sz w:val="20"/>
                <w:szCs w:val="20"/>
                <w:color w:val="auto"/>
              </w:rPr>
            </w:pPr>
            <w:r>
              <w:rPr>
                <w:rFonts w:ascii="Arial" w:cs="Arial" w:eastAsia="Arial" w:hAnsi="Arial"/>
                <w:sz w:val="17"/>
                <w:szCs w:val="17"/>
                <w:color w:val="FF0000"/>
                <w:strike w:val="1"/>
                <w:w w:val="94"/>
              </w:rPr>
              <w:t>44</w:t>
            </w:r>
          </w:p>
        </w:tc>
        <w:tc>
          <w:tcPr>
            <w:tcW w:w="1440" w:type="dxa"/>
            <w:vAlign w:val="bottom"/>
            <w:gridSpan w:val="2"/>
          </w:tcPr>
          <w:p>
            <w:pPr>
              <w:jc w:val="right"/>
              <w:ind w:right="1260"/>
              <w:spacing w:after="0"/>
              <w:rPr>
                <w:sz w:val="20"/>
                <w:szCs w:val="20"/>
                <w:color w:val="auto"/>
              </w:rPr>
            </w:pPr>
            <w:r>
              <w:rPr>
                <w:rFonts w:ascii="Arial" w:cs="Arial" w:eastAsia="Arial" w:hAnsi="Arial"/>
                <w:sz w:val="17"/>
                <w:szCs w:val="17"/>
                <w:color w:val="0000FF"/>
                <w:w w:val="84"/>
              </w:rPr>
              <w:t>47</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FF0000"/>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3"/>
        </w:trPr>
        <w:tc>
          <w:tcPr>
            <w:tcW w:w="1860" w:type="dxa"/>
            <w:vAlign w:val="bottom"/>
            <w:gridSpan w:val="5"/>
          </w:tcPr>
          <w:p>
            <w:pPr>
              <w:ind w:left="1260"/>
              <w:spacing w:after="0"/>
              <w:rPr>
                <w:sz w:val="20"/>
                <w:szCs w:val="20"/>
                <w:color w:val="auto"/>
              </w:rPr>
            </w:pPr>
            <w:r>
              <w:rPr>
                <w:rFonts w:ascii="Arial" w:cs="Arial" w:eastAsia="Arial" w:hAnsi="Arial"/>
                <w:sz w:val="17"/>
                <w:szCs w:val="17"/>
                <w:color w:val="0000EE"/>
              </w:rPr>
              <w:t>22.</w:t>
            </w:r>
            <w:r>
              <w:rPr>
                <w:rFonts w:ascii="Arial" w:cs="Arial" w:eastAsia="Arial" w:hAnsi="Arial"/>
                <w:sz w:val="17"/>
                <w:szCs w:val="17"/>
                <w:u w:val="single" w:color="auto"/>
                <w:color w:val="0000EE"/>
              </w:rPr>
              <w:t>10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960" w:type="dxa"/>
            <w:vAlign w:val="bottom"/>
            <w:gridSpan w:val="29"/>
          </w:tcPr>
          <w:p>
            <w:pPr>
              <w:ind w:left="60"/>
              <w:spacing w:after="0"/>
              <w:rPr>
                <w:sz w:val="20"/>
                <w:szCs w:val="20"/>
                <w:color w:val="auto"/>
              </w:rPr>
            </w:pPr>
            <w:r>
              <w:rPr>
                <w:rFonts w:ascii="Arial" w:cs="Arial" w:eastAsia="Arial" w:hAnsi="Arial"/>
                <w:sz w:val="17"/>
                <w:szCs w:val="17"/>
                <w:color w:val="0000EE"/>
              </w:rPr>
              <w:t>Persons entitled to shares by transmission</w:t>
            </w:r>
          </w:p>
        </w:tc>
        <w:tc>
          <w:tcPr>
            <w:tcW w:w="200" w:type="dxa"/>
            <w:vAlign w:val="bottom"/>
          </w:tcPr>
          <w:p>
            <w:pPr>
              <w:jc w:val="right"/>
              <w:spacing w:after="0"/>
              <w:rPr>
                <w:sz w:val="20"/>
                <w:szCs w:val="20"/>
                <w:color w:val="auto"/>
              </w:rPr>
            </w:pPr>
            <w:r>
              <w:rPr>
                <w:rFonts w:ascii="Arial" w:cs="Arial" w:eastAsia="Arial" w:hAnsi="Arial"/>
                <w:sz w:val="17"/>
                <w:szCs w:val="17"/>
                <w:color w:val="FF0000"/>
                <w:strike w:val="1"/>
                <w:w w:val="94"/>
              </w:rPr>
              <w:t>44</w:t>
            </w:r>
          </w:p>
        </w:tc>
        <w:tc>
          <w:tcPr>
            <w:tcW w:w="1440" w:type="dxa"/>
            <w:vAlign w:val="bottom"/>
            <w:gridSpan w:val="2"/>
          </w:tcPr>
          <w:p>
            <w:pPr>
              <w:jc w:val="right"/>
              <w:ind w:right="1260"/>
              <w:spacing w:after="0"/>
              <w:rPr>
                <w:sz w:val="20"/>
                <w:szCs w:val="20"/>
                <w:color w:val="auto"/>
              </w:rPr>
            </w:pPr>
            <w:r>
              <w:rPr>
                <w:rFonts w:ascii="Arial" w:cs="Arial" w:eastAsia="Arial" w:hAnsi="Arial"/>
                <w:sz w:val="17"/>
                <w:szCs w:val="17"/>
                <w:color w:val="0000FF"/>
                <w:w w:val="84"/>
              </w:rPr>
              <w:t>47</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FF0000"/>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3"/>
        </w:trPr>
        <w:tc>
          <w:tcPr>
            <w:tcW w:w="1680" w:type="dxa"/>
            <w:vAlign w:val="bottom"/>
            <w:gridSpan w:val="4"/>
          </w:tcPr>
          <w:p>
            <w:pPr>
              <w:ind w:left="1260"/>
              <w:spacing w:after="0"/>
              <w:rPr>
                <w:sz w:val="20"/>
                <w:szCs w:val="20"/>
                <w:color w:val="auto"/>
              </w:rPr>
            </w:pPr>
            <w:r>
              <w:rPr>
                <w:rFonts w:ascii="Arial" w:cs="Arial" w:eastAsia="Arial" w:hAnsi="Arial"/>
                <w:sz w:val="17"/>
                <w:szCs w:val="17"/>
                <w:color w:val="0000EE"/>
                <w:w w:val="89"/>
              </w:rPr>
              <w:t>22.</w:t>
            </w:r>
            <w:r>
              <w:rPr>
                <w:rFonts w:ascii="Arial" w:cs="Arial" w:eastAsia="Arial" w:hAnsi="Arial"/>
                <w:sz w:val="17"/>
                <w:szCs w:val="17"/>
                <w:u w:val="single" w:color="auto"/>
                <w:color w:val="0000EE"/>
                <w:w w:val="89"/>
              </w:rPr>
              <w:t>11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960" w:type="dxa"/>
            <w:vAlign w:val="bottom"/>
            <w:gridSpan w:val="29"/>
          </w:tcPr>
          <w:p>
            <w:pPr>
              <w:ind w:left="60"/>
              <w:spacing w:after="0"/>
              <w:rPr>
                <w:sz w:val="20"/>
                <w:szCs w:val="20"/>
                <w:color w:val="auto"/>
              </w:rPr>
            </w:pPr>
            <w:r>
              <w:rPr>
                <w:rFonts w:ascii="Arial" w:cs="Arial" w:eastAsia="Arial" w:hAnsi="Arial"/>
                <w:sz w:val="17"/>
                <w:szCs w:val="17"/>
                <w:color w:val="0000EE"/>
              </w:rPr>
              <w:t>Transferee of shares</w:t>
            </w:r>
          </w:p>
        </w:tc>
        <w:tc>
          <w:tcPr>
            <w:tcW w:w="200" w:type="dxa"/>
            <w:vAlign w:val="bottom"/>
          </w:tcPr>
          <w:p>
            <w:pPr>
              <w:jc w:val="right"/>
              <w:spacing w:after="0"/>
              <w:rPr>
                <w:sz w:val="20"/>
                <w:szCs w:val="20"/>
                <w:color w:val="auto"/>
              </w:rPr>
            </w:pPr>
            <w:r>
              <w:rPr>
                <w:rFonts w:ascii="Arial" w:cs="Arial" w:eastAsia="Arial" w:hAnsi="Arial"/>
                <w:sz w:val="17"/>
                <w:szCs w:val="17"/>
                <w:color w:val="FF0000"/>
                <w:strike w:val="1"/>
                <w:w w:val="94"/>
              </w:rPr>
              <w:t>44</w:t>
            </w:r>
          </w:p>
        </w:tc>
        <w:tc>
          <w:tcPr>
            <w:tcW w:w="1440" w:type="dxa"/>
            <w:vAlign w:val="bottom"/>
            <w:gridSpan w:val="2"/>
          </w:tcPr>
          <w:p>
            <w:pPr>
              <w:jc w:val="right"/>
              <w:ind w:right="1260"/>
              <w:spacing w:after="0"/>
              <w:rPr>
                <w:sz w:val="20"/>
                <w:szCs w:val="20"/>
                <w:color w:val="auto"/>
              </w:rPr>
            </w:pPr>
            <w:r>
              <w:rPr>
                <w:rFonts w:ascii="Arial" w:cs="Arial" w:eastAsia="Arial" w:hAnsi="Arial"/>
                <w:sz w:val="17"/>
                <w:szCs w:val="17"/>
                <w:color w:val="0000FF"/>
                <w:w w:val="84"/>
              </w:rPr>
              <w:t>47</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FF0000"/>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8"/>
        </w:trPr>
        <w:tc>
          <w:tcPr>
            <w:tcW w:w="1280" w:type="dxa"/>
            <w:vAlign w:val="bottom"/>
          </w:tcPr>
          <w:p>
            <w:pPr>
              <w:spacing w:after="0"/>
              <w:rPr>
                <w:sz w:val="20"/>
                <w:szCs w:val="20"/>
                <w:color w:val="auto"/>
              </w:rPr>
            </w:pPr>
          </w:p>
        </w:tc>
        <w:tc>
          <w:tcPr>
            <w:tcW w:w="2940" w:type="dxa"/>
            <w:vAlign w:val="bottom"/>
            <w:gridSpan w:val="19"/>
          </w:tcPr>
          <w:p>
            <w:pPr>
              <w:spacing w:after="0"/>
              <w:rPr>
                <w:sz w:val="20"/>
                <w:szCs w:val="20"/>
                <w:color w:val="auto"/>
              </w:rPr>
            </w:pPr>
            <w:r>
              <w:rPr>
                <w:rFonts w:ascii="Arial" w:cs="Arial" w:eastAsia="Arial" w:hAnsi="Arial"/>
                <w:sz w:val="17"/>
                <w:szCs w:val="17"/>
                <w:color w:val="FF0000"/>
                <w:strike w:val="1"/>
              </w:rPr>
              <w:t>Schedule 1 B CLASS SHARE TERMS</w:t>
            </w:r>
          </w:p>
        </w:tc>
        <w:tc>
          <w:tcPr>
            <w:tcW w:w="620" w:type="dxa"/>
            <w:vAlign w:val="bottom"/>
            <w:gridSpan w:val="4"/>
          </w:tcPr>
          <w:p>
            <w:pPr>
              <w:spacing w:after="0"/>
              <w:rPr>
                <w:sz w:val="20"/>
                <w:szCs w:val="20"/>
                <w:color w:val="auto"/>
              </w:rPr>
            </w:pPr>
          </w:p>
        </w:tc>
        <w:tc>
          <w:tcPr>
            <w:tcW w:w="260" w:type="dxa"/>
            <w:vAlign w:val="bottom"/>
            <w:gridSpan w:val="2"/>
          </w:tcPr>
          <w:p>
            <w:pPr>
              <w:spacing w:after="0"/>
              <w:rPr>
                <w:sz w:val="20"/>
                <w:szCs w:val="20"/>
                <w:color w:val="auto"/>
              </w:rPr>
            </w:pPr>
          </w:p>
        </w:tc>
        <w:tc>
          <w:tcPr>
            <w:tcW w:w="680" w:type="dxa"/>
            <w:vAlign w:val="bottom"/>
            <w:gridSpan w:val="5"/>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3"/>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FF0000"/>
                <w:strike w:val="1"/>
                <w:w w:val="94"/>
              </w:rPr>
              <w:t>45</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21"/>
        </w:trPr>
        <w:tc>
          <w:tcPr>
            <w:tcW w:w="1280" w:type="dxa"/>
            <w:vAlign w:val="bottom"/>
          </w:tcPr>
          <w:p>
            <w:pPr>
              <w:spacing w:after="0"/>
              <w:rPr>
                <w:sz w:val="19"/>
                <w:szCs w:val="19"/>
                <w:color w:val="auto"/>
              </w:rPr>
            </w:pPr>
          </w:p>
        </w:tc>
        <w:tc>
          <w:tcPr>
            <w:tcW w:w="3560" w:type="dxa"/>
            <w:vAlign w:val="bottom"/>
            <w:gridSpan w:val="23"/>
          </w:tcPr>
          <w:p>
            <w:pPr>
              <w:spacing w:after="0"/>
              <w:rPr>
                <w:sz w:val="20"/>
                <w:szCs w:val="20"/>
                <w:color w:val="auto"/>
              </w:rPr>
            </w:pPr>
            <w:r>
              <w:rPr>
                <w:rFonts w:ascii="Arial" w:cs="Arial" w:eastAsia="Arial" w:hAnsi="Arial"/>
                <w:sz w:val="17"/>
                <w:szCs w:val="17"/>
                <w:color w:val="FF0000"/>
                <w:strike w:val="1"/>
              </w:rPr>
              <w:t>Schedule 2 PREFERENCE SHARE RIGHTS</w:t>
            </w:r>
          </w:p>
        </w:tc>
        <w:tc>
          <w:tcPr>
            <w:tcW w:w="260" w:type="dxa"/>
            <w:vAlign w:val="bottom"/>
            <w:gridSpan w:val="2"/>
          </w:tcPr>
          <w:p>
            <w:pPr>
              <w:spacing w:after="0"/>
              <w:rPr>
                <w:sz w:val="19"/>
                <w:szCs w:val="19"/>
                <w:color w:val="auto"/>
              </w:rPr>
            </w:pPr>
          </w:p>
        </w:tc>
        <w:tc>
          <w:tcPr>
            <w:tcW w:w="680" w:type="dxa"/>
            <w:vAlign w:val="bottom"/>
            <w:gridSpan w:val="5"/>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3"/>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FF0000"/>
                <w:strike w:val="1"/>
                <w:w w:val="94"/>
              </w:rPr>
              <w:t>48</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189"/>
        </w:trPr>
        <w:tc>
          <w:tcPr>
            <w:tcW w:w="1280" w:type="dxa"/>
            <w:vAlign w:val="bottom"/>
          </w:tcPr>
          <w:p>
            <w:pPr>
              <w:spacing w:after="0"/>
              <w:rPr>
                <w:sz w:val="16"/>
                <w:szCs w:val="16"/>
                <w:color w:val="auto"/>
              </w:rPr>
            </w:pPr>
          </w:p>
        </w:tc>
        <w:tc>
          <w:tcPr>
            <w:tcW w:w="800" w:type="dxa"/>
            <w:vAlign w:val="bottom"/>
            <w:gridSpan w:val="7"/>
          </w:tcPr>
          <w:p>
            <w:pPr>
              <w:spacing w:after="0" w:line="189" w:lineRule="exact"/>
              <w:rPr>
                <w:sz w:val="20"/>
                <w:szCs w:val="20"/>
                <w:color w:val="auto"/>
              </w:rPr>
            </w:pPr>
            <w:r>
              <w:rPr>
                <w:rFonts w:ascii="Arial" w:cs="Arial" w:eastAsia="Arial" w:hAnsi="Arial"/>
                <w:sz w:val="17"/>
                <w:szCs w:val="17"/>
                <w:b w:val="1"/>
                <w:bCs w:val="1"/>
                <w:color w:val="0000EE"/>
              </w:rPr>
              <w:t>Schedule</w:t>
            </w:r>
          </w:p>
        </w:tc>
        <w:tc>
          <w:tcPr>
            <w:tcW w:w="1760" w:type="dxa"/>
            <w:vAlign w:val="bottom"/>
            <w:gridSpan w:val="10"/>
          </w:tcPr>
          <w:p>
            <w:pPr>
              <w:spacing w:after="0" w:line="189" w:lineRule="exact"/>
              <w:rPr>
                <w:sz w:val="20"/>
                <w:szCs w:val="20"/>
                <w:color w:val="auto"/>
              </w:rPr>
            </w:pPr>
            <w:r>
              <w:rPr>
                <w:rFonts w:ascii="Arial" w:cs="Arial" w:eastAsia="Arial" w:hAnsi="Arial"/>
                <w:sz w:val="17"/>
                <w:szCs w:val="17"/>
                <w:b w:val="1"/>
                <w:bCs w:val="1"/>
                <w:color w:val="FF0000"/>
                <w:strike w:val="1"/>
                <w:w w:val="97"/>
              </w:rPr>
              <w:t>3 CALLS ON SHARES</w:t>
            </w:r>
          </w:p>
        </w:tc>
        <w:tc>
          <w:tcPr>
            <w:tcW w:w="5200" w:type="dxa"/>
            <w:vAlign w:val="bottom"/>
            <w:gridSpan w:val="19"/>
          </w:tcPr>
          <w:p>
            <w:pPr>
              <w:ind w:left="60"/>
              <w:spacing w:after="0" w:line="189" w:lineRule="exact"/>
              <w:rPr>
                <w:sz w:val="20"/>
                <w:szCs w:val="20"/>
                <w:color w:val="auto"/>
              </w:rPr>
            </w:pPr>
            <w:r>
              <w:rPr>
                <w:rFonts w:ascii="Arial" w:cs="Arial" w:eastAsia="Arial" w:hAnsi="Arial"/>
                <w:sz w:val="17"/>
                <w:szCs w:val="17"/>
                <w:b w:val="1"/>
                <w:bCs w:val="1"/>
                <w:color w:val="0000FF"/>
              </w:rPr>
              <w:t>1 B Class Share Terms</w:t>
            </w:r>
          </w:p>
        </w:tc>
        <w:tc>
          <w:tcPr>
            <w:tcW w:w="380" w:type="dxa"/>
            <w:vAlign w:val="bottom"/>
            <w:gridSpan w:val="2"/>
          </w:tcPr>
          <w:p>
            <w:pPr>
              <w:jc w:val="right"/>
              <w:ind w:right="93"/>
              <w:spacing w:after="0" w:line="189" w:lineRule="exact"/>
              <w:rPr>
                <w:sz w:val="20"/>
                <w:szCs w:val="20"/>
                <w:color w:val="auto"/>
              </w:rPr>
            </w:pPr>
            <w:r>
              <w:rPr>
                <w:rFonts w:ascii="Arial" w:cs="Arial" w:eastAsia="Arial" w:hAnsi="Arial"/>
                <w:sz w:val="17"/>
                <w:szCs w:val="17"/>
                <w:b w:val="1"/>
                <w:bCs w:val="1"/>
                <w:color w:val="0000EE"/>
                <w:w w:val="94"/>
              </w:rPr>
              <w:t>48</w:t>
            </w:r>
          </w:p>
        </w:tc>
        <w:tc>
          <w:tcPr>
            <w:tcW w:w="1260" w:type="dxa"/>
            <w:vAlign w:val="bottom"/>
          </w:tcPr>
          <w:p>
            <w:pPr>
              <w:spacing w:after="0"/>
              <w:rPr>
                <w:sz w:val="16"/>
                <w:szCs w:val="16"/>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3"/>
        </w:trPr>
        <w:tc>
          <w:tcPr>
            <w:tcW w:w="1280" w:type="dxa"/>
            <w:vAlign w:val="bottom"/>
          </w:tcPr>
          <w:p>
            <w:pPr>
              <w:spacing w:after="0"/>
              <w:rPr>
                <w:sz w:val="17"/>
                <w:szCs w:val="17"/>
                <w:color w:val="auto"/>
              </w:rPr>
            </w:pPr>
          </w:p>
        </w:tc>
        <w:tc>
          <w:tcPr>
            <w:tcW w:w="760" w:type="dxa"/>
            <w:vAlign w:val="bottom"/>
            <w:gridSpan w:val="6"/>
          </w:tcPr>
          <w:p>
            <w:pPr>
              <w:spacing w:after="0"/>
              <w:rPr>
                <w:sz w:val="20"/>
                <w:szCs w:val="20"/>
                <w:color w:val="auto"/>
              </w:rPr>
            </w:pPr>
            <w:r>
              <w:rPr>
                <w:rFonts w:ascii="Arial" w:cs="Arial" w:eastAsia="Arial" w:hAnsi="Arial"/>
                <w:sz w:val="17"/>
                <w:szCs w:val="17"/>
                <w:b w:val="1"/>
                <w:bCs w:val="1"/>
                <w:color w:val="0000EE"/>
                <w:w w:val="97"/>
              </w:rPr>
              <w:t>Schedule</w:t>
            </w:r>
          </w:p>
        </w:tc>
        <w:tc>
          <w:tcPr>
            <w:tcW w:w="1800" w:type="dxa"/>
            <w:vAlign w:val="bottom"/>
            <w:gridSpan w:val="11"/>
          </w:tcPr>
          <w:p>
            <w:pPr>
              <w:ind w:left="40"/>
              <w:spacing w:after="0"/>
              <w:rPr>
                <w:sz w:val="20"/>
                <w:szCs w:val="20"/>
                <w:color w:val="auto"/>
              </w:rPr>
            </w:pPr>
            <w:r>
              <w:rPr>
                <w:rFonts w:ascii="Arial" w:cs="Arial" w:eastAsia="Arial" w:hAnsi="Arial"/>
                <w:sz w:val="17"/>
                <w:szCs w:val="17"/>
                <w:b w:val="1"/>
                <w:bCs w:val="1"/>
                <w:color w:val="FF0000"/>
              </w:rPr>
              <w:t>4 LIENS ON SHARES</w:t>
            </w:r>
          </w:p>
        </w:tc>
        <w:tc>
          <w:tcPr>
            <w:tcW w:w="5200" w:type="dxa"/>
            <w:vAlign w:val="bottom"/>
            <w:gridSpan w:val="19"/>
          </w:tcPr>
          <w:p>
            <w:pPr>
              <w:ind w:left="40"/>
              <w:spacing w:after="0"/>
              <w:rPr>
                <w:sz w:val="20"/>
                <w:szCs w:val="20"/>
                <w:color w:val="auto"/>
              </w:rPr>
            </w:pPr>
            <w:r>
              <w:rPr>
                <w:rFonts w:ascii="Arial" w:cs="Arial" w:eastAsia="Arial" w:hAnsi="Arial"/>
                <w:sz w:val="17"/>
                <w:szCs w:val="17"/>
                <w:b w:val="1"/>
                <w:bCs w:val="1"/>
                <w:color w:val="0000FF"/>
              </w:rPr>
              <w:t>2 Preference Share Rights</w:t>
            </w:r>
          </w:p>
        </w:tc>
        <w:tc>
          <w:tcPr>
            <w:tcW w:w="380" w:type="dxa"/>
            <w:vAlign w:val="bottom"/>
            <w:gridSpan w:val="2"/>
          </w:tcPr>
          <w:p>
            <w:pPr>
              <w:jc w:val="right"/>
              <w:ind w:right="93"/>
              <w:spacing w:after="0"/>
              <w:rPr>
                <w:sz w:val="20"/>
                <w:szCs w:val="20"/>
                <w:color w:val="auto"/>
              </w:rPr>
            </w:pPr>
            <w:r>
              <w:rPr>
                <w:rFonts w:ascii="Arial" w:cs="Arial" w:eastAsia="Arial" w:hAnsi="Arial"/>
                <w:sz w:val="17"/>
                <w:szCs w:val="17"/>
                <w:b w:val="1"/>
                <w:bCs w:val="1"/>
                <w:color w:val="0000EE"/>
                <w:w w:val="94"/>
              </w:rPr>
              <w:t>50</w:t>
            </w:r>
          </w:p>
        </w:tc>
        <w:tc>
          <w:tcPr>
            <w:tcW w:w="126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FF"/>
            </w:tcBorders>
            <w:gridSpan w:val="2"/>
            <w:shd w:val="clear" w:color="auto" w:fill="0000EE"/>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40" w:type="dxa"/>
            <w:vAlign w:val="bottom"/>
            <w:tcBorders>
              <w:right w:val="single" w:sz="8" w:color="0000FF"/>
            </w:tcBorders>
            <w:gridSpan w:val="6"/>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3"/>
        </w:trPr>
        <w:tc>
          <w:tcPr>
            <w:tcW w:w="1280" w:type="dxa"/>
            <w:vAlign w:val="bottom"/>
          </w:tcPr>
          <w:p>
            <w:pPr>
              <w:spacing w:after="0"/>
              <w:rPr>
                <w:sz w:val="17"/>
                <w:szCs w:val="17"/>
                <w:color w:val="auto"/>
              </w:rPr>
            </w:pPr>
          </w:p>
        </w:tc>
        <w:tc>
          <w:tcPr>
            <w:tcW w:w="2260" w:type="dxa"/>
            <w:vAlign w:val="bottom"/>
            <w:tcBorders>
              <w:bottom w:val="single" w:sz="8" w:color="0000EE"/>
            </w:tcBorders>
            <w:gridSpan w:val="14"/>
          </w:tcPr>
          <w:p>
            <w:pPr>
              <w:spacing w:after="0"/>
              <w:rPr>
                <w:sz w:val="20"/>
                <w:szCs w:val="20"/>
                <w:color w:val="auto"/>
              </w:rPr>
            </w:pPr>
            <w:r>
              <w:rPr>
                <w:rFonts w:ascii="Arial" w:cs="Arial" w:eastAsia="Arial" w:hAnsi="Arial"/>
                <w:sz w:val="17"/>
                <w:szCs w:val="17"/>
                <w:b w:val="1"/>
                <w:bCs w:val="1"/>
                <w:color w:val="0000EE"/>
              </w:rPr>
              <w:t>Schedule 3 Calls on Shares</w:t>
            </w:r>
          </w:p>
        </w:tc>
        <w:tc>
          <w:tcPr>
            <w:tcW w:w="5500" w:type="dxa"/>
            <w:vAlign w:val="bottom"/>
            <w:gridSpan w:val="22"/>
          </w:tcPr>
          <w:p>
            <w:pPr>
              <w:spacing w:after="0"/>
              <w:rPr>
                <w:sz w:val="17"/>
                <w:szCs w:val="17"/>
                <w:color w:val="auto"/>
              </w:rPr>
            </w:pPr>
          </w:p>
        </w:tc>
        <w:tc>
          <w:tcPr>
            <w:tcW w:w="200" w:type="dxa"/>
            <w:vAlign w:val="bottom"/>
            <w:tcBorders>
              <w:bottom w:val="single" w:sz="8" w:color="0000EE"/>
            </w:tcBorders>
          </w:tcPr>
          <w:p>
            <w:pPr>
              <w:jc w:val="right"/>
              <w:spacing w:after="0"/>
              <w:rPr>
                <w:sz w:val="20"/>
                <w:szCs w:val="20"/>
                <w:color w:val="auto"/>
              </w:rPr>
            </w:pPr>
            <w:r>
              <w:rPr>
                <w:rFonts w:ascii="Arial" w:cs="Arial" w:eastAsia="Arial" w:hAnsi="Arial"/>
                <w:sz w:val="17"/>
                <w:szCs w:val="17"/>
                <w:b w:val="1"/>
                <w:bCs w:val="1"/>
                <w:color w:val="0000EE"/>
                <w:w w:val="94"/>
              </w:rPr>
              <w:t>52</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2340" w:type="dxa"/>
            <w:vAlign w:val="bottom"/>
            <w:tcBorders>
              <w:bottom w:val="single" w:sz="8" w:color="0000EE"/>
            </w:tcBorders>
            <w:gridSpan w:val="15"/>
          </w:tcPr>
          <w:p>
            <w:pPr>
              <w:spacing w:after="0"/>
              <w:rPr>
                <w:sz w:val="20"/>
                <w:szCs w:val="20"/>
                <w:color w:val="auto"/>
              </w:rPr>
            </w:pPr>
            <w:r>
              <w:rPr>
                <w:rFonts w:ascii="Arial" w:cs="Arial" w:eastAsia="Arial" w:hAnsi="Arial"/>
                <w:sz w:val="17"/>
                <w:szCs w:val="17"/>
                <w:b w:val="1"/>
                <w:bCs w:val="1"/>
                <w:color w:val="0000EE"/>
              </w:rPr>
              <w:t>Schedule 4 Liens on Shares</w:t>
            </w:r>
          </w:p>
        </w:tc>
        <w:tc>
          <w:tcPr>
            <w:tcW w:w="5420" w:type="dxa"/>
            <w:vAlign w:val="bottom"/>
            <w:gridSpan w:val="21"/>
          </w:tcPr>
          <w:p>
            <w:pPr>
              <w:spacing w:after="0"/>
              <w:rPr>
                <w:sz w:val="17"/>
                <w:szCs w:val="17"/>
                <w:color w:val="auto"/>
              </w:rPr>
            </w:pPr>
          </w:p>
        </w:tc>
        <w:tc>
          <w:tcPr>
            <w:tcW w:w="200" w:type="dxa"/>
            <w:vAlign w:val="bottom"/>
            <w:tcBorders>
              <w:bottom w:val="single" w:sz="8" w:color="0000EE"/>
            </w:tcBorders>
          </w:tcPr>
          <w:p>
            <w:pPr>
              <w:jc w:val="right"/>
              <w:spacing w:after="0"/>
              <w:rPr>
                <w:sz w:val="20"/>
                <w:szCs w:val="20"/>
                <w:color w:val="auto"/>
              </w:rPr>
            </w:pPr>
            <w:r>
              <w:rPr>
                <w:rFonts w:ascii="Arial" w:cs="Arial" w:eastAsia="Arial" w:hAnsi="Arial"/>
                <w:sz w:val="17"/>
                <w:szCs w:val="17"/>
                <w:b w:val="1"/>
                <w:bCs w:val="1"/>
                <w:color w:val="0000EE"/>
                <w:w w:val="94"/>
              </w:rPr>
              <w:t>55</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940" w:type="dxa"/>
            <w:vAlign w:val="bottom"/>
            <w:gridSpan w:val="9"/>
          </w:tcPr>
          <w:p>
            <w:pPr>
              <w:spacing w:after="0"/>
              <w:rPr>
                <w:sz w:val="20"/>
                <w:szCs w:val="20"/>
                <w:color w:val="auto"/>
              </w:rPr>
            </w:pPr>
            <w:r>
              <w:rPr>
                <w:rFonts w:ascii="Arial" w:cs="Arial" w:eastAsia="Arial" w:hAnsi="Arial"/>
                <w:sz w:val="17"/>
                <w:szCs w:val="17"/>
                <w:b w:val="1"/>
                <w:bCs w:val="1"/>
                <w:color w:val="0000EE"/>
              </w:rPr>
              <w:t>Schedule 5</w:t>
            </w:r>
          </w:p>
        </w:tc>
        <w:tc>
          <w:tcPr>
            <w:tcW w:w="3820" w:type="dxa"/>
            <w:vAlign w:val="bottom"/>
            <w:gridSpan w:val="22"/>
          </w:tcPr>
          <w:p>
            <w:pPr>
              <w:spacing w:after="0"/>
              <w:rPr>
                <w:sz w:val="20"/>
                <w:szCs w:val="20"/>
                <w:color w:val="auto"/>
              </w:rPr>
            </w:pPr>
            <w:r>
              <w:rPr>
                <w:rFonts w:ascii="Arial" w:cs="Arial" w:eastAsia="Arial" w:hAnsi="Arial"/>
                <w:sz w:val="17"/>
                <w:szCs w:val="17"/>
                <w:b w:val="1"/>
                <w:bCs w:val="1"/>
                <w:color w:val="FF0000"/>
                <w:strike w:val="1"/>
              </w:rPr>
              <w:t>FORFEITURE AND SURRENDER OF SHARES</w:t>
            </w:r>
          </w:p>
        </w:tc>
        <w:tc>
          <w:tcPr>
            <w:tcW w:w="3000" w:type="dxa"/>
            <w:vAlign w:val="bottom"/>
            <w:gridSpan w:val="5"/>
          </w:tcPr>
          <w:p>
            <w:pPr>
              <w:spacing w:after="0"/>
              <w:rPr>
                <w:sz w:val="20"/>
                <w:szCs w:val="20"/>
                <w:color w:val="auto"/>
              </w:rPr>
            </w:pPr>
            <w:r>
              <w:rPr>
                <w:rFonts w:ascii="Arial" w:cs="Arial" w:eastAsia="Arial" w:hAnsi="Arial"/>
                <w:sz w:val="17"/>
                <w:szCs w:val="17"/>
                <w:b w:val="1"/>
                <w:bCs w:val="1"/>
                <w:color w:val="0000FF"/>
              </w:rPr>
              <w:t>Forfeiture and Surrender of</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76"/>
        </w:trPr>
        <w:tc>
          <w:tcPr>
            <w:tcW w:w="1280" w:type="dxa"/>
            <w:vAlign w:val="bottom"/>
          </w:tcPr>
          <w:p>
            <w:pPr>
              <w:spacing w:after="0"/>
              <w:rPr>
                <w:sz w:val="15"/>
                <w:szCs w:val="15"/>
                <w:color w:val="auto"/>
              </w:rPr>
            </w:pPr>
          </w:p>
        </w:tc>
        <w:tc>
          <w:tcPr>
            <w:tcW w:w="580" w:type="dxa"/>
            <w:vAlign w:val="bottom"/>
            <w:tcBorders>
              <w:top w:val="single" w:sz="8" w:color="0000EE"/>
            </w:tcBorders>
            <w:gridSpan w:val="4"/>
          </w:tcPr>
          <w:p>
            <w:pPr>
              <w:spacing w:after="0" w:line="176" w:lineRule="exact"/>
              <w:rPr>
                <w:sz w:val="20"/>
                <w:szCs w:val="20"/>
                <w:color w:val="auto"/>
              </w:rPr>
            </w:pPr>
            <w:r>
              <w:rPr>
                <w:rFonts w:ascii="Arial" w:cs="Arial" w:eastAsia="Arial" w:hAnsi="Arial"/>
                <w:sz w:val="17"/>
                <w:szCs w:val="17"/>
                <w:b w:val="1"/>
                <w:bCs w:val="1"/>
                <w:color w:val="0000FF"/>
                <w:w w:val="95"/>
              </w:rPr>
              <w:t>Shares</w:t>
            </w:r>
          </w:p>
        </w:tc>
        <w:tc>
          <w:tcPr>
            <w:tcW w:w="220" w:type="dxa"/>
            <w:vAlign w:val="bottom"/>
            <w:tcBorders>
              <w:top w:val="single" w:sz="8" w:color="0000EE"/>
            </w:tcBorders>
            <w:gridSpan w:val="3"/>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74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880" w:type="dxa"/>
            <w:vAlign w:val="bottom"/>
            <w:tcBorders>
              <w:top w:val="single" w:sz="8" w:color="0000FF"/>
            </w:tcBorders>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jc w:val="right"/>
              <w:spacing w:after="0" w:line="176" w:lineRule="exact"/>
              <w:rPr>
                <w:sz w:val="20"/>
                <w:szCs w:val="20"/>
                <w:color w:val="auto"/>
              </w:rPr>
            </w:pPr>
            <w:r>
              <w:rPr>
                <w:rFonts w:ascii="Arial" w:cs="Arial" w:eastAsia="Arial" w:hAnsi="Arial"/>
                <w:sz w:val="17"/>
                <w:szCs w:val="17"/>
                <w:b w:val="1"/>
                <w:bCs w:val="1"/>
                <w:color w:val="FF0000"/>
                <w:strike w:val="1"/>
                <w:w w:val="94"/>
              </w:rPr>
              <w:t>56</w:t>
            </w:r>
          </w:p>
        </w:tc>
        <w:tc>
          <w:tcPr>
            <w:tcW w:w="1440" w:type="dxa"/>
            <w:vAlign w:val="bottom"/>
            <w:gridSpan w:val="2"/>
          </w:tcPr>
          <w:p>
            <w:pPr>
              <w:jc w:val="right"/>
              <w:ind w:right="1260"/>
              <w:spacing w:after="0" w:line="176" w:lineRule="exact"/>
              <w:rPr>
                <w:sz w:val="20"/>
                <w:szCs w:val="20"/>
                <w:color w:val="auto"/>
              </w:rPr>
            </w:pPr>
            <w:r>
              <w:rPr>
                <w:rFonts w:ascii="Arial" w:cs="Arial" w:eastAsia="Arial" w:hAnsi="Arial"/>
                <w:sz w:val="17"/>
                <w:szCs w:val="17"/>
                <w:b w:val="1"/>
                <w:bCs w:val="1"/>
                <w:color w:val="0000FF"/>
                <w:w w:val="84"/>
              </w:rPr>
              <w:t>57</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EE"/>
            </w:tcBorders>
            <w:gridSpan w:val="4"/>
            <w:shd w:val="clear" w:color="auto" w:fill="0000FF"/>
          </w:tcPr>
          <w:p>
            <w:pPr>
              <w:spacing w:after="0" w:line="20" w:lineRule="exact"/>
              <w:rPr>
                <w:sz w:val="1"/>
                <w:szCs w:val="1"/>
                <w:color w:val="auto"/>
              </w:rPr>
            </w:pPr>
          </w:p>
        </w:tc>
        <w:tc>
          <w:tcPr>
            <w:tcW w:w="2360" w:type="dxa"/>
            <w:vAlign w:val="bottom"/>
            <w:gridSpan w:val="15"/>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80" w:type="dxa"/>
            <w:vAlign w:val="bottom"/>
            <w:gridSpan w:val="9"/>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00" w:type="dxa"/>
            <w:vAlign w:val="bottom"/>
            <w:shd w:val="clear" w:color="auto" w:fill="FF0000"/>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3"/>
        </w:trPr>
        <w:tc>
          <w:tcPr>
            <w:tcW w:w="1280" w:type="dxa"/>
            <w:vAlign w:val="bottom"/>
          </w:tcPr>
          <w:p>
            <w:pPr>
              <w:spacing w:after="0"/>
              <w:rPr>
                <w:sz w:val="17"/>
                <w:szCs w:val="17"/>
                <w:color w:val="auto"/>
              </w:rPr>
            </w:pPr>
          </w:p>
        </w:tc>
        <w:tc>
          <w:tcPr>
            <w:tcW w:w="940" w:type="dxa"/>
            <w:vAlign w:val="bottom"/>
            <w:gridSpan w:val="9"/>
          </w:tcPr>
          <w:p>
            <w:pPr>
              <w:spacing w:after="0"/>
              <w:rPr>
                <w:sz w:val="20"/>
                <w:szCs w:val="20"/>
                <w:color w:val="auto"/>
              </w:rPr>
            </w:pPr>
            <w:r>
              <w:rPr>
                <w:rFonts w:ascii="Arial" w:cs="Arial" w:eastAsia="Arial" w:hAnsi="Arial"/>
                <w:sz w:val="17"/>
                <w:szCs w:val="17"/>
                <w:b w:val="1"/>
                <w:bCs w:val="1"/>
                <w:color w:val="0000EE"/>
              </w:rPr>
              <w:t>Schedule 6</w:t>
            </w:r>
          </w:p>
        </w:tc>
        <w:tc>
          <w:tcPr>
            <w:tcW w:w="2880" w:type="dxa"/>
            <w:vAlign w:val="bottom"/>
            <w:gridSpan w:val="16"/>
          </w:tcPr>
          <w:p>
            <w:pPr>
              <w:spacing w:after="0"/>
              <w:rPr>
                <w:sz w:val="20"/>
                <w:szCs w:val="20"/>
                <w:color w:val="auto"/>
              </w:rPr>
            </w:pPr>
            <w:r>
              <w:rPr>
                <w:rFonts w:ascii="Arial" w:cs="Arial" w:eastAsia="Arial" w:hAnsi="Arial"/>
                <w:sz w:val="17"/>
                <w:szCs w:val="17"/>
                <w:b w:val="1"/>
                <w:bCs w:val="1"/>
                <w:color w:val="FF0000"/>
                <w:strike w:val="1"/>
              </w:rPr>
              <w:t>PROPORTIONAL TAKEOVER BIDS</w:t>
            </w:r>
          </w:p>
        </w:tc>
        <w:tc>
          <w:tcPr>
            <w:tcW w:w="3940" w:type="dxa"/>
            <w:vAlign w:val="bottom"/>
            <w:gridSpan w:val="11"/>
          </w:tcPr>
          <w:p>
            <w:pPr>
              <w:spacing w:after="0"/>
              <w:rPr>
                <w:sz w:val="20"/>
                <w:szCs w:val="20"/>
                <w:color w:val="auto"/>
              </w:rPr>
            </w:pPr>
            <w:r>
              <w:rPr>
                <w:rFonts w:ascii="Arial" w:cs="Arial" w:eastAsia="Arial" w:hAnsi="Arial"/>
                <w:sz w:val="17"/>
                <w:szCs w:val="17"/>
                <w:b w:val="1"/>
                <w:bCs w:val="1"/>
                <w:color w:val="0000FF"/>
              </w:rPr>
              <w:t>Proportional Takeover Bids</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FF0000"/>
                <w:strike w:val="1"/>
                <w:w w:val="94"/>
              </w:rPr>
              <w:t>59</w:t>
            </w:r>
          </w:p>
        </w:tc>
        <w:tc>
          <w:tcPr>
            <w:tcW w:w="1440" w:type="dxa"/>
            <w:vAlign w:val="bottom"/>
            <w:gridSpan w:val="2"/>
          </w:tcPr>
          <w:p>
            <w:pPr>
              <w:jc w:val="right"/>
              <w:ind w:right="1260"/>
              <w:spacing w:after="0"/>
              <w:rPr>
                <w:sz w:val="20"/>
                <w:szCs w:val="20"/>
                <w:color w:val="auto"/>
              </w:rPr>
            </w:pPr>
            <w:r>
              <w:rPr>
                <w:rFonts w:ascii="Arial" w:cs="Arial" w:eastAsia="Arial" w:hAnsi="Arial"/>
                <w:sz w:val="17"/>
                <w:szCs w:val="17"/>
                <w:b w:val="1"/>
                <w:bCs w:val="1"/>
                <w:color w:val="0000FF"/>
                <w:w w:val="84"/>
              </w:rPr>
              <w:t>60</w:t>
            </w:r>
          </w:p>
        </w:tc>
      </w:tr>
      <w:tr>
        <w:trPr>
          <w:trHeight w:val="235"/>
        </w:trPr>
        <w:tc>
          <w:tcPr>
            <w:tcW w:w="1280" w:type="dxa"/>
            <w:vAlign w:val="bottom"/>
            <w:tcBorders>
              <w:bottom w:val="single" w:sz="8" w:color="auto"/>
            </w:tcBorders>
          </w:tcPr>
          <w:p>
            <w:pPr>
              <w:spacing w:after="0"/>
              <w:rPr>
                <w:sz w:val="20"/>
                <w:szCs w:val="20"/>
                <w:color w:val="auto"/>
              </w:rPr>
            </w:pPr>
          </w:p>
        </w:tc>
        <w:tc>
          <w:tcPr>
            <w:tcW w:w="180" w:type="dxa"/>
            <w:vAlign w:val="bottom"/>
            <w:tcBorders>
              <w:top w:val="single" w:sz="8" w:color="0000EE"/>
              <w:bottom w:val="single" w:sz="8" w:color="auto"/>
            </w:tcBorders>
          </w:tcPr>
          <w:p>
            <w:pPr>
              <w:spacing w:after="0"/>
              <w:rPr>
                <w:sz w:val="20"/>
                <w:szCs w:val="20"/>
                <w:color w:val="auto"/>
              </w:rPr>
            </w:pPr>
          </w:p>
        </w:tc>
        <w:tc>
          <w:tcPr>
            <w:tcW w:w="140" w:type="dxa"/>
            <w:vAlign w:val="bottom"/>
            <w:tcBorders>
              <w:top w:val="single" w:sz="8" w:color="0000EE"/>
              <w:bottom w:val="single" w:sz="8" w:color="auto"/>
            </w:tcBorders>
          </w:tcPr>
          <w:p>
            <w:pPr>
              <w:spacing w:after="0"/>
              <w:rPr>
                <w:sz w:val="20"/>
                <w:szCs w:val="20"/>
                <w:color w:val="auto"/>
              </w:rPr>
            </w:pPr>
          </w:p>
        </w:tc>
        <w:tc>
          <w:tcPr>
            <w:tcW w:w="80" w:type="dxa"/>
            <w:vAlign w:val="bottom"/>
            <w:tcBorders>
              <w:top w:val="single" w:sz="8" w:color="0000EE"/>
              <w:bottom w:val="single" w:sz="8" w:color="auto"/>
            </w:tcBorders>
          </w:tcPr>
          <w:p>
            <w:pPr>
              <w:spacing w:after="0"/>
              <w:rPr>
                <w:sz w:val="20"/>
                <w:szCs w:val="20"/>
                <w:color w:val="auto"/>
              </w:rPr>
            </w:pPr>
          </w:p>
        </w:tc>
        <w:tc>
          <w:tcPr>
            <w:tcW w:w="180" w:type="dxa"/>
            <w:vAlign w:val="bottom"/>
            <w:tcBorders>
              <w:top w:val="single" w:sz="8" w:color="0000EE"/>
              <w:bottom w:val="single" w:sz="8" w:color="auto"/>
            </w:tcBorders>
          </w:tcPr>
          <w:p>
            <w:pPr>
              <w:spacing w:after="0"/>
              <w:rPr>
                <w:sz w:val="20"/>
                <w:szCs w:val="20"/>
                <w:color w:val="auto"/>
              </w:rPr>
            </w:pPr>
          </w:p>
        </w:tc>
        <w:tc>
          <w:tcPr>
            <w:tcW w:w="80" w:type="dxa"/>
            <w:vAlign w:val="bottom"/>
            <w:tcBorders>
              <w:top w:val="single" w:sz="8" w:color="0000EE"/>
              <w:bottom w:val="single" w:sz="8" w:color="auto"/>
            </w:tcBorders>
          </w:tcPr>
          <w:p>
            <w:pPr>
              <w:spacing w:after="0"/>
              <w:rPr>
                <w:sz w:val="20"/>
                <w:szCs w:val="20"/>
                <w:color w:val="auto"/>
              </w:rPr>
            </w:pPr>
          </w:p>
        </w:tc>
        <w:tc>
          <w:tcPr>
            <w:tcW w:w="100" w:type="dxa"/>
            <w:vAlign w:val="bottom"/>
            <w:tcBorders>
              <w:top w:val="single" w:sz="8" w:color="0000EE"/>
              <w:bottom w:val="single" w:sz="8" w:color="auto"/>
            </w:tcBorders>
          </w:tcPr>
          <w:p>
            <w:pPr>
              <w:spacing w:after="0"/>
              <w:rPr>
                <w:sz w:val="20"/>
                <w:szCs w:val="20"/>
                <w:color w:val="auto"/>
              </w:rPr>
            </w:pPr>
          </w:p>
        </w:tc>
        <w:tc>
          <w:tcPr>
            <w:tcW w:w="40" w:type="dxa"/>
            <w:vAlign w:val="bottom"/>
            <w:tcBorders>
              <w:top w:val="single" w:sz="8" w:color="0000EE"/>
              <w:bottom w:val="single" w:sz="8" w:color="auto"/>
            </w:tcBorders>
          </w:tcPr>
          <w:p>
            <w:pPr>
              <w:spacing w:after="0"/>
              <w:rPr>
                <w:sz w:val="20"/>
                <w:szCs w:val="20"/>
                <w:color w:val="auto"/>
              </w:rPr>
            </w:pPr>
          </w:p>
        </w:tc>
        <w:tc>
          <w:tcPr>
            <w:tcW w:w="60" w:type="dxa"/>
            <w:vAlign w:val="bottom"/>
            <w:tcBorders>
              <w:top w:val="single" w:sz="8" w:color="0000EE"/>
              <w:bottom w:val="single" w:sz="8" w:color="auto"/>
            </w:tcBorders>
          </w:tcPr>
          <w:p>
            <w:pPr>
              <w:spacing w:after="0"/>
              <w:rPr>
                <w:sz w:val="20"/>
                <w:szCs w:val="20"/>
                <w:color w:val="auto"/>
              </w:rPr>
            </w:pPr>
          </w:p>
        </w:tc>
        <w:tc>
          <w:tcPr>
            <w:tcW w:w="80" w:type="dxa"/>
            <w:vAlign w:val="bottom"/>
            <w:tcBorders>
              <w:top w:val="single" w:sz="8" w:color="0000EE"/>
              <w:bottom w:val="single" w:sz="8" w:color="auto"/>
            </w:tcBorders>
          </w:tcPr>
          <w:p>
            <w:pPr>
              <w:spacing w:after="0"/>
              <w:rPr>
                <w:sz w:val="20"/>
                <w:szCs w:val="20"/>
                <w:color w:val="auto"/>
              </w:rPr>
            </w:pPr>
          </w:p>
        </w:tc>
        <w:tc>
          <w:tcPr>
            <w:tcW w:w="320" w:type="dxa"/>
            <w:vAlign w:val="bottom"/>
            <w:tcBorders>
              <w:top w:val="single" w:sz="8" w:color="0000EE"/>
              <w:bottom w:val="single" w:sz="8" w:color="auto"/>
            </w:tcBorders>
          </w:tcPr>
          <w:p>
            <w:pPr>
              <w:spacing w:after="0"/>
              <w:rPr>
                <w:sz w:val="20"/>
                <w:szCs w:val="20"/>
                <w:color w:val="auto"/>
              </w:rPr>
            </w:pPr>
          </w:p>
        </w:tc>
        <w:tc>
          <w:tcPr>
            <w:tcW w:w="340" w:type="dxa"/>
            <w:vAlign w:val="bottom"/>
            <w:tcBorders>
              <w:top w:val="single" w:sz="8" w:color="0000EE"/>
              <w:bottom w:val="single" w:sz="8" w:color="auto"/>
            </w:tcBorders>
          </w:tcPr>
          <w:p>
            <w:pPr>
              <w:spacing w:after="0"/>
              <w:rPr>
                <w:sz w:val="20"/>
                <w:szCs w:val="20"/>
                <w:color w:val="auto"/>
              </w:rPr>
            </w:pPr>
          </w:p>
        </w:tc>
        <w:tc>
          <w:tcPr>
            <w:tcW w:w="240" w:type="dxa"/>
            <w:vAlign w:val="bottom"/>
            <w:tcBorders>
              <w:top w:val="single" w:sz="8" w:color="0000EE"/>
              <w:bottom w:val="single" w:sz="8" w:color="auto"/>
            </w:tcBorders>
          </w:tcPr>
          <w:p>
            <w:pPr>
              <w:spacing w:after="0"/>
              <w:rPr>
                <w:sz w:val="20"/>
                <w:szCs w:val="20"/>
                <w:color w:val="auto"/>
              </w:rPr>
            </w:pPr>
          </w:p>
        </w:tc>
        <w:tc>
          <w:tcPr>
            <w:tcW w:w="360" w:type="dxa"/>
            <w:vAlign w:val="bottom"/>
            <w:tcBorders>
              <w:top w:val="single" w:sz="8" w:color="0000EE"/>
              <w:bottom w:val="single" w:sz="8" w:color="auto"/>
            </w:tcBorders>
          </w:tcPr>
          <w:p>
            <w:pPr>
              <w:spacing w:after="0"/>
              <w:rPr>
                <w:sz w:val="20"/>
                <w:szCs w:val="20"/>
                <w:color w:val="auto"/>
              </w:rPr>
            </w:pPr>
          </w:p>
        </w:tc>
        <w:tc>
          <w:tcPr>
            <w:tcW w:w="60" w:type="dxa"/>
            <w:vAlign w:val="bottom"/>
            <w:tcBorders>
              <w:top w:val="single" w:sz="8" w:color="0000EE"/>
              <w:bottom w:val="single" w:sz="8" w:color="auto"/>
            </w:tcBorders>
          </w:tcPr>
          <w:p>
            <w:pPr>
              <w:spacing w:after="0"/>
              <w:rPr>
                <w:sz w:val="20"/>
                <w:szCs w:val="20"/>
                <w:color w:val="auto"/>
              </w:rPr>
            </w:pPr>
          </w:p>
        </w:tc>
        <w:tc>
          <w:tcPr>
            <w:tcW w:w="80" w:type="dxa"/>
            <w:vAlign w:val="bottom"/>
            <w:tcBorders>
              <w:top w:val="single" w:sz="8" w:color="0000EE"/>
              <w:bottom w:val="single" w:sz="8" w:color="auto"/>
            </w:tcBorders>
          </w:tcPr>
          <w:p>
            <w:pPr>
              <w:spacing w:after="0"/>
              <w:rPr>
                <w:sz w:val="20"/>
                <w:szCs w:val="20"/>
                <w:color w:val="auto"/>
              </w:rPr>
            </w:pPr>
          </w:p>
        </w:tc>
        <w:tc>
          <w:tcPr>
            <w:tcW w:w="120" w:type="dxa"/>
            <w:vAlign w:val="bottom"/>
            <w:tcBorders>
              <w:top w:val="single" w:sz="8" w:color="0000EE"/>
              <w:bottom w:val="single" w:sz="8" w:color="auto"/>
            </w:tcBorders>
          </w:tcPr>
          <w:p>
            <w:pPr>
              <w:spacing w:after="0"/>
              <w:rPr>
                <w:sz w:val="20"/>
                <w:szCs w:val="20"/>
                <w:color w:val="auto"/>
              </w:rPr>
            </w:pPr>
          </w:p>
        </w:tc>
        <w:tc>
          <w:tcPr>
            <w:tcW w:w="100" w:type="dxa"/>
            <w:vAlign w:val="bottom"/>
            <w:tcBorders>
              <w:top w:val="single" w:sz="8" w:color="0000EE"/>
              <w:bottom w:val="single" w:sz="8" w:color="auto"/>
            </w:tcBorders>
          </w:tcPr>
          <w:p>
            <w:pPr>
              <w:spacing w:after="0"/>
              <w:rPr>
                <w:sz w:val="20"/>
                <w:szCs w:val="20"/>
                <w:color w:val="auto"/>
              </w:rPr>
            </w:pPr>
          </w:p>
        </w:tc>
        <w:tc>
          <w:tcPr>
            <w:tcW w:w="100" w:type="dxa"/>
            <w:vAlign w:val="bottom"/>
            <w:tcBorders>
              <w:top w:val="single" w:sz="8" w:color="0000EE"/>
              <w:bottom w:val="single" w:sz="8" w:color="auto"/>
            </w:tcBorders>
          </w:tcPr>
          <w:p>
            <w:pPr>
              <w:spacing w:after="0"/>
              <w:rPr>
                <w:sz w:val="20"/>
                <w:szCs w:val="20"/>
                <w:color w:val="auto"/>
              </w:rPr>
            </w:pPr>
          </w:p>
        </w:tc>
        <w:tc>
          <w:tcPr>
            <w:tcW w:w="280" w:type="dxa"/>
            <w:vAlign w:val="bottom"/>
            <w:tcBorders>
              <w:top w:val="single" w:sz="8" w:color="0000EE"/>
              <w:bottom w:val="single" w:sz="8" w:color="auto"/>
            </w:tcBorders>
          </w:tcPr>
          <w:p>
            <w:pPr>
              <w:spacing w:after="0"/>
              <w:rPr>
                <w:sz w:val="20"/>
                <w:szCs w:val="20"/>
                <w:color w:val="auto"/>
              </w:rPr>
            </w:pPr>
          </w:p>
        </w:tc>
        <w:tc>
          <w:tcPr>
            <w:tcW w:w="180" w:type="dxa"/>
            <w:vAlign w:val="bottom"/>
            <w:tcBorders>
              <w:top w:val="single" w:sz="8" w:color="0000EE"/>
              <w:bottom w:val="single" w:sz="8" w:color="auto"/>
            </w:tcBorders>
          </w:tcPr>
          <w:p>
            <w:pPr>
              <w:spacing w:after="0"/>
              <w:rPr>
                <w:sz w:val="20"/>
                <w:szCs w:val="20"/>
                <w:color w:val="auto"/>
              </w:rPr>
            </w:pPr>
          </w:p>
        </w:tc>
        <w:tc>
          <w:tcPr>
            <w:tcW w:w="40" w:type="dxa"/>
            <w:vAlign w:val="bottom"/>
            <w:tcBorders>
              <w:top w:val="single" w:sz="8" w:color="0000EE"/>
              <w:bottom w:val="single" w:sz="8" w:color="auto"/>
            </w:tcBorders>
          </w:tcPr>
          <w:p>
            <w:pPr>
              <w:spacing w:after="0"/>
              <w:rPr>
                <w:sz w:val="20"/>
                <w:szCs w:val="20"/>
                <w:color w:val="auto"/>
              </w:rPr>
            </w:pPr>
          </w:p>
        </w:tc>
        <w:tc>
          <w:tcPr>
            <w:tcW w:w="200" w:type="dxa"/>
            <w:vAlign w:val="bottom"/>
            <w:tcBorders>
              <w:top w:val="single" w:sz="8" w:color="0000EE"/>
              <w:bottom w:val="single" w:sz="8" w:color="auto"/>
            </w:tcBorders>
          </w:tcPr>
          <w:p>
            <w:pPr>
              <w:spacing w:after="0"/>
              <w:rPr>
                <w:sz w:val="20"/>
                <w:szCs w:val="20"/>
                <w:color w:val="auto"/>
              </w:rPr>
            </w:pPr>
          </w:p>
        </w:tc>
        <w:tc>
          <w:tcPr>
            <w:tcW w:w="200" w:type="dxa"/>
            <w:vAlign w:val="bottom"/>
            <w:tcBorders>
              <w:top w:val="single" w:sz="8" w:color="0000EE"/>
              <w:bottom w:val="single" w:sz="8" w:color="auto"/>
            </w:tcBorders>
          </w:tcPr>
          <w:p>
            <w:pPr>
              <w:spacing w:after="0"/>
              <w:rPr>
                <w:sz w:val="20"/>
                <w:szCs w:val="20"/>
                <w:color w:val="auto"/>
              </w:rPr>
            </w:pPr>
          </w:p>
        </w:tc>
        <w:tc>
          <w:tcPr>
            <w:tcW w:w="120" w:type="dxa"/>
            <w:vAlign w:val="bottom"/>
            <w:tcBorders>
              <w:top w:val="single" w:sz="8" w:color="0000EE"/>
              <w:bottom w:val="single" w:sz="8" w:color="auto"/>
            </w:tcBorders>
          </w:tcPr>
          <w:p>
            <w:pPr>
              <w:spacing w:after="0"/>
              <w:rPr>
                <w:sz w:val="20"/>
                <w:szCs w:val="20"/>
                <w:color w:val="auto"/>
              </w:rPr>
            </w:pPr>
          </w:p>
        </w:tc>
        <w:tc>
          <w:tcPr>
            <w:tcW w:w="140" w:type="dxa"/>
            <w:vAlign w:val="bottom"/>
            <w:tcBorders>
              <w:top w:val="single" w:sz="8" w:color="0000EE"/>
              <w:bottom w:val="single" w:sz="8" w:color="auto"/>
            </w:tcBorders>
          </w:tcPr>
          <w:p>
            <w:pPr>
              <w:spacing w:after="0"/>
              <w:rPr>
                <w:sz w:val="20"/>
                <w:szCs w:val="20"/>
                <w:color w:val="auto"/>
              </w:rPr>
            </w:pPr>
          </w:p>
        </w:tc>
        <w:tc>
          <w:tcPr>
            <w:tcW w:w="160" w:type="dxa"/>
            <w:vAlign w:val="bottom"/>
            <w:tcBorders>
              <w:top w:val="single" w:sz="8" w:color="0000FF"/>
              <w:bottom w:val="single" w:sz="8" w:color="auto"/>
            </w:tcBorders>
          </w:tcPr>
          <w:p>
            <w:pPr>
              <w:spacing w:after="0"/>
              <w:rPr>
                <w:sz w:val="20"/>
                <w:szCs w:val="20"/>
                <w:color w:val="auto"/>
              </w:rPr>
            </w:pPr>
          </w:p>
        </w:tc>
        <w:tc>
          <w:tcPr>
            <w:tcW w:w="160" w:type="dxa"/>
            <w:vAlign w:val="bottom"/>
            <w:tcBorders>
              <w:top w:val="single" w:sz="8" w:color="0000FF"/>
              <w:bottom w:val="single" w:sz="8" w:color="auto"/>
            </w:tcBorders>
          </w:tcPr>
          <w:p>
            <w:pPr>
              <w:spacing w:after="0"/>
              <w:rPr>
                <w:sz w:val="20"/>
                <w:szCs w:val="20"/>
                <w:color w:val="auto"/>
              </w:rPr>
            </w:pPr>
          </w:p>
        </w:tc>
        <w:tc>
          <w:tcPr>
            <w:tcW w:w="100" w:type="dxa"/>
            <w:vAlign w:val="bottom"/>
            <w:tcBorders>
              <w:top w:val="single" w:sz="8" w:color="0000FF"/>
              <w:bottom w:val="single" w:sz="8" w:color="auto"/>
            </w:tcBorders>
          </w:tcPr>
          <w:p>
            <w:pPr>
              <w:spacing w:after="0"/>
              <w:rPr>
                <w:sz w:val="20"/>
                <w:szCs w:val="20"/>
                <w:color w:val="auto"/>
              </w:rPr>
            </w:pPr>
          </w:p>
        </w:tc>
        <w:tc>
          <w:tcPr>
            <w:tcW w:w="100" w:type="dxa"/>
            <w:vAlign w:val="bottom"/>
            <w:tcBorders>
              <w:top w:val="single" w:sz="8" w:color="0000FF"/>
              <w:bottom w:val="single" w:sz="8" w:color="auto"/>
            </w:tcBorders>
          </w:tcPr>
          <w:p>
            <w:pPr>
              <w:spacing w:after="0"/>
              <w:rPr>
                <w:sz w:val="20"/>
                <w:szCs w:val="20"/>
                <w:color w:val="auto"/>
              </w:rPr>
            </w:pPr>
          </w:p>
        </w:tc>
        <w:tc>
          <w:tcPr>
            <w:tcW w:w="160" w:type="dxa"/>
            <w:vAlign w:val="bottom"/>
            <w:tcBorders>
              <w:top w:val="single" w:sz="8" w:color="0000FF"/>
              <w:bottom w:val="single" w:sz="8" w:color="auto"/>
            </w:tcBorders>
          </w:tcPr>
          <w:p>
            <w:pPr>
              <w:spacing w:after="0"/>
              <w:rPr>
                <w:sz w:val="20"/>
                <w:szCs w:val="20"/>
                <w:color w:val="auto"/>
              </w:rPr>
            </w:pPr>
          </w:p>
        </w:tc>
        <w:tc>
          <w:tcPr>
            <w:tcW w:w="260" w:type="dxa"/>
            <w:vAlign w:val="bottom"/>
            <w:tcBorders>
              <w:top w:val="single" w:sz="8" w:color="0000FF"/>
              <w:bottom w:val="single" w:sz="8" w:color="auto"/>
            </w:tcBorders>
          </w:tcPr>
          <w:p>
            <w:pPr>
              <w:spacing w:after="0"/>
              <w:rPr>
                <w:sz w:val="20"/>
                <w:szCs w:val="20"/>
                <w:color w:val="auto"/>
              </w:rPr>
            </w:pPr>
          </w:p>
        </w:tc>
        <w:tc>
          <w:tcPr>
            <w:tcW w:w="120" w:type="dxa"/>
            <w:vAlign w:val="bottom"/>
            <w:tcBorders>
              <w:top w:val="single" w:sz="8" w:color="0000FF"/>
              <w:bottom w:val="single" w:sz="8" w:color="auto"/>
            </w:tcBorders>
          </w:tcPr>
          <w:p>
            <w:pPr>
              <w:spacing w:after="0"/>
              <w:rPr>
                <w:sz w:val="20"/>
                <w:szCs w:val="20"/>
                <w:color w:val="auto"/>
              </w:rPr>
            </w:pPr>
          </w:p>
        </w:tc>
        <w:tc>
          <w:tcPr>
            <w:tcW w:w="740" w:type="dxa"/>
            <w:vAlign w:val="bottom"/>
            <w:tcBorders>
              <w:top w:val="single" w:sz="8" w:color="0000FF"/>
              <w:bottom w:val="single" w:sz="8" w:color="auto"/>
            </w:tcBorders>
          </w:tcPr>
          <w:p>
            <w:pPr>
              <w:spacing w:after="0"/>
              <w:rPr>
                <w:sz w:val="20"/>
                <w:szCs w:val="20"/>
                <w:color w:val="auto"/>
              </w:rPr>
            </w:pPr>
          </w:p>
        </w:tc>
        <w:tc>
          <w:tcPr>
            <w:tcW w:w="480" w:type="dxa"/>
            <w:vAlign w:val="bottom"/>
            <w:tcBorders>
              <w:top w:val="single" w:sz="8" w:color="0000FF"/>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top w:val="single" w:sz="8" w:color="FF0000"/>
              <w:bottom w:val="single" w:sz="8" w:color="auto"/>
            </w:tcBorders>
          </w:tcPr>
          <w:p>
            <w:pPr>
              <w:spacing w:after="0"/>
              <w:rPr>
                <w:sz w:val="20"/>
                <w:szCs w:val="20"/>
                <w:color w:val="auto"/>
              </w:rPr>
            </w:pPr>
          </w:p>
        </w:tc>
        <w:tc>
          <w:tcPr>
            <w:tcW w:w="180" w:type="dxa"/>
            <w:vAlign w:val="bottom"/>
            <w:tcBorders>
              <w:top w:val="single" w:sz="8" w:color="0000FF"/>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-914400</wp:posOffset>
            </wp:positionV>
            <wp:extent cx="11391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sectPr>
          <w:pgSz w:w="11900" w:h="16838" w:orient="portrait"/>
          <w:cols w:equalWidth="0" w:num="1">
            <w:col w:w="10680"/>
          </w:cols>
          <w:pgMar w:left="600" w:top="115" w:right="6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640" w:hanging="703"/>
        <w:spacing w:after="0"/>
        <w:tabs>
          <w:tab w:leader="none" w:pos="1640" w:val="left"/>
        </w:tabs>
        <w:numPr>
          <w:ilvl w:val="0"/>
          <w:numId w:val="68"/>
        </w:numPr>
        <w:rPr>
          <w:rFonts w:ascii="Arial" w:cs="Arial" w:eastAsia="Arial" w:hAnsi="Arial"/>
          <w:sz w:val="17"/>
          <w:szCs w:val="17"/>
          <w:b w:val="1"/>
          <w:bCs w:val="1"/>
          <w:color w:val="003551"/>
        </w:rPr>
      </w:pPr>
      <w:r>
        <w:rPr>
          <w:rFonts w:ascii="Arial" w:cs="Arial" w:eastAsia="Arial" w:hAnsi="Arial"/>
          <w:sz w:val="17"/>
          <w:szCs w:val="17"/>
          <w:b w:val="1"/>
          <w:bCs w:val="1"/>
          <w:color w:val="003551"/>
        </w:rPr>
        <w:t>PRELIMINARY</w:t>
      </w:r>
    </w:p>
    <w:p>
      <w:pPr>
        <w:spacing w:after="0" w:line="106"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1.1</w:t>
      </w:r>
      <w:r>
        <w:rPr>
          <w:sz w:val="20"/>
          <w:szCs w:val="20"/>
          <w:color w:val="auto"/>
        </w:rPr>
        <w:tab/>
      </w:r>
      <w:r>
        <w:rPr>
          <w:rFonts w:ascii="Arial" w:cs="Arial" w:eastAsia="Arial" w:hAnsi="Arial"/>
          <w:sz w:val="17"/>
          <w:szCs w:val="17"/>
          <w:b w:val="1"/>
          <w:bCs w:val="1"/>
          <w:color w:val="003551"/>
        </w:rPr>
        <w:t>Definitions</w:t>
      </w:r>
    </w:p>
    <w:p>
      <w:pPr>
        <w:spacing w:after="0" w:line="147"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In this constitution, the following definitions apply unless the context requires otherwise:</w:t>
      </w:r>
    </w:p>
    <w:p>
      <w:pPr>
        <w:spacing w:after="0" w:line="104" w:lineRule="exact"/>
        <w:rPr>
          <w:sz w:val="20"/>
          <w:szCs w:val="20"/>
          <w:color w:val="auto"/>
        </w:rPr>
      </w:pPr>
    </w:p>
    <w:p>
      <w:pPr>
        <w:ind w:left="1640" w:right="439"/>
        <w:spacing w:after="0" w:line="286" w:lineRule="auto"/>
        <w:rPr>
          <w:sz w:val="20"/>
          <w:szCs w:val="20"/>
          <w:color w:val="auto"/>
        </w:rPr>
      </w:pPr>
      <w:r>
        <w:rPr>
          <w:rFonts w:ascii="Arial" w:cs="Arial" w:eastAsia="Arial" w:hAnsi="Arial"/>
          <w:sz w:val="17"/>
          <w:szCs w:val="17"/>
          <w:b w:val="1"/>
          <w:bCs w:val="1"/>
          <w:color w:val="003551"/>
        </w:rPr>
        <w:t xml:space="preserve">alternate director </w:t>
      </w:r>
      <w:r>
        <w:rPr>
          <w:rFonts w:ascii="Arial" w:cs="Arial" w:eastAsia="Arial" w:hAnsi="Arial"/>
          <w:sz w:val="17"/>
          <w:szCs w:val="17"/>
          <w:color w:val="003551"/>
        </w:rPr>
        <w:t>means a person appointed as an alternate director under this constitution and</w:t>
      </w:r>
      <w:r>
        <w:rPr>
          <w:rFonts w:ascii="Arial" w:cs="Arial" w:eastAsia="Arial" w:hAnsi="Arial"/>
          <w:sz w:val="17"/>
          <w:szCs w:val="17"/>
          <w:b w:val="1"/>
          <w:bCs w:val="1"/>
          <w:color w:val="003551"/>
        </w:rPr>
        <w:t xml:space="preserve"> </w:t>
      </w:r>
      <w:r>
        <w:rPr>
          <w:rFonts w:ascii="Arial" w:cs="Arial" w:eastAsia="Arial" w:hAnsi="Arial"/>
          <w:sz w:val="17"/>
          <w:szCs w:val="17"/>
          <w:color w:val="003551"/>
        </w:rPr>
        <w:t>duly acting as a director;</w:t>
      </w:r>
    </w:p>
    <w:p>
      <w:pPr>
        <w:spacing w:after="0" w:line="32" w:lineRule="exact"/>
        <w:rPr>
          <w:sz w:val="20"/>
          <w:szCs w:val="20"/>
          <w:color w:val="auto"/>
        </w:rPr>
      </w:pPr>
    </w:p>
    <w:p>
      <w:pPr>
        <w:ind w:left="1640" w:right="859"/>
        <w:spacing w:after="0" w:line="286" w:lineRule="auto"/>
        <w:rPr>
          <w:sz w:val="20"/>
          <w:szCs w:val="20"/>
          <w:color w:val="auto"/>
        </w:rPr>
      </w:pPr>
      <w:r>
        <w:rPr>
          <w:rFonts w:ascii="Arial" w:cs="Arial" w:eastAsia="Arial" w:hAnsi="Arial"/>
          <w:sz w:val="17"/>
          <w:szCs w:val="17"/>
          <w:b w:val="1"/>
          <w:bCs w:val="1"/>
          <w:color w:val="003551"/>
        </w:rPr>
        <w:t xml:space="preserve">approving resolution </w:t>
      </w:r>
      <w:r>
        <w:rPr>
          <w:rFonts w:ascii="Arial" w:cs="Arial" w:eastAsia="Arial" w:hAnsi="Arial"/>
          <w:sz w:val="17"/>
          <w:szCs w:val="17"/>
          <w:color w:val="003551"/>
        </w:rPr>
        <w:t>means a resolution passed in accordance with the company’s voting</w:t>
      </w:r>
      <w:r>
        <w:rPr>
          <w:rFonts w:ascii="Arial" w:cs="Arial" w:eastAsia="Arial" w:hAnsi="Arial"/>
          <w:sz w:val="17"/>
          <w:szCs w:val="17"/>
          <w:b w:val="1"/>
          <w:bCs w:val="1"/>
          <w:color w:val="003551"/>
        </w:rPr>
        <w:t xml:space="preserve"> </w:t>
      </w:r>
      <w:r>
        <w:rPr>
          <w:rFonts w:ascii="Arial" w:cs="Arial" w:eastAsia="Arial" w:hAnsi="Arial"/>
          <w:sz w:val="17"/>
          <w:szCs w:val="17"/>
          <w:color w:val="003551"/>
        </w:rPr>
        <w:t>procedures, as set forth in this constitution;</w:t>
      </w:r>
    </w:p>
    <w:p>
      <w:pPr>
        <w:spacing w:after="0" w:line="32" w:lineRule="exact"/>
        <w:rPr>
          <w:sz w:val="20"/>
          <w:szCs w:val="20"/>
          <w:color w:val="auto"/>
        </w:rPr>
      </w:pPr>
    </w:p>
    <w:p>
      <w:pPr>
        <w:ind w:left="1640" w:right="1019"/>
        <w:spacing w:after="0" w:line="286" w:lineRule="auto"/>
        <w:rPr>
          <w:sz w:val="20"/>
          <w:szCs w:val="20"/>
          <w:color w:val="auto"/>
        </w:rPr>
      </w:pPr>
      <w:r>
        <w:rPr>
          <w:rFonts w:ascii="Arial" w:cs="Arial" w:eastAsia="Arial" w:hAnsi="Arial"/>
          <w:sz w:val="17"/>
          <w:szCs w:val="17"/>
          <w:b w:val="1"/>
          <w:bCs w:val="1"/>
          <w:color w:val="003551"/>
        </w:rPr>
        <w:t xml:space="preserve">B class share </w:t>
      </w:r>
      <w:r>
        <w:rPr>
          <w:rFonts w:ascii="Arial" w:cs="Arial" w:eastAsia="Arial" w:hAnsi="Arial"/>
          <w:sz w:val="17"/>
          <w:szCs w:val="17"/>
          <w:color w:val="003551"/>
        </w:rPr>
        <w:t>means a B class share in the capital of the company having the rights and</w:t>
      </w:r>
      <w:r>
        <w:rPr>
          <w:rFonts w:ascii="Arial" w:cs="Arial" w:eastAsia="Arial" w:hAnsi="Arial"/>
          <w:sz w:val="17"/>
          <w:szCs w:val="17"/>
          <w:b w:val="1"/>
          <w:bCs w:val="1"/>
          <w:color w:val="003551"/>
        </w:rPr>
        <w:t xml:space="preserve"> </w:t>
      </w:r>
      <w:r>
        <w:rPr>
          <w:rFonts w:ascii="Arial" w:cs="Arial" w:eastAsia="Arial" w:hAnsi="Arial"/>
          <w:sz w:val="17"/>
          <w:szCs w:val="17"/>
          <w:color w:val="003551"/>
        </w:rPr>
        <w:t xml:space="preserve">restrictions set out in </w:t>
      </w:r>
      <w:r>
        <w:rPr>
          <w:rFonts w:ascii="Arial" w:cs="Arial" w:eastAsia="Arial" w:hAnsi="Arial"/>
          <w:sz w:val="17"/>
          <w:szCs w:val="17"/>
          <w:u w:val="single" w:color="auto"/>
          <w:color w:val="003551"/>
        </w:rPr>
        <w:t>Schedule 1</w:t>
      </w:r>
      <w:r>
        <w:rPr>
          <w:rFonts w:ascii="Arial" w:cs="Arial" w:eastAsia="Arial" w:hAnsi="Arial"/>
          <w:sz w:val="17"/>
          <w:szCs w:val="17"/>
          <w:color w:val="003551"/>
        </w:rPr>
        <w:t xml:space="preserve"> and this constitution;</w:t>
      </w:r>
    </w:p>
    <w:p>
      <w:pPr>
        <w:spacing w:after="0" w:line="71" w:lineRule="exact"/>
        <w:rPr>
          <w:sz w:val="20"/>
          <w:szCs w:val="20"/>
          <w:color w:val="auto"/>
        </w:rPr>
      </w:pPr>
    </w:p>
    <w:p>
      <w:pPr>
        <w:ind w:left="1640"/>
        <w:spacing w:after="0"/>
        <w:rPr>
          <w:sz w:val="20"/>
          <w:szCs w:val="20"/>
          <w:color w:val="auto"/>
        </w:rPr>
      </w:pPr>
      <w:r>
        <w:rPr>
          <w:rFonts w:ascii="Arial" w:cs="Arial" w:eastAsia="Arial" w:hAnsi="Arial"/>
          <w:sz w:val="17"/>
          <w:szCs w:val="17"/>
          <w:b w:val="1"/>
          <w:bCs w:val="1"/>
          <w:color w:val="003551"/>
        </w:rPr>
        <w:t xml:space="preserve">board </w:t>
      </w:r>
      <w:r>
        <w:rPr>
          <w:rFonts w:ascii="Arial" w:cs="Arial" w:eastAsia="Arial" w:hAnsi="Arial"/>
          <w:sz w:val="17"/>
          <w:szCs w:val="17"/>
          <w:color w:val="003551"/>
        </w:rPr>
        <w:t>means the board of directors for the time being of the company;</w:t>
      </w:r>
    </w:p>
    <w:p>
      <w:pPr>
        <w:spacing w:after="0" w:line="106" w:lineRule="exact"/>
        <w:rPr>
          <w:sz w:val="20"/>
          <w:szCs w:val="20"/>
          <w:color w:val="auto"/>
        </w:rPr>
      </w:pPr>
    </w:p>
    <w:p>
      <w:pPr>
        <w:ind w:left="1640" w:right="479"/>
        <w:spacing w:after="0" w:line="263" w:lineRule="auto"/>
        <w:rPr>
          <w:sz w:val="20"/>
          <w:szCs w:val="20"/>
          <w:color w:val="auto"/>
        </w:rPr>
      </w:pPr>
      <w:r>
        <w:rPr>
          <w:rFonts w:ascii="Arial" w:cs="Arial" w:eastAsia="Arial" w:hAnsi="Arial"/>
          <w:sz w:val="17"/>
          <w:szCs w:val="17"/>
          <w:b w:val="1"/>
          <w:bCs w:val="1"/>
          <w:color w:val="003551"/>
        </w:rPr>
        <w:t xml:space="preserve">Business Day </w:t>
      </w:r>
      <w:r>
        <w:rPr>
          <w:rFonts w:ascii="Arial" w:cs="Arial" w:eastAsia="Arial" w:hAnsi="Arial"/>
          <w:sz w:val="17"/>
          <w:szCs w:val="17"/>
          <w:color w:val="003551"/>
        </w:rPr>
        <w:t>means a day (other than a Saturday, Sunday or public holiday) on which banks</w:t>
      </w:r>
      <w:r>
        <w:rPr>
          <w:rFonts w:ascii="Arial" w:cs="Arial" w:eastAsia="Arial" w:hAnsi="Arial"/>
          <w:sz w:val="17"/>
          <w:szCs w:val="17"/>
          <w:b w:val="1"/>
          <w:bCs w:val="1"/>
          <w:color w:val="003551"/>
        </w:rPr>
        <w:t xml:space="preserve"> </w:t>
      </w:r>
      <w:r>
        <w:rPr>
          <w:rFonts w:ascii="Arial" w:cs="Arial" w:eastAsia="Arial" w:hAnsi="Arial"/>
          <w:sz w:val="17"/>
          <w:szCs w:val="17"/>
          <w:color w:val="003551"/>
        </w:rPr>
        <w:t>are generally open for normal business in Sydney, Australia and any other day prescribed by the Listing Rules;</w:t>
      </w:r>
    </w:p>
    <w:p>
      <w:pPr>
        <w:spacing w:after="0" w:line="104" w:lineRule="exact"/>
        <w:rPr>
          <w:sz w:val="20"/>
          <w:szCs w:val="20"/>
          <w:color w:val="auto"/>
        </w:rPr>
      </w:pPr>
    </w:p>
    <w:p>
      <w:pPr>
        <w:ind w:left="1640"/>
        <w:spacing w:after="0"/>
        <w:rPr>
          <w:sz w:val="20"/>
          <w:szCs w:val="20"/>
          <w:color w:val="auto"/>
        </w:rPr>
      </w:pPr>
      <w:r>
        <w:rPr>
          <w:rFonts w:ascii="Arial" w:cs="Arial" w:eastAsia="Arial" w:hAnsi="Arial"/>
          <w:sz w:val="17"/>
          <w:szCs w:val="17"/>
          <w:b w:val="1"/>
          <w:bCs w:val="1"/>
          <w:color w:val="003551"/>
        </w:rPr>
        <w:t xml:space="preserve">company </w:t>
      </w:r>
      <w:r>
        <w:rPr>
          <w:rFonts w:ascii="Arial" w:cs="Arial" w:eastAsia="Arial" w:hAnsi="Arial"/>
          <w:sz w:val="17"/>
          <w:szCs w:val="17"/>
          <w:color w:val="003551"/>
        </w:rPr>
        <w:t>means IREN Limited ACN 629 842 799;</w:t>
      </w:r>
    </w:p>
    <w:p>
      <w:pPr>
        <w:spacing w:after="0" w:line="145" w:lineRule="exact"/>
        <w:rPr>
          <w:sz w:val="20"/>
          <w:szCs w:val="20"/>
          <w:color w:val="auto"/>
        </w:rPr>
      </w:pPr>
    </w:p>
    <w:p>
      <w:pPr>
        <w:ind w:left="1640"/>
        <w:spacing w:after="0"/>
        <w:rPr>
          <w:sz w:val="20"/>
          <w:szCs w:val="20"/>
          <w:color w:val="auto"/>
        </w:rPr>
      </w:pPr>
      <w:r>
        <w:rPr>
          <w:rFonts w:ascii="Arial" w:cs="Arial" w:eastAsia="Arial" w:hAnsi="Arial"/>
          <w:sz w:val="17"/>
          <w:szCs w:val="17"/>
          <w:b w:val="1"/>
          <w:bCs w:val="1"/>
          <w:color w:val="003551"/>
        </w:rPr>
        <w:t xml:space="preserve">constitution </w:t>
      </w:r>
      <w:r>
        <w:rPr>
          <w:rFonts w:ascii="Arial" w:cs="Arial" w:eastAsia="Arial" w:hAnsi="Arial"/>
          <w:sz w:val="17"/>
          <w:szCs w:val="17"/>
          <w:color w:val="003551"/>
        </w:rPr>
        <w:t>means this constitution as varied, amended or replaced from time to time;</w:t>
      </w:r>
    </w:p>
    <w:p>
      <w:pPr>
        <w:spacing w:after="0" w:line="106" w:lineRule="exact"/>
        <w:rPr>
          <w:sz w:val="20"/>
          <w:szCs w:val="20"/>
          <w:color w:val="auto"/>
        </w:rPr>
      </w:pPr>
    </w:p>
    <w:p>
      <w:pPr>
        <w:ind w:left="1640" w:right="419"/>
        <w:spacing w:after="0" w:line="263" w:lineRule="auto"/>
        <w:rPr>
          <w:sz w:val="20"/>
          <w:szCs w:val="20"/>
          <w:color w:val="auto"/>
        </w:rPr>
      </w:pPr>
      <w:r>
        <w:rPr>
          <w:rFonts w:ascii="Arial" w:cs="Arial" w:eastAsia="Arial" w:hAnsi="Arial"/>
          <w:sz w:val="17"/>
          <w:szCs w:val="17"/>
          <w:b w:val="1"/>
          <w:bCs w:val="1"/>
          <w:color w:val="003551"/>
        </w:rPr>
        <w:t xml:space="preserve">corporate representative </w:t>
      </w:r>
      <w:r>
        <w:rPr>
          <w:rFonts w:ascii="Arial" w:cs="Arial" w:eastAsia="Arial" w:hAnsi="Arial"/>
          <w:sz w:val="17"/>
          <w:szCs w:val="17"/>
          <w:color w:val="003551"/>
        </w:rPr>
        <w:t>means a person appointed in accordance with the Corporations Act to</w:t>
      </w:r>
      <w:r>
        <w:rPr>
          <w:rFonts w:ascii="Arial" w:cs="Arial" w:eastAsia="Arial" w:hAnsi="Arial"/>
          <w:sz w:val="17"/>
          <w:szCs w:val="17"/>
          <w:b w:val="1"/>
          <w:bCs w:val="1"/>
          <w:color w:val="003551"/>
        </w:rPr>
        <w:t xml:space="preserve"> </w:t>
      </w:r>
      <w:r>
        <w:rPr>
          <w:rFonts w:ascii="Arial" w:cs="Arial" w:eastAsia="Arial" w:hAnsi="Arial"/>
          <w:sz w:val="17"/>
          <w:szCs w:val="17"/>
          <w:color w:val="003551"/>
        </w:rPr>
        <w:t>represent a member that is a body corporate at a meeting of members or meetings of members generally;</w:t>
      </w:r>
    </w:p>
    <w:p>
      <w:pPr>
        <w:spacing w:after="0" w:line="52" w:lineRule="exact"/>
        <w:rPr>
          <w:sz w:val="20"/>
          <w:szCs w:val="20"/>
          <w:color w:val="auto"/>
        </w:rPr>
      </w:pPr>
    </w:p>
    <w:p>
      <w:pPr>
        <w:ind w:left="1640" w:right="579"/>
        <w:spacing w:after="0" w:line="286" w:lineRule="auto"/>
        <w:rPr>
          <w:sz w:val="20"/>
          <w:szCs w:val="20"/>
          <w:color w:val="auto"/>
        </w:rPr>
      </w:pPr>
      <w:r>
        <w:rPr>
          <w:rFonts w:ascii="Arial" w:cs="Arial" w:eastAsia="Arial" w:hAnsi="Arial"/>
          <w:sz w:val="17"/>
          <w:szCs w:val="17"/>
          <w:b w:val="1"/>
          <w:bCs w:val="1"/>
          <w:color w:val="003551"/>
        </w:rPr>
        <w:t xml:space="preserve">Corporations Act </w:t>
      </w:r>
      <w:r>
        <w:rPr>
          <w:rFonts w:ascii="Arial" w:cs="Arial" w:eastAsia="Arial" w:hAnsi="Arial"/>
          <w:sz w:val="17"/>
          <w:szCs w:val="17"/>
          <w:color w:val="003551"/>
        </w:rPr>
        <w:t>means the</w:t>
      </w:r>
      <w:r>
        <w:rPr>
          <w:rFonts w:ascii="Arial" w:cs="Arial" w:eastAsia="Arial" w:hAnsi="Arial"/>
          <w:sz w:val="17"/>
          <w:szCs w:val="17"/>
          <w:b w:val="1"/>
          <w:bCs w:val="1"/>
          <w:color w:val="003551"/>
        </w:rPr>
        <w:t xml:space="preserve"> </w:t>
      </w:r>
      <w:r>
        <w:rPr>
          <w:rFonts w:ascii="Arial" w:cs="Arial" w:eastAsia="Arial" w:hAnsi="Arial"/>
          <w:sz w:val="17"/>
          <w:szCs w:val="17"/>
          <w:i w:val="1"/>
          <w:iCs w:val="1"/>
          <w:color w:val="003551"/>
        </w:rPr>
        <w:t>Corporations Act 2001</w:t>
      </w:r>
      <w:r>
        <w:rPr>
          <w:rFonts w:ascii="Arial" w:cs="Arial" w:eastAsia="Arial" w:hAnsi="Arial"/>
          <w:sz w:val="17"/>
          <w:szCs w:val="17"/>
          <w:b w:val="1"/>
          <w:bCs w:val="1"/>
          <w:color w:val="003551"/>
        </w:rPr>
        <w:t xml:space="preserve"> </w:t>
      </w:r>
      <w:r>
        <w:rPr>
          <w:rFonts w:ascii="Arial" w:cs="Arial" w:eastAsia="Arial" w:hAnsi="Arial"/>
          <w:sz w:val="17"/>
          <w:szCs w:val="17"/>
          <w:color w:val="003551"/>
        </w:rPr>
        <w:t>(Cth) and any regulations or orders made</w:t>
      </w:r>
      <w:r>
        <w:rPr>
          <w:rFonts w:ascii="Arial" w:cs="Arial" w:eastAsia="Arial" w:hAnsi="Arial"/>
          <w:sz w:val="17"/>
          <w:szCs w:val="17"/>
          <w:b w:val="1"/>
          <w:bCs w:val="1"/>
          <w:color w:val="003551"/>
        </w:rPr>
        <w:t xml:space="preserve"> </w:t>
      </w:r>
      <w:r>
        <w:rPr>
          <w:rFonts w:ascii="Arial" w:cs="Arial" w:eastAsia="Arial" w:hAnsi="Arial"/>
          <w:sz w:val="17"/>
          <w:szCs w:val="17"/>
          <w:color w:val="003551"/>
        </w:rPr>
        <w:t>under that statute;</w:t>
      </w:r>
    </w:p>
    <w:p>
      <w:pPr>
        <w:spacing w:after="0" w:line="32" w:lineRule="exact"/>
        <w:rPr>
          <w:sz w:val="20"/>
          <w:szCs w:val="20"/>
          <w:color w:val="auto"/>
        </w:rPr>
      </w:pPr>
    </w:p>
    <w:p>
      <w:pPr>
        <w:jc w:val="both"/>
        <w:ind w:left="1640" w:right="479"/>
        <w:spacing w:after="0" w:line="263" w:lineRule="auto"/>
        <w:rPr>
          <w:sz w:val="20"/>
          <w:szCs w:val="20"/>
          <w:color w:val="auto"/>
        </w:rPr>
      </w:pPr>
      <w:r>
        <w:rPr>
          <w:rFonts w:ascii="Arial" w:cs="Arial" w:eastAsia="Arial" w:hAnsi="Arial"/>
          <w:sz w:val="17"/>
          <w:szCs w:val="17"/>
          <w:b w:val="1"/>
          <w:bCs w:val="1"/>
          <w:color w:val="003551"/>
        </w:rPr>
        <w:t xml:space="preserve">director </w:t>
      </w:r>
      <w:r>
        <w:rPr>
          <w:rFonts w:ascii="Arial" w:cs="Arial" w:eastAsia="Arial" w:hAnsi="Arial"/>
          <w:sz w:val="17"/>
          <w:szCs w:val="17"/>
          <w:color w:val="003551"/>
        </w:rPr>
        <w:t>means a person appointed or elected to the position of a director of the company, and,</w:t>
      </w:r>
      <w:r>
        <w:rPr>
          <w:rFonts w:ascii="Arial" w:cs="Arial" w:eastAsia="Arial" w:hAnsi="Arial"/>
          <w:sz w:val="17"/>
          <w:szCs w:val="17"/>
          <w:b w:val="1"/>
          <w:bCs w:val="1"/>
          <w:color w:val="003551"/>
        </w:rPr>
        <w:t xml:space="preserve"> </w:t>
      </w:r>
      <w:r>
        <w:rPr>
          <w:rFonts w:ascii="Arial" w:cs="Arial" w:eastAsia="Arial" w:hAnsi="Arial"/>
          <w:sz w:val="17"/>
          <w:szCs w:val="17"/>
          <w:color w:val="003551"/>
        </w:rPr>
        <w:t xml:space="preserve">where appropriate, an alternate director, and </w:t>
      </w:r>
      <w:r>
        <w:rPr>
          <w:rFonts w:ascii="Arial" w:cs="Arial" w:eastAsia="Arial" w:hAnsi="Arial"/>
          <w:sz w:val="17"/>
          <w:szCs w:val="17"/>
          <w:b w:val="1"/>
          <w:bCs w:val="1"/>
          <w:color w:val="003551"/>
        </w:rPr>
        <w:t>directors</w:t>
      </w:r>
      <w:r>
        <w:rPr>
          <w:rFonts w:ascii="Arial" w:cs="Arial" w:eastAsia="Arial" w:hAnsi="Arial"/>
          <w:sz w:val="17"/>
          <w:szCs w:val="17"/>
          <w:color w:val="003551"/>
        </w:rPr>
        <w:t xml:space="preserve"> means some or all of the directors acting as a board;</w:t>
      </w:r>
    </w:p>
    <w:p>
      <w:pPr>
        <w:spacing w:after="0" w:line="52" w:lineRule="exact"/>
        <w:rPr>
          <w:sz w:val="20"/>
          <w:szCs w:val="20"/>
          <w:color w:val="auto"/>
        </w:rPr>
      </w:pPr>
    </w:p>
    <w:p>
      <w:pPr>
        <w:ind w:left="1640" w:right="659"/>
        <w:spacing w:after="0" w:line="263" w:lineRule="auto"/>
        <w:rPr>
          <w:sz w:val="20"/>
          <w:szCs w:val="20"/>
          <w:color w:val="auto"/>
        </w:rPr>
      </w:pPr>
      <w:r>
        <w:rPr>
          <w:rFonts w:ascii="Arial" w:cs="Arial" w:eastAsia="Arial" w:hAnsi="Arial"/>
          <w:sz w:val="17"/>
          <w:szCs w:val="17"/>
          <w:b w:val="1"/>
          <w:bCs w:val="1"/>
          <w:color w:val="003551"/>
        </w:rPr>
        <w:t xml:space="preserve">Exchange </w:t>
      </w:r>
      <w:r>
        <w:rPr>
          <w:rFonts w:ascii="Arial" w:cs="Arial" w:eastAsia="Arial" w:hAnsi="Arial"/>
          <w:sz w:val="17"/>
          <w:szCs w:val="17"/>
          <w:color w:val="003551"/>
        </w:rPr>
        <w:t>means any stock exchange nationally recognized in the United States of America</w:t>
      </w:r>
      <w:r>
        <w:rPr>
          <w:rFonts w:ascii="Arial" w:cs="Arial" w:eastAsia="Arial" w:hAnsi="Arial"/>
          <w:sz w:val="17"/>
          <w:szCs w:val="17"/>
          <w:b w:val="1"/>
          <w:bCs w:val="1"/>
          <w:color w:val="003551"/>
        </w:rPr>
        <w:t xml:space="preserve"> </w:t>
      </w:r>
      <w:r>
        <w:rPr>
          <w:rFonts w:ascii="Arial" w:cs="Arial" w:eastAsia="Arial" w:hAnsi="Arial"/>
          <w:sz w:val="17"/>
          <w:szCs w:val="17"/>
          <w:color w:val="003551"/>
        </w:rPr>
        <w:t>(including the Nasdaq Stock Market and any of the distinct tiers thereon), on which shares are listed;</w:t>
      </w:r>
    </w:p>
    <w:p>
      <w:pPr>
        <w:spacing w:after="0" w:line="52" w:lineRule="exact"/>
        <w:rPr>
          <w:sz w:val="20"/>
          <w:szCs w:val="20"/>
          <w:color w:val="auto"/>
        </w:rPr>
      </w:pPr>
    </w:p>
    <w:p>
      <w:pPr>
        <w:ind w:left="1640" w:right="379"/>
        <w:spacing w:after="0" w:line="286" w:lineRule="auto"/>
        <w:rPr>
          <w:sz w:val="20"/>
          <w:szCs w:val="20"/>
          <w:color w:val="auto"/>
        </w:rPr>
      </w:pPr>
      <w:r>
        <w:rPr>
          <w:rFonts w:ascii="Arial" w:cs="Arial" w:eastAsia="Arial" w:hAnsi="Arial"/>
          <w:sz w:val="17"/>
          <w:szCs w:val="17"/>
          <w:b w:val="1"/>
          <w:bCs w:val="1"/>
          <w:u w:val="single" w:color="auto"/>
          <w:color w:val="0000FF"/>
        </w:rPr>
        <w:t xml:space="preserve">Exchange Act </w:t>
      </w:r>
      <w:r>
        <w:rPr>
          <w:rFonts w:ascii="Arial" w:cs="Arial" w:eastAsia="Arial" w:hAnsi="Arial"/>
          <w:sz w:val="17"/>
          <w:szCs w:val="17"/>
          <w:u w:val="single" w:color="auto"/>
          <w:color w:val="0000FF"/>
        </w:rPr>
        <w:t>means the U.S. Securities and Exchange Act of 1934, as amended, and any rules</w:t>
      </w:r>
      <w:r>
        <w:rPr>
          <w:rFonts w:ascii="Arial" w:cs="Arial" w:eastAsia="Arial" w:hAnsi="Arial"/>
          <w:sz w:val="17"/>
          <w:szCs w:val="17"/>
          <w:b w:val="1"/>
          <w:bCs w:val="1"/>
          <w:u w:val="single" w:color="auto"/>
          <w:color w:val="0000FF"/>
        </w:rPr>
        <w:t xml:space="preserve"> </w:t>
      </w:r>
      <w:r>
        <w:rPr>
          <w:rFonts w:ascii="Arial" w:cs="Arial" w:eastAsia="Arial" w:hAnsi="Arial"/>
          <w:sz w:val="17"/>
          <w:szCs w:val="17"/>
          <w:u w:val="single" w:color="auto"/>
          <w:color w:val="0000FF"/>
        </w:rPr>
        <w:t>and regulations promulgated thereunder;</w:t>
      </w:r>
    </w:p>
    <w:p>
      <w:pPr>
        <w:spacing w:after="0" w:line="71" w:lineRule="exact"/>
        <w:rPr>
          <w:sz w:val="20"/>
          <w:szCs w:val="20"/>
          <w:color w:val="auto"/>
        </w:rPr>
      </w:pPr>
    </w:p>
    <w:p>
      <w:pPr>
        <w:ind w:left="1640"/>
        <w:spacing w:after="0"/>
        <w:rPr>
          <w:sz w:val="20"/>
          <w:szCs w:val="20"/>
          <w:color w:val="auto"/>
        </w:rPr>
      </w:pPr>
      <w:r>
        <w:rPr>
          <w:rFonts w:ascii="Arial" w:cs="Arial" w:eastAsia="Arial" w:hAnsi="Arial"/>
          <w:sz w:val="17"/>
          <w:szCs w:val="17"/>
          <w:b w:val="1"/>
          <w:bCs w:val="1"/>
          <w:color w:val="003551"/>
        </w:rPr>
        <w:t xml:space="preserve">executive director </w:t>
      </w:r>
      <w:r>
        <w:rPr>
          <w:rFonts w:ascii="Arial" w:cs="Arial" w:eastAsia="Arial" w:hAnsi="Arial"/>
          <w:sz w:val="17"/>
          <w:szCs w:val="17"/>
          <w:color w:val="003551"/>
        </w:rPr>
        <w:t>means a director appointed to hold an executive office under this constitution;</w:t>
      </w:r>
    </w:p>
    <w:p>
      <w:pPr>
        <w:spacing w:after="0" w:line="158" w:lineRule="exact"/>
        <w:rPr>
          <w:sz w:val="20"/>
          <w:szCs w:val="20"/>
          <w:color w:val="auto"/>
        </w:rPr>
      </w:pPr>
    </w:p>
    <w:p>
      <w:pPr>
        <w:ind w:left="1640"/>
        <w:spacing w:after="0"/>
        <w:rPr>
          <w:sz w:val="20"/>
          <w:szCs w:val="20"/>
          <w:color w:val="auto"/>
        </w:rPr>
      </w:pPr>
      <w:r>
        <w:rPr>
          <w:rFonts w:ascii="Arial" w:cs="Arial" w:eastAsia="Arial" w:hAnsi="Arial"/>
          <w:sz w:val="17"/>
          <w:szCs w:val="17"/>
          <w:b w:val="1"/>
          <w:bCs w:val="1"/>
          <w:u w:val="single" w:color="auto"/>
          <w:color w:val="0000FF"/>
        </w:rPr>
        <w:t xml:space="preserve">Founder Director </w:t>
      </w:r>
      <w:r>
        <w:rPr>
          <w:rFonts w:ascii="Arial" w:cs="Arial" w:eastAsia="Arial" w:hAnsi="Arial"/>
          <w:sz w:val="17"/>
          <w:szCs w:val="17"/>
          <w:u w:val="single" w:color="auto"/>
          <w:color w:val="0000FF"/>
        </w:rPr>
        <w:t>has the meaning given in Schedule 1;</w:t>
      </w:r>
    </w:p>
    <w:p>
      <w:pPr>
        <w:spacing w:after="0" w:line="106" w:lineRule="exact"/>
        <w:rPr>
          <w:sz w:val="20"/>
          <w:szCs w:val="20"/>
          <w:color w:val="auto"/>
        </w:rPr>
      </w:pPr>
    </w:p>
    <w:p>
      <w:pPr>
        <w:jc w:val="both"/>
        <w:ind w:left="1640" w:right="439"/>
        <w:spacing w:after="0" w:line="263" w:lineRule="auto"/>
        <w:rPr>
          <w:sz w:val="20"/>
          <w:szCs w:val="20"/>
          <w:color w:val="auto"/>
        </w:rPr>
      </w:pPr>
      <w:r>
        <w:rPr>
          <w:rFonts w:ascii="Arial" w:cs="Arial" w:eastAsia="Arial" w:hAnsi="Arial"/>
          <w:sz w:val="17"/>
          <w:szCs w:val="17"/>
          <w:b w:val="1"/>
          <w:bCs w:val="1"/>
          <w:color w:val="003551"/>
        </w:rPr>
        <w:t xml:space="preserve">Listing Rules </w:t>
      </w:r>
      <w:r>
        <w:rPr>
          <w:rFonts w:ascii="Arial" w:cs="Arial" w:eastAsia="Arial" w:hAnsi="Arial"/>
          <w:sz w:val="17"/>
          <w:szCs w:val="17"/>
          <w:color w:val="003551"/>
        </w:rPr>
        <w:t>means the rules and regulations of any Exchange, each as amended or replaced</w:t>
      </w:r>
      <w:r>
        <w:rPr>
          <w:rFonts w:ascii="Arial" w:cs="Arial" w:eastAsia="Arial" w:hAnsi="Arial"/>
          <w:sz w:val="17"/>
          <w:szCs w:val="17"/>
          <w:b w:val="1"/>
          <w:bCs w:val="1"/>
          <w:color w:val="003551"/>
        </w:rPr>
        <w:t xml:space="preserve"> </w:t>
      </w:r>
      <w:r>
        <w:rPr>
          <w:rFonts w:ascii="Arial" w:cs="Arial" w:eastAsia="Arial" w:hAnsi="Arial"/>
          <w:sz w:val="17"/>
          <w:szCs w:val="17"/>
          <w:color w:val="003551"/>
        </w:rPr>
        <w:t>from time to time, except to the extent of any express written waiver given by the relevant market operator;</w:t>
      </w:r>
    </w:p>
    <w:p>
      <w:pPr>
        <w:spacing w:after="0" w:line="91" w:lineRule="exact"/>
        <w:rPr>
          <w:sz w:val="20"/>
          <w:szCs w:val="20"/>
          <w:color w:val="auto"/>
        </w:rPr>
      </w:pPr>
    </w:p>
    <w:p>
      <w:pPr>
        <w:ind w:left="1640"/>
        <w:spacing w:after="0"/>
        <w:rPr>
          <w:sz w:val="20"/>
          <w:szCs w:val="20"/>
          <w:color w:val="auto"/>
        </w:rPr>
      </w:pPr>
      <w:r>
        <w:rPr>
          <w:rFonts w:ascii="Arial" w:cs="Arial" w:eastAsia="Arial" w:hAnsi="Arial"/>
          <w:sz w:val="17"/>
          <w:szCs w:val="17"/>
          <w:b w:val="1"/>
          <w:bCs w:val="1"/>
          <w:color w:val="003551"/>
        </w:rPr>
        <w:t xml:space="preserve">managing director </w:t>
      </w:r>
      <w:r>
        <w:rPr>
          <w:rFonts w:ascii="Arial" w:cs="Arial" w:eastAsia="Arial" w:hAnsi="Arial"/>
          <w:sz w:val="17"/>
          <w:szCs w:val="17"/>
          <w:color w:val="003551"/>
        </w:rPr>
        <w:t>means a director appointed as managing director under this constitution;</w:t>
      </w:r>
    </w:p>
    <w:p>
      <w:pPr>
        <w:spacing w:after="0" w:line="106" w:lineRule="exact"/>
        <w:rPr>
          <w:sz w:val="20"/>
          <w:szCs w:val="20"/>
          <w:color w:val="auto"/>
        </w:rPr>
      </w:pPr>
    </w:p>
    <w:p>
      <w:pPr>
        <w:ind w:left="1640" w:right="499"/>
        <w:spacing w:after="0" w:line="263" w:lineRule="auto"/>
        <w:rPr>
          <w:sz w:val="20"/>
          <w:szCs w:val="20"/>
          <w:color w:val="auto"/>
        </w:rPr>
      </w:pPr>
      <w:r>
        <w:rPr>
          <w:rFonts w:ascii="Arial" w:cs="Arial" w:eastAsia="Arial" w:hAnsi="Arial"/>
          <w:sz w:val="17"/>
          <w:szCs w:val="17"/>
          <w:b w:val="1"/>
          <w:bCs w:val="1"/>
          <w:color w:val="003551"/>
        </w:rPr>
        <w:t xml:space="preserve">member </w:t>
      </w:r>
      <w:r>
        <w:rPr>
          <w:rFonts w:ascii="Arial" w:cs="Arial" w:eastAsia="Arial" w:hAnsi="Arial"/>
          <w:sz w:val="17"/>
          <w:szCs w:val="17"/>
          <w:color w:val="003551"/>
        </w:rPr>
        <w:t>means, in respect of a meeting of members or a class or members, a registered holder</w:t>
      </w:r>
      <w:r>
        <w:rPr>
          <w:rFonts w:ascii="Arial" w:cs="Arial" w:eastAsia="Arial" w:hAnsi="Arial"/>
          <w:sz w:val="17"/>
          <w:szCs w:val="17"/>
          <w:b w:val="1"/>
          <w:bCs w:val="1"/>
          <w:color w:val="003551"/>
        </w:rPr>
        <w:t xml:space="preserve"> </w:t>
      </w:r>
      <w:r>
        <w:rPr>
          <w:rFonts w:ascii="Arial" w:cs="Arial" w:eastAsia="Arial" w:hAnsi="Arial"/>
          <w:sz w:val="17"/>
          <w:szCs w:val="17"/>
          <w:color w:val="003551"/>
        </w:rPr>
        <w:t>of shares or the relevant class of shares (as the case may be) at the Record Time for that meeting;</w:t>
      </w:r>
    </w:p>
    <w:p>
      <w:pPr>
        <w:spacing w:after="0" w:line="158"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119380</wp:posOffset>
            </wp:positionV>
            <wp:extent cx="6786880" cy="1651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640" w:right="399"/>
        <w:spacing w:after="0" w:line="256" w:lineRule="auto"/>
        <w:rPr>
          <w:sz w:val="20"/>
          <w:szCs w:val="20"/>
          <w:color w:val="auto"/>
        </w:rPr>
      </w:pPr>
      <w:r>
        <w:rPr>
          <w:rFonts w:ascii="Arial" w:cs="Arial" w:eastAsia="Arial" w:hAnsi="Arial"/>
          <w:sz w:val="17"/>
          <w:szCs w:val="17"/>
          <w:b w:val="1"/>
          <w:bCs w:val="1"/>
          <w:color w:val="003551"/>
        </w:rPr>
        <w:t xml:space="preserve">ordinary share </w:t>
      </w:r>
      <w:r>
        <w:rPr>
          <w:rFonts w:ascii="Arial" w:cs="Arial" w:eastAsia="Arial" w:hAnsi="Arial"/>
          <w:sz w:val="17"/>
          <w:szCs w:val="17"/>
          <w:color w:val="003551"/>
        </w:rPr>
        <w:t>means an ordinary share in the capital of the company having the rights and</w:t>
      </w:r>
      <w:r>
        <w:rPr>
          <w:rFonts w:ascii="Arial" w:cs="Arial" w:eastAsia="Arial" w:hAnsi="Arial"/>
          <w:sz w:val="17"/>
          <w:szCs w:val="17"/>
          <w:b w:val="1"/>
          <w:bCs w:val="1"/>
          <w:color w:val="003551"/>
        </w:rPr>
        <w:t xml:space="preserve"> </w:t>
      </w:r>
      <w:r>
        <w:rPr>
          <w:rFonts w:ascii="Arial" w:cs="Arial" w:eastAsia="Arial" w:hAnsi="Arial"/>
          <w:sz w:val="17"/>
          <w:szCs w:val="17"/>
          <w:color w:val="003551"/>
        </w:rPr>
        <w:t xml:space="preserve">restrictions set out in this constitution as it relate to shares in the company generally (which, for the avoidance of doubt, excludes terms applicable only to a separate class of shares, such as the B class share terms in </w:t>
      </w:r>
      <w:r>
        <w:rPr>
          <w:rFonts w:ascii="Arial" w:cs="Arial" w:eastAsia="Arial" w:hAnsi="Arial"/>
          <w:sz w:val="17"/>
          <w:szCs w:val="17"/>
          <w:u w:val="single" w:color="auto"/>
          <w:color w:val="003551"/>
        </w:rPr>
        <w:t>Schedule 1);</w:t>
      </w:r>
    </w:p>
    <w:p>
      <w:pPr>
        <w:spacing w:after="0" w:line="96" w:lineRule="exact"/>
        <w:rPr>
          <w:sz w:val="20"/>
          <w:szCs w:val="20"/>
          <w:color w:val="auto"/>
        </w:rPr>
      </w:pPr>
    </w:p>
    <w:p>
      <w:pPr>
        <w:ind w:left="1640"/>
        <w:spacing w:after="0"/>
        <w:rPr>
          <w:sz w:val="20"/>
          <w:szCs w:val="20"/>
          <w:color w:val="auto"/>
        </w:rPr>
      </w:pPr>
      <w:r>
        <w:rPr>
          <w:rFonts w:ascii="Arial" w:cs="Arial" w:eastAsia="Arial" w:hAnsi="Arial"/>
          <w:sz w:val="17"/>
          <w:szCs w:val="17"/>
          <w:b w:val="1"/>
          <w:bCs w:val="1"/>
          <w:color w:val="003551"/>
        </w:rPr>
        <w:t xml:space="preserve">Record Time </w:t>
      </w:r>
      <w:r>
        <w:rPr>
          <w:rFonts w:ascii="Arial" w:cs="Arial" w:eastAsia="Arial" w:hAnsi="Arial"/>
          <w:sz w:val="17"/>
          <w:szCs w:val="17"/>
          <w:color w:val="003551"/>
        </w:rPr>
        <w:t>means:</w:t>
      </w:r>
    </w:p>
    <w:p>
      <w:pPr>
        <w:spacing w:after="0" w:line="108" w:lineRule="exact"/>
        <w:rPr>
          <w:sz w:val="20"/>
          <w:szCs w:val="20"/>
          <w:color w:val="auto"/>
        </w:rPr>
      </w:pPr>
    </w:p>
    <w:p>
      <w:pPr>
        <w:ind w:left="2320" w:right="399" w:hanging="335"/>
        <w:spacing w:after="0" w:line="251" w:lineRule="auto"/>
        <w:tabs>
          <w:tab w:leader="none" w:pos="2320" w:val="left"/>
        </w:tabs>
        <w:numPr>
          <w:ilvl w:val="0"/>
          <w:numId w:val="69"/>
        </w:numPr>
        <w:rPr>
          <w:rFonts w:ascii="Arial" w:cs="Arial" w:eastAsia="Arial" w:hAnsi="Arial"/>
          <w:sz w:val="17"/>
          <w:szCs w:val="17"/>
          <w:color w:val="003551"/>
        </w:rPr>
      </w:pPr>
      <w:r>
        <w:rPr>
          <w:rFonts w:ascii="Arial" w:cs="Arial" w:eastAsia="Arial" w:hAnsi="Arial"/>
          <w:sz w:val="17"/>
          <w:szCs w:val="17"/>
          <w:color w:val="003551"/>
        </w:rPr>
        <w:t xml:space="preserve">in relation to a meeting for which the board (or any other person calling the meeting) has determined in accordance with the Corporations Act </w:t>
      </w:r>
      <w:r>
        <w:rPr>
          <w:rFonts w:ascii="Arial" w:cs="Arial" w:eastAsia="Arial" w:hAnsi="Arial"/>
          <w:sz w:val="17"/>
          <w:szCs w:val="17"/>
          <w:color w:val="FF0000"/>
        </w:rPr>
        <w:t>and</w:t>
      </w:r>
      <w:r>
        <w:rPr>
          <w:rFonts w:ascii="Arial" w:cs="Arial" w:eastAsia="Arial" w:hAnsi="Arial"/>
          <w:sz w:val="17"/>
          <w:szCs w:val="17"/>
          <w:u w:val="single" w:color="auto"/>
          <w:color w:val="0000FF"/>
        </w:rPr>
        <w:t>,</w:t>
      </w:r>
      <w:r>
        <w:rPr>
          <w:rFonts w:ascii="Arial" w:cs="Arial" w:eastAsia="Arial" w:hAnsi="Arial"/>
          <w:sz w:val="17"/>
          <w:szCs w:val="17"/>
          <w:color w:val="003551"/>
        </w:rPr>
        <w:t xml:space="preserve"> </w:t>
      </w:r>
      <w:r>
        <w:rPr>
          <w:rFonts w:ascii="Arial" w:cs="Arial" w:eastAsia="Arial" w:hAnsi="Arial"/>
          <w:sz w:val="17"/>
          <w:szCs w:val="17"/>
          <w:color w:val="000000"/>
        </w:rPr>
        <w:t>the Listing Rules</w:t>
      </w:r>
      <w:r>
        <w:rPr>
          <w:rFonts w:ascii="Arial" w:cs="Arial" w:eastAsia="Arial" w:hAnsi="Arial"/>
          <w:sz w:val="17"/>
          <w:szCs w:val="17"/>
          <w:color w:val="003551"/>
        </w:rPr>
        <w:t xml:space="preserve"> </w:t>
      </w:r>
      <w:r>
        <w:rPr>
          <w:rFonts w:ascii="Arial" w:cs="Arial" w:eastAsia="Arial" w:hAnsi="Arial"/>
          <w:sz w:val="17"/>
          <w:szCs w:val="17"/>
          <w:color w:val="0000FF"/>
        </w:rPr>
        <w:t>and the</w:t>
      </w:r>
      <w:r>
        <w:rPr>
          <w:rFonts w:ascii="Arial" w:cs="Arial" w:eastAsia="Arial" w:hAnsi="Arial"/>
          <w:sz w:val="17"/>
          <w:szCs w:val="17"/>
          <w:color w:val="003551"/>
        </w:rPr>
        <w:t xml:space="preserve"> </w:t>
      </w:r>
      <w:r>
        <w:rPr>
          <w:rFonts w:ascii="Arial" w:cs="Arial" w:eastAsia="Arial" w:hAnsi="Arial"/>
          <w:sz w:val="17"/>
          <w:szCs w:val="17"/>
          <w:u w:val="single" w:color="auto"/>
          <w:color w:val="0000FF"/>
        </w:rPr>
        <w:t>Securities Laws</w:t>
      </w:r>
      <w:r>
        <w:rPr>
          <w:rFonts w:ascii="Arial" w:cs="Arial" w:eastAsia="Arial" w:hAnsi="Arial"/>
          <w:sz w:val="17"/>
          <w:szCs w:val="17"/>
          <w:color w:val="0000FF"/>
        </w:rPr>
        <w:t xml:space="preserve"> </w:t>
      </w:r>
      <w:r>
        <w:rPr>
          <w:rFonts w:ascii="Arial" w:cs="Arial" w:eastAsia="Arial" w:hAnsi="Arial"/>
          <w:sz w:val="17"/>
          <w:szCs w:val="17"/>
          <w:color w:val="000000"/>
        </w:rPr>
        <w:t>that shares are taken to be held for the purposes of the meeting by the</w:t>
      </w:r>
      <w:r>
        <w:rPr>
          <w:rFonts w:ascii="Arial" w:cs="Arial" w:eastAsia="Arial" w:hAnsi="Arial"/>
          <w:sz w:val="17"/>
          <w:szCs w:val="17"/>
          <w:color w:val="0000FF"/>
        </w:rPr>
        <w:t xml:space="preserve"> </w:t>
      </w:r>
      <w:r>
        <w:rPr>
          <w:rFonts w:ascii="Arial" w:cs="Arial" w:eastAsia="Arial" w:hAnsi="Arial"/>
          <w:sz w:val="17"/>
          <w:szCs w:val="17"/>
          <w:color w:val="000000"/>
        </w:rPr>
        <w:t>persons registered as the holders of those shares as at a specified time before the meeting, that time; and</w:t>
      </w:r>
    </w:p>
    <w:p>
      <w:pPr>
        <w:spacing w:after="0" w:line="65" w:lineRule="exact"/>
        <w:rPr>
          <w:rFonts w:ascii="Arial" w:cs="Arial" w:eastAsia="Arial" w:hAnsi="Arial"/>
          <w:sz w:val="17"/>
          <w:szCs w:val="17"/>
          <w:color w:val="003551"/>
        </w:rPr>
      </w:pPr>
    </w:p>
    <w:p>
      <w:pPr>
        <w:ind w:left="2320" w:right="479" w:hanging="335"/>
        <w:spacing w:after="0" w:line="283" w:lineRule="auto"/>
        <w:tabs>
          <w:tab w:leader="none" w:pos="2320" w:val="left"/>
        </w:tabs>
        <w:numPr>
          <w:ilvl w:val="0"/>
          <w:numId w:val="69"/>
        </w:numPr>
        <w:rPr>
          <w:rFonts w:ascii="Arial" w:cs="Arial" w:eastAsia="Arial" w:hAnsi="Arial"/>
          <w:sz w:val="17"/>
          <w:szCs w:val="17"/>
          <w:color w:val="003551"/>
        </w:rPr>
      </w:pPr>
      <w:r>
        <w:rPr>
          <w:rFonts w:ascii="Arial" w:cs="Arial" w:eastAsia="Arial" w:hAnsi="Arial"/>
          <w:sz w:val="17"/>
          <w:szCs w:val="17"/>
          <w:color w:val="003551"/>
        </w:rPr>
        <w:t>in relation to any other meeting, the time determined by the chairperson of the meeting, and if no such determination is made, the time that is 48 hours prior to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4021455</wp:posOffset>
            </wp:positionH>
            <wp:positionV relativeFrom="paragraph">
              <wp:posOffset>-788670</wp:posOffset>
            </wp:positionV>
            <wp:extent cx="21590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15900" cy="8255"/>
                    </a:xfrm>
                    <a:prstGeom prst="rect">
                      <a:avLst/>
                    </a:prstGeom>
                    <a:noFill/>
                  </pic:spPr>
                </pic:pic>
              </a:graphicData>
            </a:graphic>
          </wp:anchor>
        </w:drawing>
        <w:drawing>
          <wp:anchor simplePos="0" relativeHeight="251657728" behindDoc="1" locked="0" layoutInCell="0" allowOverlap="1">
            <wp:simplePos x="0" y="0"/>
            <wp:positionH relativeFrom="column">
              <wp:posOffset>5120005</wp:posOffset>
            </wp:positionH>
            <wp:positionV relativeFrom="paragraph">
              <wp:posOffset>-721995</wp:posOffset>
            </wp:positionV>
            <wp:extent cx="39941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99415" cy="8255"/>
                    </a:xfrm>
                    <a:prstGeom prst="rect">
                      <a:avLst/>
                    </a:prstGeom>
                    <a:noFill/>
                  </pic:spPr>
                </pic:pic>
              </a:graphicData>
            </a:graphic>
          </wp:anchor>
        </w:drawing>
        <w:drawing>
          <wp:anchor simplePos="0" relativeHeight="251657728" behindDoc="1" locked="0" layoutInCell="0" allowOverlap="1">
            <wp:simplePos x="0" y="0"/>
            <wp:positionH relativeFrom="column">
              <wp:posOffset>5118100</wp:posOffset>
            </wp:positionH>
            <wp:positionV relativeFrom="paragraph">
              <wp:posOffset>-739140</wp:posOffset>
            </wp:positionV>
            <wp:extent cx="40068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400685" cy="8255"/>
                    </a:xfrm>
                    <a:prstGeom prst="rect">
                      <a:avLst/>
                    </a:prstGeom>
                    <a:noFill/>
                  </pic:spPr>
                </pic:pic>
              </a:graphicData>
            </a:graphic>
          </wp:anchor>
        </w:drawing>
      </w:r>
    </w:p>
    <w:p>
      <w:pPr>
        <w:spacing w:after="0" w:line="54" w:lineRule="exact"/>
        <w:rPr>
          <w:sz w:val="20"/>
          <w:szCs w:val="20"/>
          <w:color w:val="auto"/>
        </w:rPr>
      </w:pPr>
    </w:p>
    <w:p>
      <w:pPr>
        <w:ind w:left="1640"/>
        <w:spacing w:after="0"/>
        <w:rPr>
          <w:sz w:val="20"/>
          <w:szCs w:val="20"/>
          <w:color w:val="auto"/>
        </w:rPr>
      </w:pPr>
      <w:r>
        <w:rPr>
          <w:rFonts w:ascii="Arial" w:cs="Arial" w:eastAsia="Arial" w:hAnsi="Arial"/>
          <w:sz w:val="17"/>
          <w:szCs w:val="17"/>
          <w:b w:val="1"/>
          <w:bCs w:val="1"/>
          <w:color w:val="003551"/>
        </w:rPr>
        <w:t xml:space="preserve">Reference Rate </w:t>
      </w:r>
      <w:r>
        <w:rPr>
          <w:rFonts w:ascii="Arial" w:cs="Arial" w:eastAsia="Arial" w:hAnsi="Arial"/>
          <w:sz w:val="17"/>
          <w:szCs w:val="17"/>
          <w:color w:val="003551"/>
        </w:rPr>
        <w:t>means, in relation to any interest payable under the terms of this constitution:</w:t>
      </w:r>
    </w:p>
    <w:p>
      <w:pPr>
        <w:spacing w:after="0" w:line="108" w:lineRule="exact"/>
        <w:rPr>
          <w:sz w:val="20"/>
          <w:szCs w:val="20"/>
          <w:color w:val="auto"/>
        </w:rPr>
      </w:pPr>
    </w:p>
    <w:p>
      <w:pPr>
        <w:ind w:left="2320" w:right="499" w:hanging="335"/>
        <w:spacing w:after="0" w:line="283" w:lineRule="auto"/>
        <w:tabs>
          <w:tab w:leader="none" w:pos="2320" w:val="left"/>
        </w:tabs>
        <w:numPr>
          <w:ilvl w:val="0"/>
          <w:numId w:val="70"/>
        </w:numPr>
        <w:rPr>
          <w:rFonts w:ascii="Arial" w:cs="Arial" w:eastAsia="Arial" w:hAnsi="Arial"/>
          <w:sz w:val="17"/>
          <w:szCs w:val="17"/>
          <w:color w:val="003551"/>
        </w:rPr>
      </w:pPr>
      <w:r>
        <w:rPr>
          <w:rFonts w:ascii="Arial" w:cs="Arial" w:eastAsia="Arial" w:hAnsi="Arial"/>
          <w:sz w:val="17"/>
          <w:szCs w:val="17"/>
          <w:color w:val="003551"/>
        </w:rPr>
        <w:t>the average bid rate displayed on Reuters Screen BBSY for a 3 month term at or about 10.30am on the first date on which interest accrues; or</w:t>
      </w:r>
    </w:p>
    <w:p>
      <w:pPr>
        <w:spacing w:after="0" w:line="36" w:lineRule="exact"/>
        <w:rPr>
          <w:rFonts w:ascii="Arial" w:cs="Arial" w:eastAsia="Arial" w:hAnsi="Arial"/>
          <w:sz w:val="17"/>
          <w:szCs w:val="17"/>
          <w:color w:val="003551"/>
        </w:rPr>
      </w:pPr>
    </w:p>
    <w:p>
      <w:pPr>
        <w:ind w:left="2320" w:right="419" w:hanging="335"/>
        <w:spacing w:after="0" w:line="262" w:lineRule="auto"/>
        <w:tabs>
          <w:tab w:leader="none" w:pos="2320" w:val="left"/>
        </w:tabs>
        <w:numPr>
          <w:ilvl w:val="0"/>
          <w:numId w:val="70"/>
        </w:numPr>
        <w:rPr>
          <w:rFonts w:ascii="Arial" w:cs="Arial" w:eastAsia="Arial" w:hAnsi="Arial"/>
          <w:sz w:val="17"/>
          <w:szCs w:val="17"/>
          <w:color w:val="003551"/>
        </w:rPr>
      </w:pPr>
      <w:r>
        <w:rPr>
          <w:rFonts w:ascii="Arial" w:cs="Arial" w:eastAsia="Arial" w:hAnsi="Arial"/>
          <w:sz w:val="17"/>
          <w:szCs w:val="17"/>
          <w:color w:val="003551"/>
        </w:rPr>
        <w:t>if for any reason there are no such rates displayed at that time, the average of the buying rates quoted by 3 Australian banks selected by the directors for bills of exchange with a term equivalent to 3 months on the first date on which interest accrues;</w:t>
      </w:r>
    </w:p>
    <w:p>
      <w:pPr>
        <w:spacing w:after="0" w:line="52" w:lineRule="exact"/>
        <w:rPr>
          <w:sz w:val="20"/>
          <w:szCs w:val="20"/>
          <w:color w:val="auto"/>
        </w:rPr>
      </w:pPr>
    </w:p>
    <w:p>
      <w:pPr>
        <w:ind w:left="1640" w:right="599"/>
        <w:spacing w:after="0" w:line="286" w:lineRule="auto"/>
        <w:rPr>
          <w:sz w:val="20"/>
          <w:szCs w:val="20"/>
          <w:color w:val="auto"/>
        </w:rPr>
      </w:pPr>
      <w:r>
        <w:rPr>
          <w:rFonts w:ascii="Arial" w:cs="Arial" w:eastAsia="Arial" w:hAnsi="Arial"/>
          <w:sz w:val="17"/>
          <w:szCs w:val="17"/>
          <w:b w:val="1"/>
          <w:bCs w:val="1"/>
          <w:color w:val="003551"/>
        </w:rPr>
        <w:t xml:space="preserve">Register </w:t>
      </w:r>
      <w:r>
        <w:rPr>
          <w:rFonts w:ascii="Arial" w:cs="Arial" w:eastAsia="Arial" w:hAnsi="Arial"/>
          <w:sz w:val="17"/>
          <w:szCs w:val="17"/>
          <w:color w:val="003551"/>
        </w:rPr>
        <w:t>means the register of members of the company kept under the Corporations Act and,</w:t>
      </w:r>
      <w:r>
        <w:rPr>
          <w:rFonts w:ascii="Arial" w:cs="Arial" w:eastAsia="Arial" w:hAnsi="Arial"/>
          <w:sz w:val="17"/>
          <w:szCs w:val="17"/>
          <w:b w:val="1"/>
          <w:bCs w:val="1"/>
          <w:color w:val="003551"/>
        </w:rPr>
        <w:t xml:space="preserve"> </w:t>
      </w:r>
      <w:r>
        <w:rPr>
          <w:rFonts w:ascii="Arial" w:cs="Arial" w:eastAsia="Arial" w:hAnsi="Arial"/>
          <w:sz w:val="17"/>
          <w:szCs w:val="17"/>
          <w:color w:val="003551"/>
        </w:rPr>
        <w:t>where applicable, includes any branch register;</w:t>
      </w:r>
    </w:p>
    <w:p>
      <w:pPr>
        <w:spacing w:after="0" w:line="32" w:lineRule="exact"/>
        <w:rPr>
          <w:sz w:val="20"/>
          <w:szCs w:val="20"/>
          <w:color w:val="auto"/>
        </w:rPr>
      </w:pPr>
    </w:p>
    <w:p>
      <w:pPr>
        <w:ind w:left="1640" w:right="699"/>
        <w:spacing w:after="0" w:line="263" w:lineRule="auto"/>
        <w:rPr>
          <w:sz w:val="20"/>
          <w:szCs w:val="20"/>
          <w:color w:val="auto"/>
        </w:rPr>
      </w:pPr>
      <w:r>
        <w:rPr>
          <w:rFonts w:ascii="Arial" w:cs="Arial" w:eastAsia="Arial" w:hAnsi="Arial"/>
          <w:sz w:val="17"/>
          <w:szCs w:val="17"/>
          <w:b w:val="1"/>
          <w:bCs w:val="1"/>
          <w:color w:val="003551"/>
        </w:rPr>
        <w:t xml:space="preserve">secretary </w:t>
      </w:r>
      <w:r>
        <w:rPr>
          <w:rFonts w:ascii="Arial" w:cs="Arial" w:eastAsia="Arial" w:hAnsi="Arial"/>
          <w:sz w:val="17"/>
          <w:szCs w:val="17"/>
          <w:color w:val="003551"/>
        </w:rPr>
        <w:t>means any person appointed by the directors to perform any of the duties of a</w:t>
      </w:r>
      <w:r>
        <w:rPr>
          <w:rFonts w:ascii="Arial" w:cs="Arial" w:eastAsia="Arial" w:hAnsi="Arial"/>
          <w:sz w:val="17"/>
          <w:szCs w:val="17"/>
          <w:b w:val="1"/>
          <w:bCs w:val="1"/>
          <w:color w:val="003551"/>
        </w:rPr>
        <w:t xml:space="preserve"> </w:t>
      </w:r>
      <w:r>
        <w:rPr>
          <w:rFonts w:ascii="Arial" w:cs="Arial" w:eastAsia="Arial" w:hAnsi="Arial"/>
          <w:sz w:val="17"/>
          <w:szCs w:val="17"/>
          <w:color w:val="003551"/>
        </w:rPr>
        <w:t>secretary of the company and, if more than one person is appointed, any one or more of such persons;</w:t>
      </w:r>
    </w:p>
    <w:p>
      <w:pPr>
        <w:spacing w:after="0" w:line="52" w:lineRule="exact"/>
        <w:rPr>
          <w:sz w:val="20"/>
          <w:szCs w:val="20"/>
          <w:color w:val="auto"/>
        </w:rPr>
      </w:pPr>
    </w:p>
    <w:p>
      <w:pPr>
        <w:ind w:left="1640" w:right="1199"/>
        <w:spacing w:after="0" w:line="286" w:lineRule="auto"/>
        <w:rPr>
          <w:sz w:val="20"/>
          <w:szCs w:val="20"/>
          <w:color w:val="auto"/>
        </w:rPr>
      </w:pPr>
      <w:r>
        <w:rPr>
          <w:rFonts w:ascii="Arial" w:cs="Arial" w:eastAsia="Arial" w:hAnsi="Arial"/>
          <w:sz w:val="17"/>
          <w:szCs w:val="17"/>
          <w:b w:val="1"/>
          <w:bCs w:val="1"/>
          <w:u w:val="single" w:color="auto"/>
          <w:color w:val="0000FF"/>
        </w:rPr>
        <w:t xml:space="preserve">Securities Act </w:t>
      </w:r>
      <w:r>
        <w:rPr>
          <w:rFonts w:ascii="Arial" w:cs="Arial" w:eastAsia="Arial" w:hAnsi="Arial"/>
          <w:sz w:val="17"/>
          <w:szCs w:val="17"/>
          <w:u w:val="single" w:color="auto"/>
          <w:color w:val="0000FF"/>
        </w:rPr>
        <w:t>means the U.S. Securities Act of 1933, as amended, and any rules and</w:t>
      </w:r>
      <w:r>
        <w:rPr>
          <w:rFonts w:ascii="Arial" w:cs="Arial" w:eastAsia="Arial" w:hAnsi="Arial"/>
          <w:sz w:val="17"/>
          <w:szCs w:val="17"/>
          <w:b w:val="1"/>
          <w:bCs w:val="1"/>
          <w:u w:val="single" w:color="auto"/>
          <w:color w:val="0000FF"/>
        </w:rPr>
        <w:t xml:space="preserve"> </w:t>
      </w:r>
      <w:r>
        <w:rPr>
          <w:rFonts w:ascii="Arial" w:cs="Arial" w:eastAsia="Arial" w:hAnsi="Arial"/>
          <w:sz w:val="17"/>
          <w:szCs w:val="17"/>
          <w:u w:val="single" w:color="auto"/>
          <w:color w:val="0000FF"/>
        </w:rPr>
        <w:t>regulations promulgated thereunder;</w:t>
      </w:r>
    </w:p>
    <w:p>
      <w:pPr>
        <w:spacing w:after="0" w:line="32" w:lineRule="exact"/>
        <w:rPr>
          <w:sz w:val="20"/>
          <w:szCs w:val="20"/>
          <w:color w:val="auto"/>
        </w:rPr>
      </w:pPr>
    </w:p>
    <w:p>
      <w:pPr>
        <w:ind w:left="1640" w:right="539"/>
        <w:spacing w:after="0" w:line="286" w:lineRule="auto"/>
        <w:rPr>
          <w:sz w:val="20"/>
          <w:szCs w:val="20"/>
          <w:color w:val="auto"/>
        </w:rPr>
      </w:pPr>
      <w:r>
        <w:rPr>
          <w:rFonts w:ascii="Arial" w:cs="Arial" w:eastAsia="Arial" w:hAnsi="Arial"/>
          <w:sz w:val="17"/>
          <w:szCs w:val="17"/>
          <w:b w:val="1"/>
          <w:bCs w:val="1"/>
          <w:u w:val="single" w:color="auto"/>
          <w:color w:val="0000FF"/>
        </w:rPr>
        <w:t xml:space="preserve">Securities Laws </w:t>
      </w:r>
      <w:r>
        <w:rPr>
          <w:rFonts w:ascii="Arial" w:cs="Arial" w:eastAsia="Arial" w:hAnsi="Arial"/>
          <w:sz w:val="17"/>
          <w:szCs w:val="17"/>
          <w:u w:val="single" w:color="auto"/>
          <w:color w:val="0000FF"/>
        </w:rPr>
        <w:t>means the securities laws under Securities Act and the Exchange Act, as well</w:t>
      </w:r>
      <w:r>
        <w:rPr>
          <w:rFonts w:ascii="Arial" w:cs="Arial" w:eastAsia="Arial" w:hAnsi="Arial"/>
          <w:sz w:val="17"/>
          <w:szCs w:val="17"/>
          <w:b w:val="1"/>
          <w:bCs w:val="1"/>
          <w:u w:val="single" w:color="auto"/>
          <w:color w:val="0000FF"/>
        </w:rPr>
        <w:t xml:space="preserve"> </w:t>
      </w:r>
      <w:r>
        <w:rPr>
          <w:rFonts w:ascii="Arial" w:cs="Arial" w:eastAsia="Arial" w:hAnsi="Arial"/>
          <w:sz w:val="17"/>
          <w:szCs w:val="17"/>
          <w:u w:val="single" w:color="auto"/>
          <w:color w:val="0000FF"/>
        </w:rPr>
        <w:t>as the rules and regulations promulgated thereunder;</w:t>
      </w:r>
    </w:p>
    <w:p>
      <w:pPr>
        <w:spacing w:after="0" w:line="84" w:lineRule="exact"/>
        <w:rPr>
          <w:sz w:val="20"/>
          <w:szCs w:val="20"/>
          <w:color w:val="auto"/>
        </w:rPr>
      </w:pPr>
    </w:p>
    <w:p>
      <w:pPr>
        <w:ind w:left="1640" w:right="979"/>
        <w:spacing w:after="0" w:line="286" w:lineRule="auto"/>
        <w:rPr>
          <w:sz w:val="20"/>
          <w:szCs w:val="20"/>
          <w:color w:val="auto"/>
        </w:rPr>
      </w:pPr>
      <w:r>
        <w:rPr>
          <w:rFonts w:ascii="Arial" w:cs="Arial" w:eastAsia="Arial" w:hAnsi="Arial"/>
          <w:sz w:val="17"/>
          <w:szCs w:val="17"/>
          <w:b w:val="1"/>
          <w:bCs w:val="1"/>
          <w:color w:val="003551"/>
        </w:rPr>
        <w:t xml:space="preserve">share </w:t>
      </w:r>
      <w:r>
        <w:rPr>
          <w:rFonts w:ascii="Arial" w:cs="Arial" w:eastAsia="Arial" w:hAnsi="Arial"/>
          <w:sz w:val="17"/>
          <w:szCs w:val="17"/>
          <w:color w:val="003551"/>
        </w:rPr>
        <w:t>means a share in the capital of the company, including ordinary shares and B class</w:t>
      </w:r>
      <w:r>
        <w:rPr>
          <w:rFonts w:ascii="Arial" w:cs="Arial" w:eastAsia="Arial" w:hAnsi="Arial"/>
          <w:sz w:val="17"/>
          <w:szCs w:val="17"/>
          <w:b w:val="1"/>
          <w:bCs w:val="1"/>
          <w:color w:val="003551"/>
        </w:rPr>
        <w:t xml:space="preserve"> </w:t>
      </w:r>
      <w:r>
        <w:rPr>
          <w:rFonts w:ascii="Arial" w:cs="Arial" w:eastAsia="Arial" w:hAnsi="Arial"/>
          <w:sz w:val="17"/>
          <w:szCs w:val="17"/>
          <w:color w:val="003551"/>
        </w:rPr>
        <w:t>shares;</w:t>
      </w:r>
    </w:p>
    <w:p>
      <w:pPr>
        <w:spacing w:after="0" w:line="32" w:lineRule="exact"/>
        <w:rPr>
          <w:sz w:val="20"/>
          <w:szCs w:val="20"/>
          <w:color w:val="auto"/>
        </w:rPr>
      </w:pPr>
    </w:p>
    <w:p>
      <w:pPr>
        <w:ind w:left="1640" w:right="799"/>
        <w:spacing w:after="0" w:line="286" w:lineRule="auto"/>
        <w:rPr>
          <w:sz w:val="20"/>
          <w:szCs w:val="20"/>
          <w:color w:val="auto"/>
        </w:rPr>
      </w:pPr>
      <w:r>
        <w:rPr>
          <w:rFonts w:ascii="Arial" w:cs="Arial" w:eastAsia="Arial" w:hAnsi="Arial"/>
          <w:sz w:val="17"/>
          <w:szCs w:val="17"/>
          <w:b w:val="1"/>
          <w:bCs w:val="1"/>
          <w:color w:val="FF0000"/>
          <w:strike w:val="1"/>
        </w:rPr>
        <w:t xml:space="preserve">Shareholders ‘Agreement </w:t>
      </w:r>
      <w:r>
        <w:rPr>
          <w:rFonts w:ascii="Arial" w:cs="Arial" w:eastAsia="Arial" w:hAnsi="Arial"/>
          <w:sz w:val="17"/>
          <w:szCs w:val="17"/>
          <w:color w:val="FF0000"/>
          <w:strike w:val="1"/>
        </w:rPr>
        <w:t>means the Shareholders’ Agreement in relation to the company,</w:t>
      </w:r>
      <w:r>
        <w:rPr>
          <w:rFonts w:ascii="Arial" w:cs="Arial" w:eastAsia="Arial" w:hAnsi="Arial"/>
          <w:sz w:val="17"/>
          <w:szCs w:val="17"/>
          <w:b w:val="1"/>
          <w:bCs w:val="1"/>
          <w:color w:val="FF0000"/>
          <w:strike w:val="1"/>
        </w:rPr>
        <w:t xml:space="preserve"> </w:t>
      </w:r>
      <w:r>
        <w:rPr>
          <w:rFonts w:ascii="Arial" w:cs="Arial" w:eastAsia="Arial" w:hAnsi="Arial"/>
          <w:sz w:val="17"/>
          <w:szCs w:val="17"/>
          <w:color w:val="FF0000"/>
          <w:strike w:val="1"/>
        </w:rPr>
        <w:t>dated 19 December 2019 and as amended from time to time;</w:t>
      </w:r>
    </w:p>
    <w:p>
      <w:pPr>
        <w:spacing w:after="0" w:line="71" w:lineRule="exact"/>
        <w:rPr>
          <w:sz w:val="20"/>
          <w:szCs w:val="20"/>
          <w:color w:val="auto"/>
        </w:rPr>
      </w:pPr>
    </w:p>
    <w:p>
      <w:pPr>
        <w:ind w:left="1640"/>
        <w:spacing w:after="0"/>
        <w:rPr>
          <w:sz w:val="20"/>
          <w:szCs w:val="20"/>
          <w:color w:val="auto"/>
        </w:rPr>
      </w:pPr>
      <w:r>
        <w:rPr>
          <w:rFonts w:ascii="Arial" w:cs="Arial" w:eastAsia="Arial" w:hAnsi="Arial"/>
          <w:sz w:val="17"/>
          <w:szCs w:val="17"/>
          <w:b w:val="1"/>
          <w:bCs w:val="1"/>
          <w:color w:val="003551"/>
        </w:rPr>
        <w:t xml:space="preserve">Transmission Event </w:t>
      </w:r>
      <w:r>
        <w:rPr>
          <w:rFonts w:ascii="Arial" w:cs="Arial" w:eastAsia="Arial" w:hAnsi="Arial"/>
          <w:sz w:val="17"/>
          <w:szCs w:val="17"/>
          <w:color w:val="003551"/>
        </w:rPr>
        <w:t>has the meaning given in</w:t>
      </w:r>
      <w:r>
        <w:rPr>
          <w:rFonts w:ascii="Arial" w:cs="Arial" w:eastAsia="Arial" w:hAnsi="Arial"/>
          <w:sz w:val="17"/>
          <w:szCs w:val="17"/>
          <w:b w:val="1"/>
          <w:bCs w:val="1"/>
          <w:color w:val="003551"/>
        </w:rPr>
        <w:t xml:space="preserve"> </w:t>
      </w:r>
      <w:r>
        <w:rPr>
          <w:rFonts w:ascii="Arial" w:cs="Arial" w:eastAsia="Arial" w:hAnsi="Arial"/>
          <w:sz w:val="17"/>
          <w:szCs w:val="17"/>
          <w:u w:val="single" w:color="auto"/>
          <w:color w:val="003551"/>
        </w:rPr>
        <w:t>rule</w:t>
      </w:r>
      <w:r>
        <w:rPr>
          <w:rFonts w:ascii="Arial" w:cs="Arial" w:eastAsia="Arial" w:hAnsi="Arial"/>
          <w:sz w:val="17"/>
          <w:szCs w:val="17"/>
          <w:b w:val="1"/>
          <w:bCs w:val="1"/>
          <w:color w:val="003551"/>
        </w:rPr>
        <w:t xml:space="preserve"> </w:t>
      </w:r>
      <w:r>
        <w:rPr>
          <w:rFonts w:ascii="Arial" w:cs="Arial" w:eastAsia="Arial" w:hAnsi="Arial"/>
          <w:sz w:val="17"/>
          <w:szCs w:val="17"/>
          <w:color w:val="003551"/>
        </w:rPr>
        <w:t>14.4; and</w:t>
      </w:r>
    </w:p>
    <w:p>
      <w:pPr>
        <w:spacing w:after="0" w:line="145" w:lineRule="exact"/>
        <w:rPr>
          <w:sz w:val="20"/>
          <w:szCs w:val="20"/>
          <w:color w:val="auto"/>
        </w:rPr>
      </w:pPr>
    </w:p>
    <w:p>
      <w:pPr>
        <w:ind w:left="1640"/>
        <w:spacing w:after="0"/>
        <w:rPr>
          <w:sz w:val="20"/>
          <w:szCs w:val="20"/>
          <w:color w:val="auto"/>
        </w:rPr>
      </w:pPr>
      <w:r>
        <w:rPr>
          <w:rFonts w:ascii="Arial" w:cs="Arial" w:eastAsia="Arial" w:hAnsi="Arial"/>
          <w:sz w:val="17"/>
          <w:szCs w:val="17"/>
          <w:b w:val="1"/>
          <w:bCs w:val="1"/>
          <w:color w:val="003551"/>
        </w:rPr>
        <w:t xml:space="preserve">URL </w:t>
      </w:r>
      <w:r>
        <w:rPr>
          <w:rFonts w:ascii="Arial" w:cs="Arial" w:eastAsia="Arial" w:hAnsi="Arial"/>
          <w:sz w:val="17"/>
          <w:szCs w:val="17"/>
          <w:color w:val="003551"/>
        </w:rPr>
        <w:t>means the address that specifies where a particular file is available on the world wide web.</w:t>
      </w:r>
    </w:p>
    <w:p>
      <w:pPr>
        <w:spacing w:after="0" w:line="145"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1.2</w:t>
      </w:r>
      <w:r>
        <w:rPr>
          <w:sz w:val="20"/>
          <w:szCs w:val="20"/>
          <w:color w:val="auto"/>
        </w:rPr>
        <w:tab/>
      </w:r>
      <w:r>
        <w:rPr>
          <w:rFonts w:ascii="Arial" w:cs="Arial" w:eastAsia="Arial" w:hAnsi="Arial"/>
          <w:sz w:val="17"/>
          <w:szCs w:val="17"/>
          <w:b w:val="1"/>
          <w:bCs w:val="1"/>
          <w:color w:val="003551"/>
        </w:rPr>
        <w:t>Replaceable rules do not apply</w:t>
      </w:r>
    </w:p>
    <w:p>
      <w:pPr>
        <w:spacing w:after="0" w:line="108" w:lineRule="exact"/>
        <w:rPr>
          <w:sz w:val="20"/>
          <w:szCs w:val="20"/>
          <w:color w:val="auto"/>
        </w:rPr>
      </w:pPr>
    </w:p>
    <w:p>
      <w:pPr>
        <w:ind w:left="1640" w:right="439"/>
        <w:spacing w:after="0" w:line="283" w:lineRule="auto"/>
        <w:rPr>
          <w:sz w:val="20"/>
          <w:szCs w:val="20"/>
          <w:color w:val="auto"/>
        </w:rPr>
      </w:pPr>
      <w:r>
        <w:rPr>
          <w:rFonts w:ascii="Arial" w:cs="Arial" w:eastAsia="Arial" w:hAnsi="Arial"/>
          <w:sz w:val="17"/>
          <w:szCs w:val="17"/>
          <w:color w:val="003551"/>
        </w:rPr>
        <w:t>The replaceable rules contained in the Corporations Act are displaced by this constitution and do not apply to the company, except to the extent they are repeated in this constitution.</w:t>
      </w:r>
    </w:p>
    <w:p>
      <w:pPr>
        <w:spacing w:after="0" w:line="35"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1.3</w:t>
      </w:r>
      <w:r>
        <w:rPr>
          <w:sz w:val="20"/>
          <w:szCs w:val="20"/>
          <w:color w:val="auto"/>
        </w:rPr>
        <w:tab/>
      </w:r>
      <w:r>
        <w:rPr>
          <w:rFonts w:ascii="Arial" w:cs="Arial" w:eastAsia="Arial" w:hAnsi="Arial"/>
          <w:sz w:val="17"/>
          <w:szCs w:val="17"/>
          <w:b w:val="1"/>
          <w:bCs w:val="1"/>
          <w:color w:val="003551"/>
        </w:rPr>
        <w:t xml:space="preserve">References to expressions used in Corporations Act </w:t>
      </w:r>
      <w:r>
        <w:rPr>
          <w:rFonts w:ascii="Arial" w:cs="Arial" w:eastAsia="Arial" w:hAnsi="Arial"/>
          <w:sz w:val="17"/>
          <w:szCs w:val="17"/>
          <w:b w:val="1"/>
          <w:bCs w:val="1"/>
          <w:color w:val="FF0000"/>
        </w:rPr>
        <w:t>or</w:t>
      </w:r>
      <w:r>
        <w:rPr>
          <w:rFonts w:ascii="Arial" w:cs="Arial" w:eastAsia="Arial" w:hAnsi="Arial"/>
          <w:sz w:val="17"/>
          <w:szCs w:val="17"/>
          <w:b w:val="1"/>
          <w:bCs w:val="1"/>
          <w:u w:val="single" w:color="auto"/>
          <w:color w:val="0000FF"/>
        </w:rPr>
        <w:t>,</w:t>
      </w:r>
      <w:r>
        <w:rPr>
          <w:rFonts w:ascii="Arial" w:cs="Arial" w:eastAsia="Arial" w:hAnsi="Arial"/>
          <w:sz w:val="17"/>
          <w:szCs w:val="17"/>
          <w:b w:val="1"/>
          <w:bCs w:val="1"/>
          <w:color w:val="003551"/>
        </w:rPr>
        <w:t xml:space="preserve"> </w:t>
      </w:r>
      <w:r>
        <w:rPr>
          <w:rFonts w:ascii="Arial" w:cs="Arial" w:eastAsia="Arial" w:hAnsi="Arial"/>
          <w:sz w:val="17"/>
          <w:szCs w:val="17"/>
          <w:b w:val="1"/>
          <w:bCs w:val="1"/>
          <w:color w:val="000000"/>
        </w:rPr>
        <w:t>Listing Rules</w:t>
      </w:r>
      <w:r>
        <w:rPr>
          <w:rFonts w:ascii="Arial" w:cs="Arial" w:eastAsia="Arial" w:hAnsi="Arial"/>
          <w:sz w:val="17"/>
          <w:szCs w:val="17"/>
          <w:b w:val="1"/>
          <w:bCs w:val="1"/>
          <w:color w:val="003551"/>
        </w:rPr>
        <w:t xml:space="preserve"> </w:t>
      </w:r>
      <w:r>
        <w:rPr>
          <w:rFonts w:ascii="Arial" w:cs="Arial" w:eastAsia="Arial" w:hAnsi="Arial"/>
          <w:sz w:val="17"/>
          <w:szCs w:val="17"/>
          <w:b w:val="1"/>
          <w:bCs w:val="1"/>
          <w:color w:val="0000FF"/>
        </w:rPr>
        <w:t>or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3801745</wp:posOffset>
            </wp:positionH>
            <wp:positionV relativeFrom="paragraph">
              <wp:posOffset>-53340</wp:posOffset>
            </wp:positionV>
            <wp:extent cx="14160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41605" cy="8255"/>
                    </a:xfrm>
                    <a:prstGeom prst="rect">
                      <a:avLst/>
                    </a:prstGeom>
                    <a:noFill/>
                  </pic:spPr>
                </pic:pic>
              </a:graphicData>
            </a:graphic>
          </wp:anchor>
        </w:drawing>
        <w:drawing>
          <wp:anchor simplePos="0" relativeHeight="251657728" behindDoc="1" locked="0" layoutInCell="0" allowOverlap="1">
            <wp:simplePos x="0" y="0"/>
            <wp:positionH relativeFrom="column">
              <wp:posOffset>4704080</wp:posOffset>
            </wp:positionH>
            <wp:positionV relativeFrom="paragraph">
              <wp:posOffset>12700</wp:posOffset>
            </wp:positionV>
            <wp:extent cx="100647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006475" cy="8255"/>
                    </a:xfrm>
                    <a:prstGeom prst="rect">
                      <a:avLst/>
                    </a:prstGeom>
                    <a:noFill/>
                  </pic:spPr>
                </pic:pic>
              </a:graphicData>
            </a:graphic>
          </wp:anchor>
        </w:drawing>
        <w:drawing>
          <wp:anchor simplePos="0" relativeHeight="251657728" behindDoc="1" locked="0" layoutInCell="0" allowOverlap="1">
            <wp:simplePos x="0" y="0"/>
            <wp:positionH relativeFrom="column">
              <wp:posOffset>4700905</wp:posOffset>
            </wp:positionH>
            <wp:positionV relativeFrom="paragraph">
              <wp:posOffset>-3175</wp:posOffset>
            </wp:positionV>
            <wp:extent cx="101028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010285" cy="8255"/>
                    </a:xfrm>
                    <a:prstGeom prst="rect">
                      <a:avLst/>
                    </a:prstGeom>
                    <a:noFill/>
                  </pic:spPr>
                </pic:pic>
              </a:graphicData>
            </a:graphic>
          </wp:anchor>
        </w:drawing>
      </w:r>
    </w:p>
    <w:p>
      <w:pPr>
        <w:spacing w:after="0" w:line="88" w:lineRule="exact"/>
        <w:rPr>
          <w:sz w:val="20"/>
          <w:szCs w:val="20"/>
          <w:color w:val="auto"/>
        </w:rPr>
      </w:pPr>
    </w:p>
    <w:p>
      <w:pPr>
        <w:ind w:left="1640" w:right="459"/>
        <w:spacing w:after="0" w:line="255" w:lineRule="auto"/>
        <w:rPr>
          <w:sz w:val="20"/>
          <w:szCs w:val="20"/>
          <w:color w:val="auto"/>
        </w:rPr>
      </w:pPr>
      <w:r>
        <w:rPr>
          <w:rFonts w:ascii="Arial" w:cs="Arial" w:eastAsia="Arial" w:hAnsi="Arial"/>
          <w:sz w:val="17"/>
          <w:szCs w:val="17"/>
          <w:color w:val="003551"/>
        </w:rPr>
        <w:t xml:space="preserve">In this constitution, unless the contrary intention appears, any expression used in a rule that deals with the same subject matter as a provision of the Corporations Act </w:t>
      </w:r>
      <w:r>
        <w:rPr>
          <w:rFonts w:ascii="Arial" w:cs="Arial" w:eastAsia="Arial" w:hAnsi="Arial"/>
          <w:sz w:val="17"/>
          <w:szCs w:val="17"/>
          <w:color w:val="FF0000"/>
        </w:rPr>
        <w:t>or</w:t>
      </w:r>
      <w:r>
        <w:rPr>
          <w:rFonts w:ascii="Arial" w:cs="Arial" w:eastAsia="Arial" w:hAnsi="Arial"/>
          <w:sz w:val="17"/>
          <w:szCs w:val="17"/>
          <w:u w:val="single" w:color="auto"/>
          <w:color w:val="0000FF"/>
        </w:rPr>
        <w:t>,</w:t>
      </w:r>
      <w:r>
        <w:rPr>
          <w:rFonts w:ascii="Arial" w:cs="Arial" w:eastAsia="Arial" w:hAnsi="Arial"/>
          <w:sz w:val="17"/>
          <w:szCs w:val="17"/>
          <w:color w:val="003551"/>
        </w:rPr>
        <w:t xml:space="preserve"> </w:t>
      </w:r>
      <w:r>
        <w:rPr>
          <w:rFonts w:ascii="Arial" w:cs="Arial" w:eastAsia="Arial" w:hAnsi="Arial"/>
          <w:sz w:val="17"/>
          <w:szCs w:val="17"/>
          <w:color w:val="000000"/>
        </w:rPr>
        <w:t>the Listing Rules</w:t>
      </w:r>
      <w:r>
        <w:rPr>
          <w:rFonts w:ascii="Arial" w:cs="Arial" w:eastAsia="Arial" w:hAnsi="Arial"/>
          <w:sz w:val="17"/>
          <w:szCs w:val="17"/>
          <w:color w:val="003551"/>
        </w:rPr>
        <w:t xml:space="preserve"> </w:t>
      </w:r>
      <w:r>
        <w:rPr>
          <w:rFonts w:ascii="Arial" w:cs="Arial" w:eastAsia="Arial" w:hAnsi="Arial"/>
          <w:sz w:val="17"/>
          <w:szCs w:val="17"/>
          <w:color w:val="0000FF"/>
        </w:rPr>
        <w:t>or</w:t>
      </w:r>
      <w:r>
        <w:rPr>
          <w:rFonts w:ascii="Arial" w:cs="Arial" w:eastAsia="Arial" w:hAnsi="Arial"/>
          <w:sz w:val="17"/>
          <w:szCs w:val="17"/>
          <w:color w:val="003551"/>
        </w:rPr>
        <w:t xml:space="preserve"> </w:t>
      </w:r>
      <w:r>
        <w:rPr>
          <w:rFonts w:ascii="Arial" w:cs="Arial" w:eastAsia="Arial" w:hAnsi="Arial"/>
          <w:sz w:val="17"/>
          <w:szCs w:val="17"/>
          <w:u w:val="single" w:color="auto"/>
          <w:color w:val="0000FF"/>
        </w:rPr>
        <w:t>the Securities Laws</w:t>
      </w:r>
      <w:r>
        <w:rPr>
          <w:rFonts w:ascii="Arial" w:cs="Arial" w:eastAsia="Arial" w:hAnsi="Arial"/>
          <w:sz w:val="17"/>
          <w:szCs w:val="17"/>
          <w:color w:val="0000FF"/>
        </w:rPr>
        <w:t xml:space="preserve"> </w:t>
      </w:r>
      <w:r>
        <w:rPr>
          <w:rFonts w:ascii="Arial" w:cs="Arial" w:eastAsia="Arial" w:hAnsi="Arial"/>
          <w:sz w:val="17"/>
          <w:szCs w:val="17"/>
          <w:color w:val="000000"/>
        </w:rPr>
        <w:t>has the same meaning in that rule as the meaning that applies for the</w:t>
      </w:r>
      <w:r>
        <w:rPr>
          <w:rFonts w:ascii="Arial" w:cs="Arial" w:eastAsia="Arial" w:hAnsi="Arial"/>
          <w:sz w:val="17"/>
          <w:szCs w:val="17"/>
          <w:color w:val="0000FF"/>
        </w:rPr>
        <w:t xml:space="preserve"> </w:t>
      </w:r>
      <w:r>
        <w:rPr>
          <w:rFonts w:ascii="Arial" w:cs="Arial" w:eastAsia="Arial" w:hAnsi="Arial"/>
          <w:sz w:val="17"/>
          <w:szCs w:val="17"/>
          <w:color w:val="000000"/>
        </w:rPr>
        <w:t xml:space="preserve">purposes of that provision of the Corporations Act </w:t>
      </w:r>
      <w:r>
        <w:rPr>
          <w:rFonts w:ascii="Arial" w:cs="Arial" w:eastAsia="Arial" w:hAnsi="Arial"/>
          <w:sz w:val="17"/>
          <w:szCs w:val="17"/>
          <w:color w:val="FF0000"/>
        </w:rPr>
        <w:t>or</w:t>
      </w:r>
      <w:r>
        <w:rPr>
          <w:rFonts w:ascii="Arial" w:cs="Arial" w:eastAsia="Arial" w:hAnsi="Arial"/>
          <w:sz w:val="17"/>
          <w:szCs w:val="17"/>
          <w:u w:val="single" w:color="auto"/>
          <w:color w:val="0000FF"/>
        </w:rPr>
        <w:t>,</w:t>
      </w:r>
      <w:r>
        <w:rPr>
          <w:rFonts w:ascii="Arial" w:cs="Arial" w:eastAsia="Arial" w:hAnsi="Arial"/>
          <w:sz w:val="17"/>
          <w:szCs w:val="17"/>
          <w:color w:val="000000"/>
        </w:rPr>
        <w:t xml:space="preserve"> the Listing Rules </w:t>
      </w:r>
      <w:r>
        <w:rPr>
          <w:rFonts w:ascii="Arial" w:cs="Arial" w:eastAsia="Arial" w:hAnsi="Arial"/>
          <w:sz w:val="17"/>
          <w:szCs w:val="17"/>
          <w:color w:val="0000FF"/>
        </w:rPr>
        <w:t>or the Securities Laws</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4624705</wp:posOffset>
            </wp:positionH>
            <wp:positionV relativeFrom="paragraph">
              <wp:posOffset>-333375</wp:posOffset>
            </wp:positionV>
            <wp:extent cx="12954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9540" cy="8255"/>
                    </a:xfrm>
                    <a:prstGeom prst="rect">
                      <a:avLst/>
                    </a:prstGeom>
                    <a:noFill/>
                  </pic:spPr>
                </pic:pic>
              </a:graphicData>
            </a:graphic>
          </wp:anchor>
        </w:drawing>
        <w:drawing>
          <wp:anchor simplePos="0" relativeHeight="251657728" behindDoc="1" locked="0" layoutInCell="0" allowOverlap="1">
            <wp:simplePos x="0" y="0"/>
            <wp:positionH relativeFrom="column">
              <wp:posOffset>5635625</wp:posOffset>
            </wp:positionH>
            <wp:positionV relativeFrom="paragraph">
              <wp:posOffset>-266700</wp:posOffset>
            </wp:positionV>
            <wp:extent cx="12446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4460" cy="8255"/>
                    </a:xfrm>
                    <a:prstGeom prst="rect">
                      <a:avLst/>
                    </a:prstGeom>
                    <a:noFill/>
                  </pic:spPr>
                </pic:pic>
              </a:graphicData>
            </a:graphic>
          </wp:anchor>
        </w:drawing>
        <w:drawing>
          <wp:anchor simplePos="0" relativeHeight="251657728" behindDoc="1" locked="0" layoutInCell="0" allowOverlap="1">
            <wp:simplePos x="0" y="0"/>
            <wp:positionH relativeFrom="column">
              <wp:posOffset>5634990</wp:posOffset>
            </wp:positionH>
            <wp:positionV relativeFrom="paragraph">
              <wp:posOffset>-283210</wp:posOffset>
            </wp:positionV>
            <wp:extent cx="12954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9540" cy="8255"/>
                    </a:xfrm>
                    <a:prstGeom prst="rect">
                      <a:avLst/>
                    </a:prstGeom>
                    <a:noFill/>
                  </pic:spPr>
                </pic:pic>
              </a:graphicData>
            </a:graphic>
          </wp:anchor>
        </w:drawing>
        <w:drawing>
          <wp:anchor simplePos="0" relativeHeight="251657728" behindDoc="1" locked="0" layoutInCell="0" allowOverlap="1">
            <wp:simplePos x="0" y="0"/>
            <wp:positionH relativeFrom="column">
              <wp:posOffset>3472815</wp:posOffset>
            </wp:positionH>
            <wp:positionV relativeFrom="paragraph">
              <wp:posOffset>-83820</wp:posOffset>
            </wp:positionV>
            <wp:extent cx="12954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9540" cy="8255"/>
                    </a:xfrm>
                    <a:prstGeom prst="rect">
                      <a:avLst/>
                    </a:prstGeom>
                    <a:noFill/>
                  </pic:spPr>
                </pic:pic>
              </a:graphicData>
            </a:graphic>
          </wp:anchor>
        </w:drawing>
        <w:drawing>
          <wp:anchor simplePos="0" relativeHeight="251657728" behindDoc="1" locked="0" layoutInCell="0" allowOverlap="1">
            <wp:simplePos x="0" y="0"/>
            <wp:positionH relativeFrom="column">
              <wp:posOffset>4479290</wp:posOffset>
            </wp:positionH>
            <wp:positionV relativeFrom="paragraph">
              <wp:posOffset>-17145</wp:posOffset>
            </wp:positionV>
            <wp:extent cx="11226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122680" cy="825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-33655</wp:posOffset>
            </wp:positionV>
            <wp:extent cx="112141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121410" cy="8255"/>
                    </a:xfrm>
                    <a:prstGeom prst="rect">
                      <a:avLst/>
                    </a:prstGeom>
                    <a:noFill/>
                  </pic:spPr>
                </pic:pic>
              </a:graphicData>
            </a:graphic>
          </wp:anchor>
        </w:drawing>
      </w:r>
    </w:p>
    <w:p>
      <w:pPr>
        <w:spacing w:after="0" w:line="145"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119380</wp:posOffset>
            </wp:positionV>
            <wp:extent cx="6786880" cy="1651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1.4</w:t>
      </w:r>
      <w:r>
        <w:rPr>
          <w:sz w:val="20"/>
          <w:szCs w:val="20"/>
          <w:color w:val="auto"/>
        </w:rPr>
        <w:tab/>
      </w:r>
      <w:r>
        <w:rPr>
          <w:rFonts w:ascii="Arial" w:cs="Arial" w:eastAsia="Arial" w:hAnsi="Arial"/>
          <w:sz w:val="17"/>
          <w:szCs w:val="17"/>
          <w:b w:val="1"/>
          <w:bCs w:val="1"/>
          <w:color w:val="003551"/>
        </w:rPr>
        <w:t>Other rules of interpretation</w:t>
      </w:r>
    </w:p>
    <w:p>
      <w:pPr>
        <w:spacing w:after="0" w:line="134"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In this constitution:</w:t>
      </w:r>
    </w:p>
    <w:p>
      <w:pPr>
        <w:spacing w:after="0" w:line="106" w:lineRule="exact"/>
        <w:rPr>
          <w:sz w:val="20"/>
          <w:szCs w:val="20"/>
          <w:color w:val="auto"/>
        </w:rPr>
      </w:pPr>
    </w:p>
    <w:p>
      <w:pPr>
        <w:ind w:left="2320" w:right="399" w:hanging="335"/>
        <w:spacing w:after="0" w:line="262" w:lineRule="auto"/>
        <w:tabs>
          <w:tab w:leader="none" w:pos="2320" w:val="left"/>
        </w:tabs>
        <w:numPr>
          <w:ilvl w:val="0"/>
          <w:numId w:val="71"/>
        </w:numPr>
        <w:rPr>
          <w:rFonts w:ascii="Arial" w:cs="Arial" w:eastAsia="Arial" w:hAnsi="Arial"/>
          <w:sz w:val="17"/>
          <w:szCs w:val="17"/>
          <w:color w:val="003551"/>
        </w:rPr>
      </w:pPr>
      <w:r>
        <w:rPr>
          <w:rFonts w:ascii="Arial" w:cs="Arial" w:eastAsia="Arial" w:hAnsi="Arial"/>
          <w:sz w:val="17"/>
          <w:szCs w:val="17"/>
          <w:color w:val="003551"/>
        </w:rPr>
        <w:t>a reference to a partly paid share is a reference to a share on which there is any amount unpaid and a reference to the amount unpaid on any share includes the amount of the issue price which remains unpaid;</w:t>
      </w:r>
    </w:p>
    <w:p>
      <w:pPr>
        <w:spacing w:after="0" w:line="54" w:lineRule="exact"/>
        <w:rPr>
          <w:rFonts w:ascii="Arial" w:cs="Arial" w:eastAsia="Arial" w:hAnsi="Arial"/>
          <w:sz w:val="17"/>
          <w:szCs w:val="17"/>
          <w:color w:val="003551"/>
        </w:rPr>
      </w:pPr>
    </w:p>
    <w:p>
      <w:pPr>
        <w:ind w:left="2320" w:right="819" w:hanging="335"/>
        <w:spacing w:after="0" w:line="255" w:lineRule="auto"/>
        <w:tabs>
          <w:tab w:leader="none" w:pos="2320" w:val="left"/>
        </w:tabs>
        <w:numPr>
          <w:ilvl w:val="0"/>
          <w:numId w:val="71"/>
        </w:numPr>
        <w:rPr>
          <w:rFonts w:ascii="Arial" w:cs="Arial" w:eastAsia="Arial" w:hAnsi="Arial"/>
          <w:sz w:val="17"/>
          <w:szCs w:val="17"/>
          <w:color w:val="003551"/>
        </w:rPr>
      </w:pPr>
      <w:r>
        <w:rPr>
          <w:rFonts w:ascii="Arial" w:cs="Arial" w:eastAsia="Arial" w:hAnsi="Arial"/>
          <w:sz w:val="17"/>
          <w:szCs w:val="17"/>
          <w:color w:val="003551"/>
        </w:rPr>
        <w:t>a reference to an uncertificated share, or to a share held in uncertificated form, is a reference to a share title which may be transferred and registered by means of any system operated under the Corporations Act that permits title to securities to be transferred and registered without a written instrument;</w:t>
      </w:r>
    </w:p>
    <w:p>
      <w:pPr>
        <w:spacing w:after="0" w:line="59" w:lineRule="exact"/>
        <w:rPr>
          <w:rFonts w:ascii="Arial" w:cs="Arial" w:eastAsia="Arial" w:hAnsi="Arial"/>
          <w:sz w:val="17"/>
          <w:szCs w:val="17"/>
          <w:color w:val="003551"/>
        </w:rPr>
      </w:pPr>
    </w:p>
    <w:p>
      <w:pPr>
        <w:ind w:left="2320" w:right="659" w:hanging="335"/>
        <w:spacing w:after="0" w:line="255" w:lineRule="auto"/>
        <w:tabs>
          <w:tab w:leader="none" w:pos="2320" w:val="left"/>
        </w:tabs>
        <w:numPr>
          <w:ilvl w:val="0"/>
          <w:numId w:val="71"/>
        </w:numPr>
        <w:rPr>
          <w:rFonts w:ascii="Arial" w:cs="Arial" w:eastAsia="Arial" w:hAnsi="Arial"/>
          <w:sz w:val="17"/>
          <w:szCs w:val="17"/>
          <w:color w:val="003551"/>
        </w:rPr>
      </w:pPr>
      <w:r>
        <w:rPr>
          <w:rFonts w:ascii="Arial" w:cs="Arial" w:eastAsia="Arial" w:hAnsi="Arial"/>
          <w:sz w:val="17"/>
          <w:szCs w:val="17"/>
          <w:color w:val="003551"/>
        </w:rPr>
        <w:t>any reference to a person who is attending or participating in or present at a meeting includes a person whose attendance or participation at that meeting is enabled by a facility or facilities (whether electronic or otherwise) and not only by way of a physical presence at a meeting;</w:t>
      </w:r>
    </w:p>
    <w:p>
      <w:pPr>
        <w:spacing w:after="0" w:line="59" w:lineRule="exact"/>
        <w:rPr>
          <w:rFonts w:ascii="Arial" w:cs="Arial" w:eastAsia="Arial" w:hAnsi="Arial"/>
          <w:sz w:val="17"/>
          <w:szCs w:val="17"/>
          <w:color w:val="003551"/>
        </w:rPr>
      </w:pPr>
    </w:p>
    <w:p>
      <w:pPr>
        <w:ind w:left="2320" w:right="379" w:hanging="335"/>
        <w:spacing w:after="0" w:line="252" w:lineRule="auto"/>
        <w:tabs>
          <w:tab w:leader="none" w:pos="2320" w:val="left"/>
        </w:tabs>
        <w:numPr>
          <w:ilvl w:val="0"/>
          <w:numId w:val="71"/>
        </w:numPr>
        <w:rPr>
          <w:rFonts w:ascii="Arial" w:cs="Arial" w:eastAsia="Arial" w:hAnsi="Arial"/>
          <w:sz w:val="17"/>
          <w:szCs w:val="17"/>
          <w:color w:val="003551"/>
        </w:rPr>
      </w:pPr>
      <w:r>
        <w:rPr>
          <w:rFonts w:ascii="Arial" w:cs="Arial" w:eastAsia="Arial" w:hAnsi="Arial"/>
          <w:sz w:val="17"/>
          <w:szCs w:val="17"/>
          <w:color w:val="003551"/>
        </w:rPr>
        <w:t xml:space="preserve">a reference to a member present at a general meeting is a reference to a member present in person or by proxy, power of attorney or corporate representative or, except in relation to any rule that specifies a quorum or any rule prescribed by the board, a member who has validly lodged a direct vote in relation to the general meeting under </w:t>
      </w:r>
      <w:r>
        <w:rPr>
          <w:rFonts w:ascii="Arial" w:cs="Arial" w:eastAsia="Arial" w:hAnsi="Arial"/>
          <w:sz w:val="17"/>
          <w:szCs w:val="17"/>
          <w:u w:val="single" w:color="auto"/>
          <w:color w:val="003551"/>
        </w:rPr>
        <w:t>rule 10.6</w:t>
      </w:r>
      <w:r>
        <w:rPr>
          <w:rFonts w:ascii="Arial" w:cs="Arial" w:eastAsia="Arial" w:hAnsi="Arial"/>
          <w:sz w:val="17"/>
          <w:szCs w:val="17"/>
          <w:color w:val="003551"/>
        </w:rPr>
        <w:t>;</w:t>
      </w:r>
    </w:p>
    <w:p>
      <w:pPr>
        <w:spacing w:after="0" w:line="266" w:lineRule="exact"/>
        <w:rPr>
          <w:rFonts w:ascii="Arial" w:cs="Arial" w:eastAsia="Arial" w:hAnsi="Arial"/>
          <w:sz w:val="17"/>
          <w:szCs w:val="17"/>
          <w:color w:val="003551"/>
        </w:rPr>
      </w:pPr>
    </w:p>
    <w:p>
      <w:pPr>
        <w:ind w:left="2320" w:right="839" w:hanging="335"/>
        <w:spacing w:after="0" w:line="293" w:lineRule="auto"/>
        <w:tabs>
          <w:tab w:leader="none" w:pos="2320" w:val="left"/>
        </w:tabs>
        <w:numPr>
          <w:ilvl w:val="0"/>
          <w:numId w:val="71"/>
        </w:numPr>
        <w:rPr>
          <w:rFonts w:ascii="Arial" w:cs="Arial" w:eastAsia="Arial" w:hAnsi="Arial"/>
          <w:sz w:val="17"/>
          <w:szCs w:val="17"/>
          <w:color w:val="003551"/>
        </w:rPr>
      </w:pPr>
      <w:r>
        <w:rPr>
          <w:rFonts w:ascii="Arial" w:cs="Arial" w:eastAsia="Arial" w:hAnsi="Arial"/>
          <w:sz w:val="17"/>
          <w:szCs w:val="17"/>
          <w:color w:val="003551"/>
        </w:rPr>
        <w:t>a reference, whether express or implied, to all or any part of a statute, rule, order, regulation, ordinance or other legislation (“</w:t>
      </w:r>
      <w:r>
        <w:rPr>
          <w:rFonts w:ascii="Arial" w:cs="Arial" w:eastAsia="Arial" w:hAnsi="Arial"/>
          <w:sz w:val="17"/>
          <w:szCs w:val="17"/>
          <w:b w:val="1"/>
          <w:bCs w:val="1"/>
          <w:color w:val="003551"/>
        </w:rPr>
        <w:t>legislation</w:t>
      </w:r>
      <w:r>
        <w:rPr>
          <w:rFonts w:ascii="Arial" w:cs="Arial" w:eastAsia="Arial" w:hAnsi="Arial"/>
          <w:sz w:val="17"/>
          <w:szCs w:val="17"/>
          <w:color w:val="003551"/>
        </w:rPr>
        <w:t>”) in any jurisdiction includes:</w:t>
      </w:r>
    </w:p>
    <w:p>
      <w:pPr>
        <w:spacing w:after="0" w:line="20" w:lineRule="exact"/>
        <w:rPr>
          <w:rFonts w:ascii="Arial" w:cs="Arial" w:eastAsia="Arial" w:hAnsi="Arial"/>
          <w:sz w:val="17"/>
          <w:szCs w:val="17"/>
          <w:color w:val="003551"/>
        </w:rPr>
      </w:pPr>
    </w:p>
    <w:p>
      <w:pPr>
        <w:ind w:left="2680" w:right="579" w:hanging="346"/>
        <w:spacing w:after="0" w:line="283" w:lineRule="auto"/>
        <w:tabs>
          <w:tab w:leader="none" w:pos="2680" w:val="left"/>
        </w:tabs>
        <w:numPr>
          <w:ilvl w:val="1"/>
          <w:numId w:val="71"/>
        </w:numPr>
        <w:rPr>
          <w:rFonts w:ascii="Arial" w:cs="Arial" w:eastAsia="Arial" w:hAnsi="Arial"/>
          <w:sz w:val="17"/>
          <w:szCs w:val="17"/>
          <w:color w:val="003551"/>
        </w:rPr>
      </w:pPr>
      <w:r>
        <w:rPr>
          <w:rFonts w:ascii="Arial" w:cs="Arial" w:eastAsia="Arial" w:hAnsi="Arial"/>
          <w:sz w:val="17"/>
          <w:szCs w:val="17"/>
          <w:color w:val="003551"/>
        </w:rPr>
        <w:t>that legislation as amended, extended or applied by or under any other legislation made before or after the date of adoption of this constitution;</w:t>
      </w:r>
    </w:p>
    <w:p>
      <w:pPr>
        <w:spacing w:after="0" w:line="36" w:lineRule="exact"/>
        <w:rPr>
          <w:rFonts w:ascii="Arial" w:cs="Arial" w:eastAsia="Arial" w:hAnsi="Arial"/>
          <w:sz w:val="17"/>
          <w:szCs w:val="17"/>
          <w:color w:val="003551"/>
        </w:rPr>
      </w:pPr>
    </w:p>
    <w:p>
      <w:pPr>
        <w:ind w:left="2680" w:hanging="346"/>
        <w:spacing w:after="0"/>
        <w:tabs>
          <w:tab w:leader="none" w:pos="2680" w:val="left"/>
        </w:tabs>
        <w:numPr>
          <w:ilvl w:val="1"/>
          <w:numId w:val="71"/>
        </w:numPr>
        <w:rPr>
          <w:rFonts w:ascii="Arial" w:cs="Arial" w:eastAsia="Arial" w:hAnsi="Arial"/>
          <w:sz w:val="17"/>
          <w:szCs w:val="17"/>
          <w:color w:val="003551"/>
        </w:rPr>
      </w:pPr>
      <w:r>
        <w:rPr>
          <w:rFonts w:ascii="Arial" w:cs="Arial" w:eastAsia="Arial" w:hAnsi="Arial"/>
          <w:sz w:val="17"/>
          <w:szCs w:val="17"/>
          <w:color w:val="003551"/>
        </w:rPr>
        <w:t>any legislation which that legislation re-enacts with or without modification; and</w:t>
      </w:r>
    </w:p>
    <w:p>
      <w:pPr>
        <w:spacing w:after="0" w:line="105" w:lineRule="exact"/>
        <w:rPr>
          <w:rFonts w:ascii="Arial" w:cs="Arial" w:eastAsia="Arial" w:hAnsi="Arial"/>
          <w:sz w:val="17"/>
          <w:szCs w:val="17"/>
          <w:color w:val="003551"/>
        </w:rPr>
      </w:pPr>
    </w:p>
    <w:p>
      <w:pPr>
        <w:ind w:left="2680" w:right="1059" w:hanging="346"/>
        <w:spacing w:after="0" w:line="283" w:lineRule="auto"/>
        <w:tabs>
          <w:tab w:leader="none" w:pos="2680" w:val="left"/>
        </w:tabs>
        <w:numPr>
          <w:ilvl w:val="1"/>
          <w:numId w:val="71"/>
        </w:numPr>
        <w:rPr>
          <w:rFonts w:ascii="Arial" w:cs="Arial" w:eastAsia="Arial" w:hAnsi="Arial"/>
          <w:sz w:val="17"/>
          <w:szCs w:val="17"/>
          <w:color w:val="003551"/>
        </w:rPr>
      </w:pPr>
      <w:r>
        <w:rPr>
          <w:rFonts w:ascii="Arial" w:cs="Arial" w:eastAsia="Arial" w:hAnsi="Arial"/>
          <w:sz w:val="17"/>
          <w:szCs w:val="17"/>
          <w:color w:val="003551"/>
        </w:rPr>
        <w:t>any subordinate legislation made before or after the date of adoption of this constitution under that legislation;</w:t>
      </w:r>
    </w:p>
    <w:p>
      <w:pPr>
        <w:spacing w:after="0" w:line="36" w:lineRule="exact"/>
        <w:rPr>
          <w:rFonts w:ascii="Arial" w:cs="Arial" w:eastAsia="Arial" w:hAnsi="Arial"/>
          <w:sz w:val="17"/>
          <w:szCs w:val="17"/>
          <w:color w:val="003551"/>
        </w:rPr>
      </w:pPr>
    </w:p>
    <w:p>
      <w:pPr>
        <w:ind w:left="2320" w:right="499" w:hanging="335"/>
        <w:spacing w:after="0" w:line="255" w:lineRule="auto"/>
        <w:tabs>
          <w:tab w:leader="none" w:pos="2320" w:val="left"/>
        </w:tabs>
        <w:numPr>
          <w:ilvl w:val="0"/>
          <w:numId w:val="71"/>
        </w:numPr>
        <w:rPr>
          <w:rFonts w:ascii="Arial" w:cs="Arial" w:eastAsia="Arial" w:hAnsi="Arial"/>
          <w:sz w:val="17"/>
          <w:szCs w:val="17"/>
          <w:color w:val="003551"/>
        </w:rPr>
      </w:pPr>
      <w:r>
        <w:rPr>
          <w:rFonts w:ascii="Arial" w:cs="Arial" w:eastAsia="Arial" w:hAnsi="Arial"/>
          <w:sz w:val="17"/>
          <w:szCs w:val="17"/>
          <w:color w:val="003551"/>
        </w:rPr>
        <w:t xml:space="preserve">a reference, whether express or implied, to the Listing Rules </w:t>
      </w:r>
      <w:r>
        <w:rPr>
          <w:rFonts w:ascii="Arial" w:cs="Arial" w:eastAsia="Arial" w:hAnsi="Arial"/>
          <w:sz w:val="17"/>
          <w:szCs w:val="17"/>
          <w:u w:val="single" w:color="auto"/>
          <w:color w:val="0000FF"/>
        </w:rPr>
        <w:t>or the Securities Laws</w:t>
      </w:r>
      <w:r>
        <w:rPr>
          <w:rFonts w:ascii="Arial" w:cs="Arial" w:eastAsia="Arial" w:hAnsi="Arial"/>
          <w:sz w:val="17"/>
          <w:szCs w:val="17"/>
          <w:color w:val="003551"/>
        </w:rPr>
        <w:t xml:space="preserve"> </w:t>
      </w:r>
      <w:r>
        <w:rPr>
          <w:rFonts w:ascii="Arial" w:cs="Arial" w:eastAsia="Arial" w:hAnsi="Arial"/>
          <w:sz w:val="17"/>
          <w:szCs w:val="17"/>
          <w:color w:val="000000"/>
        </w:rPr>
        <w:t xml:space="preserve">includes any variation, consolidation or replacement of those </w:t>
      </w:r>
      <w:r>
        <w:rPr>
          <w:rFonts w:ascii="Arial" w:cs="Arial" w:eastAsia="Arial" w:hAnsi="Arial"/>
          <w:sz w:val="17"/>
          <w:szCs w:val="17"/>
          <w:u w:val="single" w:color="auto"/>
          <w:color w:val="0000FF"/>
        </w:rPr>
        <w:t>laws,</w:t>
      </w:r>
      <w:r>
        <w:rPr>
          <w:rFonts w:ascii="Arial" w:cs="Arial" w:eastAsia="Arial" w:hAnsi="Arial"/>
          <w:sz w:val="17"/>
          <w:szCs w:val="17"/>
          <w:color w:val="000000"/>
        </w:rPr>
        <w:t xml:space="preserve"> rules </w:t>
      </w:r>
      <w:r>
        <w:rPr>
          <w:rFonts w:ascii="Arial" w:cs="Arial" w:eastAsia="Arial" w:hAnsi="Arial"/>
          <w:sz w:val="17"/>
          <w:szCs w:val="17"/>
          <w:u w:val="single" w:color="auto"/>
          <w:color w:val="0000FF"/>
        </w:rPr>
        <w:t>or regulations,</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or any interpretation thereof, as applicable,</w:t>
      </w:r>
      <w:r>
        <w:rPr>
          <w:rFonts w:ascii="Arial" w:cs="Arial" w:eastAsia="Arial" w:hAnsi="Arial"/>
          <w:sz w:val="17"/>
          <w:szCs w:val="17"/>
          <w:color w:val="0000FF"/>
        </w:rPr>
        <w:t xml:space="preserve"> </w:t>
      </w:r>
      <w:r>
        <w:rPr>
          <w:rFonts w:ascii="Arial" w:cs="Arial" w:eastAsia="Arial" w:hAnsi="Arial"/>
          <w:sz w:val="17"/>
          <w:szCs w:val="17"/>
          <w:color w:val="000000"/>
        </w:rPr>
        <w:t>and is to be taken to be subject to any</w:t>
      </w:r>
      <w:r>
        <w:rPr>
          <w:rFonts w:ascii="Arial" w:cs="Arial" w:eastAsia="Arial" w:hAnsi="Arial"/>
          <w:sz w:val="17"/>
          <w:szCs w:val="17"/>
          <w:color w:val="0000FF"/>
        </w:rPr>
        <w:t xml:space="preserve"> </w:t>
      </w:r>
      <w:r>
        <w:rPr>
          <w:rFonts w:ascii="Arial" w:cs="Arial" w:eastAsia="Arial" w:hAnsi="Arial"/>
          <w:sz w:val="17"/>
          <w:szCs w:val="17"/>
          <w:color w:val="000000"/>
        </w:rPr>
        <w:t>applicable waiver or exemption;</w:t>
      </w:r>
    </w:p>
    <w:p>
      <w:pPr>
        <w:spacing w:after="0" w:line="59" w:lineRule="exact"/>
        <w:rPr>
          <w:rFonts w:ascii="Arial" w:cs="Arial" w:eastAsia="Arial" w:hAnsi="Arial"/>
          <w:sz w:val="17"/>
          <w:szCs w:val="17"/>
          <w:color w:val="003551"/>
        </w:rPr>
      </w:pPr>
    </w:p>
    <w:p>
      <w:pPr>
        <w:ind w:left="2320" w:right="579" w:hanging="335"/>
        <w:spacing w:after="0" w:line="262" w:lineRule="auto"/>
        <w:tabs>
          <w:tab w:leader="none" w:pos="2320" w:val="left"/>
        </w:tabs>
        <w:numPr>
          <w:ilvl w:val="0"/>
          <w:numId w:val="71"/>
        </w:numPr>
        <w:rPr>
          <w:rFonts w:ascii="Arial" w:cs="Arial" w:eastAsia="Arial" w:hAnsi="Arial"/>
          <w:sz w:val="17"/>
          <w:szCs w:val="17"/>
          <w:color w:val="003551"/>
        </w:rPr>
      </w:pPr>
      <w:r>
        <w:rPr>
          <w:rFonts w:ascii="Arial" w:cs="Arial" w:eastAsia="Arial" w:hAnsi="Arial"/>
          <w:sz w:val="17"/>
          <w:szCs w:val="17"/>
          <w:color w:val="003551"/>
        </w:rPr>
        <w:t>references to “persons” or “entities” include natural persons, bodies corporate, partnerships, governmental or local authorities, agencies, trusts, associations and any other bodies or entities whether incorporated or not;</w:t>
      </w:r>
    </w:p>
    <w:p>
      <w:pPr>
        <w:spacing w:after="0" w:line="54" w:lineRule="exact"/>
        <w:rPr>
          <w:rFonts w:ascii="Arial" w:cs="Arial" w:eastAsia="Arial" w:hAnsi="Arial"/>
          <w:sz w:val="17"/>
          <w:szCs w:val="17"/>
          <w:color w:val="003551"/>
        </w:rPr>
      </w:pPr>
    </w:p>
    <w:p>
      <w:pPr>
        <w:ind w:left="2320" w:right="719" w:hanging="335"/>
        <w:spacing w:after="0" w:line="255" w:lineRule="auto"/>
        <w:tabs>
          <w:tab w:leader="none" w:pos="2320" w:val="left"/>
        </w:tabs>
        <w:numPr>
          <w:ilvl w:val="0"/>
          <w:numId w:val="71"/>
        </w:numPr>
        <w:rPr>
          <w:rFonts w:ascii="Arial" w:cs="Arial" w:eastAsia="Arial" w:hAnsi="Arial"/>
          <w:sz w:val="17"/>
          <w:szCs w:val="17"/>
          <w:color w:val="003551"/>
        </w:rPr>
      </w:pPr>
      <w:r>
        <w:rPr>
          <w:rFonts w:ascii="Arial" w:cs="Arial" w:eastAsia="Arial" w:hAnsi="Arial"/>
          <w:sz w:val="17"/>
          <w:szCs w:val="17"/>
          <w:color w:val="003551"/>
        </w:rPr>
        <w:t>a reference to any agency or body, if that agency or body ceases to exist or is reconstituted, renamed or replaced or has its powers or functions removed (“defunct body”), means the agency or body that performs most closely the functions of the defunct body;</w:t>
      </w:r>
    </w:p>
    <w:p>
      <w:pPr>
        <w:spacing w:after="0" w:line="59" w:lineRule="exact"/>
        <w:rPr>
          <w:rFonts w:ascii="Arial" w:cs="Arial" w:eastAsia="Arial" w:hAnsi="Arial"/>
          <w:sz w:val="17"/>
          <w:szCs w:val="17"/>
          <w:color w:val="003551"/>
        </w:rPr>
      </w:pPr>
    </w:p>
    <w:p>
      <w:pPr>
        <w:ind w:left="2320" w:right="1299" w:hanging="335"/>
        <w:spacing w:after="0" w:line="283" w:lineRule="auto"/>
        <w:tabs>
          <w:tab w:leader="none" w:pos="2320" w:val="left"/>
        </w:tabs>
        <w:numPr>
          <w:ilvl w:val="0"/>
          <w:numId w:val="71"/>
        </w:numPr>
        <w:rPr>
          <w:rFonts w:ascii="Arial" w:cs="Arial" w:eastAsia="Arial" w:hAnsi="Arial"/>
          <w:sz w:val="17"/>
          <w:szCs w:val="17"/>
          <w:color w:val="003551"/>
        </w:rPr>
      </w:pPr>
      <w:r>
        <w:rPr>
          <w:rFonts w:ascii="Arial" w:cs="Arial" w:eastAsia="Arial" w:hAnsi="Arial"/>
          <w:sz w:val="17"/>
          <w:szCs w:val="17"/>
          <w:color w:val="003551"/>
        </w:rPr>
        <w:t>references to individuals or natural persons include their estate and personal representatives;</w:t>
      </w:r>
    </w:p>
    <w:p>
      <w:pPr>
        <w:spacing w:after="0" w:line="36" w:lineRule="exact"/>
        <w:rPr>
          <w:rFonts w:ascii="Arial" w:cs="Arial" w:eastAsia="Arial" w:hAnsi="Arial"/>
          <w:sz w:val="17"/>
          <w:szCs w:val="17"/>
          <w:color w:val="003551"/>
        </w:rPr>
      </w:pPr>
    </w:p>
    <w:p>
      <w:pPr>
        <w:ind w:left="2320" w:hanging="335"/>
        <w:spacing w:after="0"/>
        <w:tabs>
          <w:tab w:leader="none" w:pos="2320" w:val="left"/>
        </w:tabs>
        <w:numPr>
          <w:ilvl w:val="0"/>
          <w:numId w:val="71"/>
        </w:numPr>
        <w:rPr>
          <w:rFonts w:ascii="Arial" w:cs="Arial" w:eastAsia="Arial" w:hAnsi="Arial"/>
          <w:sz w:val="17"/>
          <w:szCs w:val="17"/>
          <w:color w:val="003551"/>
        </w:rPr>
      </w:pPr>
      <w:r>
        <w:rPr>
          <w:rFonts w:ascii="Arial" w:cs="Arial" w:eastAsia="Arial" w:hAnsi="Arial"/>
          <w:sz w:val="17"/>
          <w:szCs w:val="17"/>
          <w:color w:val="003551"/>
        </w:rPr>
        <w:t>a reference to a rule is a reference to a rule of this constitution;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4728845</wp:posOffset>
            </wp:positionH>
            <wp:positionV relativeFrom="paragraph">
              <wp:posOffset>-1751330</wp:posOffset>
            </wp:positionV>
            <wp:extent cx="3302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3020" cy="8255"/>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-1767840</wp:posOffset>
            </wp:positionV>
            <wp:extent cx="304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0480" cy="8255"/>
                    </a:xfrm>
                    <a:prstGeom prst="rect">
                      <a:avLst/>
                    </a:prstGeom>
                    <a:noFill/>
                  </pic:spPr>
                </pic:pic>
              </a:graphicData>
            </a:graphic>
          </wp:anchor>
        </w:drawing>
      </w:r>
    </w:p>
    <w:p>
      <w:pPr>
        <w:spacing w:after="0" w:line="191"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127635</wp:posOffset>
            </wp:positionV>
            <wp:extent cx="6786880" cy="1651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320" w:hanging="335"/>
        <w:spacing w:after="0"/>
        <w:tabs>
          <w:tab w:leader="none" w:pos="2320" w:val="left"/>
        </w:tabs>
        <w:numPr>
          <w:ilvl w:val="0"/>
          <w:numId w:val="72"/>
        </w:numPr>
        <w:rPr>
          <w:rFonts w:ascii="Arial" w:cs="Arial" w:eastAsia="Arial" w:hAnsi="Arial"/>
          <w:sz w:val="17"/>
          <w:szCs w:val="17"/>
          <w:color w:val="003551"/>
        </w:rPr>
      </w:pPr>
      <w:r>
        <w:rPr>
          <w:rFonts w:ascii="Arial" w:cs="Arial" w:eastAsia="Arial" w:hAnsi="Arial"/>
          <w:sz w:val="17"/>
          <w:szCs w:val="17"/>
          <w:color w:val="003551"/>
        </w:rPr>
        <w:t>a reference to writing includes any method of reproducing words in a visible form;</w:t>
      </w:r>
    </w:p>
    <w:p>
      <w:pPr>
        <w:spacing w:after="0" w:line="105" w:lineRule="exact"/>
        <w:rPr>
          <w:rFonts w:ascii="Arial" w:cs="Arial" w:eastAsia="Arial" w:hAnsi="Arial"/>
          <w:sz w:val="17"/>
          <w:szCs w:val="17"/>
          <w:color w:val="003551"/>
        </w:rPr>
      </w:pPr>
    </w:p>
    <w:p>
      <w:pPr>
        <w:ind w:left="2320" w:hanging="335"/>
        <w:spacing w:after="0"/>
        <w:tabs>
          <w:tab w:leader="none" w:pos="2320" w:val="left"/>
        </w:tabs>
        <w:numPr>
          <w:ilvl w:val="0"/>
          <w:numId w:val="72"/>
        </w:numPr>
        <w:rPr>
          <w:rFonts w:ascii="Arial" w:cs="Arial" w:eastAsia="Arial" w:hAnsi="Arial"/>
          <w:sz w:val="17"/>
          <w:szCs w:val="17"/>
          <w:color w:val="003551"/>
        </w:rPr>
      </w:pPr>
      <w:r>
        <w:rPr>
          <w:rFonts w:ascii="Arial" w:cs="Arial" w:eastAsia="Arial" w:hAnsi="Arial"/>
          <w:sz w:val="17"/>
          <w:szCs w:val="17"/>
          <w:color w:val="003551"/>
        </w:rPr>
        <w:t>singular words include the plural and vice versa;</w:t>
      </w:r>
    </w:p>
    <w:p>
      <w:pPr>
        <w:spacing w:after="0" w:line="105" w:lineRule="exact"/>
        <w:rPr>
          <w:rFonts w:ascii="Arial" w:cs="Arial" w:eastAsia="Arial" w:hAnsi="Arial"/>
          <w:sz w:val="17"/>
          <w:szCs w:val="17"/>
          <w:color w:val="003551"/>
        </w:rPr>
      </w:pPr>
    </w:p>
    <w:p>
      <w:pPr>
        <w:ind w:left="2320" w:hanging="335"/>
        <w:spacing w:after="0"/>
        <w:tabs>
          <w:tab w:leader="none" w:pos="2320" w:val="left"/>
        </w:tabs>
        <w:numPr>
          <w:ilvl w:val="0"/>
          <w:numId w:val="72"/>
        </w:numPr>
        <w:rPr>
          <w:rFonts w:ascii="Arial" w:cs="Arial" w:eastAsia="Arial" w:hAnsi="Arial"/>
          <w:sz w:val="17"/>
          <w:szCs w:val="17"/>
          <w:color w:val="003551"/>
        </w:rPr>
      </w:pPr>
      <w:r>
        <w:rPr>
          <w:rFonts w:ascii="Arial" w:cs="Arial" w:eastAsia="Arial" w:hAnsi="Arial"/>
          <w:sz w:val="17"/>
          <w:szCs w:val="17"/>
          <w:color w:val="003551"/>
        </w:rPr>
        <w:t>a word of any gender includes the corresponding words of any other gender;</w:t>
      </w:r>
    </w:p>
    <w:p>
      <w:pPr>
        <w:spacing w:after="0" w:line="105" w:lineRule="exact"/>
        <w:rPr>
          <w:rFonts w:ascii="Arial" w:cs="Arial" w:eastAsia="Arial" w:hAnsi="Arial"/>
          <w:sz w:val="17"/>
          <w:szCs w:val="17"/>
          <w:color w:val="003551"/>
        </w:rPr>
      </w:pPr>
    </w:p>
    <w:p>
      <w:pPr>
        <w:ind w:left="2320" w:right="1099" w:hanging="335"/>
        <w:spacing w:after="0" w:line="283" w:lineRule="auto"/>
        <w:tabs>
          <w:tab w:leader="none" w:pos="2320" w:val="left"/>
        </w:tabs>
        <w:numPr>
          <w:ilvl w:val="0"/>
          <w:numId w:val="72"/>
        </w:numPr>
        <w:rPr>
          <w:rFonts w:ascii="Arial" w:cs="Arial" w:eastAsia="Arial" w:hAnsi="Arial"/>
          <w:sz w:val="17"/>
          <w:szCs w:val="17"/>
          <w:color w:val="003551"/>
        </w:rPr>
      </w:pPr>
      <w:r>
        <w:rPr>
          <w:rFonts w:ascii="Arial" w:cs="Arial" w:eastAsia="Arial" w:hAnsi="Arial"/>
          <w:sz w:val="17"/>
          <w:szCs w:val="17"/>
          <w:color w:val="003551"/>
        </w:rPr>
        <w:t>if a word is defined, other grammatical forms of that word have a corresponding meaning;</w:t>
      </w:r>
    </w:p>
    <w:p>
      <w:pPr>
        <w:spacing w:after="0" w:line="36" w:lineRule="exact"/>
        <w:rPr>
          <w:rFonts w:ascii="Arial" w:cs="Arial" w:eastAsia="Arial" w:hAnsi="Arial"/>
          <w:sz w:val="17"/>
          <w:szCs w:val="17"/>
          <w:color w:val="003551"/>
        </w:rPr>
      </w:pPr>
    </w:p>
    <w:p>
      <w:pPr>
        <w:ind w:left="2320" w:right="379" w:hanging="335"/>
        <w:spacing w:after="0" w:line="283" w:lineRule="auto"/>
        <w:tabs>
          <w:tab w:leader="none" w:pos="2320" w:val="left"/>
        </w:tabs>
        <w:numPr>
          <w:ilvl w:val="0"/>
          <w:numId w:val="72"/>
        </w:numPr>
        <w:rPr>
          <w:rFonts w:ascii="Arial" w:cs="Arial" w:eastAsia="Arial" w:hAnsi="Arial"/>
          <w:sz w:val="17"/>
          <w:szCs w:val="17"/>
          <w:color w:val="003551"/>
        </w:rPr>
      </w:pPr>
      <w:r>
        <w:rPr>
          <w:rFonts w:ascii="Arial" w:cs="Arial" w:eastAsia="Arial" w:hAnsi="Arial"/>
          <w:sz w:val="17"/>
          <w:szCs w:val="17"/>
          <w:color w:val="003551"/>
        </w:rPr>
        <w:t>general words must not be given a restrictive meaning by reason of the fact that they are followed by particular examples intended to be embraced by the general words;</w:t>
      </w:r>
    </w:p>
    <w:p>
      <w:pPr>
        <w:spacing w:after="0" w:line="36" w:lineRule="exact"/>
        <w:rPr>
          <w:rFonts w:ascii="Arial" w:cs="Arial" w:eastAsia="Arial" w:hAnsi="Arial"/>
          <w:sz w:val="17"/>
          <w:szCs w:val="17"/>
          <w:color w:val="003551"/>
        </w:rPr>
      </w:pPr>
    </w:p>
    <w:p>
      <w:pPr>
        <w:ind w:left="2320" w:right="619" w:hanging="335"/>
        <w:spacing w:after="0" w:line="283" w:lineRule="auto"/>
        <w:tabs>
          <w:tab w:leader="none" w:pos="2320" w:val="left"/>
        </w:tabs>
        <w:numPr>
          <w:ilvl w:val="0"/>
          <w:numId w:val="72"/>
        </w:numPr>
        <w:rPr>
          <w:rFonts w:ascii="Arial" w:cs="Arial" w:eastAsia="Arial" w:hAnsi="Arial"/>
          <w:sz w:val="17"/>
          <w:szCs w:val="17"/>
          <w:color w:val="003551"/>
        </w:rPr>
      </w:pPr>
      <w:r>
        <w:rPr>
          <w:rFonts w:ascii="Arial" w:cs="Arial" w:eastAsia="Arial" w:hAnsi="Arial"/>
          <w:sz w:val="17"/>
          <w:szCs w:val="17"/>
          <w:color w:val="003551"/>
        </w:rPr>
        <w:t>the headings are used for convenience only and do not affect the interpretation of this constitution;</w:t>
      </w:r>
    </w:p>
    <w:p>
      <w:pPr>
        <w:spacing w:after="0" w:line="36" w:lineRule="exact"/>
        <w:rPr>
          <w:rFonts w:ascii="Arial" w:cs="Arial" w:eastAsia="Arial" w:hAnsi="Arial"/>
          <w:sz w:val="17"/>
          <w:szCs w:val="17"/>
          <w:color w:val="003551"/>
        </w:rPr>
      </w:pPr>
    </w:p>
    <w:p>
      <w:pPr>
        <w:ind w:left="2320" w:right="479" w:hanging="335"/>
        <w:spacing w:after="0" w:line="283" w:lineRule="auto"/>
        <w:tabs>
          <w:tab w:leader="none" w:pos="2320" w:val="left"/>
        </w:tabs>
        <w:numPr>
          <w:ilvl w:val="0"/>
          <w:numId w:val="72"/>
        </w:numPr>
        <w:rPr>
          <w:rFonts w:ascii="Arial" w:cs="Arial" w:eastAsia="Arial" w:hAnsi="Arial"/>
          <w:sz w:val="17"/>
          <w:szCs w:val="17"/>
          <w:color w:val="003551"/>
        </w:rPr>
      </w:pPr>
      <w:r>
        <w:rPr>
          <w:rFonts w:ascii="Arial" w:cs="Arial" w:eastAsia="Arial" w:hAnsi="Arial"/>
          <w:sz w:val="17"/>
          <w:szCs w:val="17"/>
          <w:color w:val="003551"/>
        </w:rPr>
        <w:t>if something is to be or may be done on a day which is not a Business Day, then it must be done on the next Business Day;</w:t>
      </w:r>
    </w:p>
    <w:p>
      <w:pPr>
        <w:spacing w:after="0" w:line="36" w:lineRule="exact"/>
        <w:rPr>
          <w:rFonts w:ascii="Arial" w:cs="Arial" w:eastAsia="Arial" w:hAnsi="Arial"/>
          <w:sz w:val="17"/>
          <w:szCs w:val="17"/>
          <w:color w:val="003551"/>
        </w:rPr>
      </w:pPr>
    </w:p>
    <w:p>
      <w:pPr>
        <w:ind w:left="2320" w:hanging="335"/>
        <w:spacing w:after="0"/>
        <w:tabs>
          <w:tab w:leader="none" w:pos="2320" w:val="left"/>
        </w:tabs>
        <w:numPr>
          <w:ilvl w:val="0"/>
          <w:numId w:val="72"/>
        </w:numPr>
        <w:rPr>
          <w:rFonts w:ascii="Arial" w:cs="Arial" w:eastAsia="Arial" w:hAnsi="Arial"/>
          <w:sz w:val="17"/>
          <w:szCs w:val="17"/>
          <w:color w:val="003551"/>
        </w:rPr>
      </w:pPr>
      <w:r>
        <w:rPr>
          <w:rFonts w:ascii="Arial" w:cs="Arial" w:eastAsia="Arial" w:hAnsi="Arial"/>
          <w:sz w:val="17"/>
          <w:szCs w:val="17"/>
          <w:color w:val="003551"/>
        </w:rPr>
        <w:t xml:space="preserve">the word “month” means calendar month and the word “year” means 12 months; </w:t>
      </w:r>
      <w:r>
        <w:rPr>
          <w:rFonts w:ascii="Arial" w:cs="Arial" w:eastAsia="Arial" w:hAnsi="Arial"/>
          <w:sz w:val="17"/>
          <w:szCs w:val="17"/>
          <w:u w:val="single" w:color="auto"/>
          <w:color w:val="0000FF"/>
        </w:rPr>
        <w:t>and</w:t>
      </w:r>
    </w:p>
    <w:p>
      <w:pPr>
        <w:spacing w:after="0" w:line="105" w:lineRule="exact"/>
        <w:rPr>
          <w:rFonts w:ascii="Arial" w:cs="Arial" w:eastAsia="Arial" w:hAnsi="Arial"/>
          <w:sz w:val="17"/>
          <w:szCs w:val="17"/>
          <w:color w:val="003551"/>
        </w:rPr>
      </w:pPr>
    </w:p>
    <w:p>
      <w:pPr>
        <w:ind w:left="2320" w:right="399" w:hanging="335"/>
        <w:spacing w:after="0" w:line="283" w:lineRule="auto"/>
        <w:tabs>
          <w:tab w:leader="none" w:pos="2320" w:val="left"/>
        </w:tabs>
        <w:numPr>
          <w:ilvl w:val="0"/>
          <w:numId w:val="72"/>
        </w:numPr>
        <w:rPr>
          <w:rFonts w:ascii="Arial" w:cs="Arial" w:eastAsia="Arial" w:hAnsi="Arial"/>
          <w:sz w:val="17"/>
          <w:szCs w:val="17"/>
          <w:color w:val="003551"/>
        </w:rPr>
      </w:pPr>
      <w:r>
        <w:rPr>
          <w:rFonts w:ascii="Arial" w:cs="Arial" w:eastAsia="Arial" w:hAnsi="Arial"/>
          <w:sz w:val="17"/>
          <w:szCs w:val="17"/>
          <w:color w:val="003551"/>
        </w:rPr>
        <w:t>the words “in writing” include any communication sent by letter, facsimile transmission or email or any other form of communication capable of being read by the recipient</w:t>
      </w:r>
      <w:r>
        <w:rPr>
          <w:rFonts w:ascii="Arial" w:cs="Arial" w:eastAsia="Arial" w:hAnsi="Arial"/>
          <w:sz w:val="17"/>
          <w:szCs w:val="17"/>
          <w:color w:val="FF0000"/>
          <w:strike w:val="1"/>
        </w:rPr>
        <w:t>; and</w:t>
      </w:r>
      <w:r>
        <w:rPr>
          <w:rFonts w:ascii="Arial" w:cs="Arial" w:eastAsia="Arial" w:hAnsi="Arial"/>
          <w:sz w:val="17"/>
          <w:szCs w:val="17"/>
          <w:u w:val="single" w:color="auto"/>
          <w:color w:val="0000FF"/>
        </w:rPr>
        <w:t>.</w:t>
      </w:r>
    </w:p>
    <w:p>
      <w:pPr>
        <w:spacing w:after="0" w:line="35"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1.5</w:t>
      </w:r>
      <w:r>
        <w:rPr>
          <w:sz w:val="20"/>
          <w:szCs w:val="20"/>
          <w:color w:val="auto"/>
        </w:rPr>
        <w:tab/>
      </w:r>
      <w:r>
        <w:rPr>
          <w:rFonts w:ascii="Arial" w:cs="Arial" w:eastAsia="Arial" w:hAnsi="Arial"/>
          <w:sz w:val="17"/>
          <w:szCs w:val="17"/>
          <w:b w:val="1"/>
          <w:bCs w:val="1"/>
          <w:color w:val="003551"/>
        </w:rPr>
        <w:t>Compliance with the Corporations Act</w:t>
      </w:r>
    </w:p>
    <w:p>
      <w:pPr>
        <w:spacing w:after="0" w:line="108" w:lineRule="exact"/>
        <w:rPr>
          <w:sz w:val="20"/>
          <w:szCs w:val="20"/>
          <w:color w:val="auto"/>
        </w:rPr>
      </w:pPr>
    </w:p>
    <w:p>
      <w:pPr>
        <w:ind w:left="1640" w:right="419"/>
        <w:spacing w:after="0" w:line="262" w:lineRule="auto"/>
        <w:rPr>
          <w:sz w:val="20"/>
          <w:szCs w:val="20"/>
          <w:color w:val="auto"/>
        </w:rPr>
      </w:pPr>
      <w:r>
        <w:rPr>
          <w:rFonts w:ascii="Arial" w:cs="Arial" w:eastAsia="Arial" w:hAnsi="Arial"/>
          <w:sz w:val="17"/>
          <w:szCs w:val="17"/>
          <w:color w:val="003551"/>
        </w:rPr>
        <w:t>This constitution is subject to the Corporations Act and where there is any inconsistency between a clause of this constitution and the Corporation Act which is not permissible under the Corporations Act, the Corporations Act prevails to the extent of the inconsistency.</w:t>
      </w:r>
    </w:p>
    <w:p>
      <w:pPr>
        <w:spacing w:after="0" w:line="52"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1.6</w:t>
      </w:r>
      <w:r>
        <w:rPr>
          <w:sz w:val="20"/>
          <w:szCs w:val="20"/>
          <w:color w:val="auto"/>
        </w:rPr>
        <w:tab/>
      </w:r>
      <w:r>
        <w:rPr>
          <w:rFonts w:ascii="Arial" w:cs="Arial" w:eastAsia="Arial" w:hAnsi="Arial"/>
          <w:sz w:val="17"/>
          <w:szCs w:val="17"/>
          <w:b w:val="1"/>
          <w:bCs w:val="1"/>
          <w:color w:val="003551"/>
        </w:rPr>
        <w:t>Schedules</w:t>
      </w:r>
    </w:p>
    <w:p>
      <w:pPr>
        <w:spacing w:after="0" w:line="108" w:lineRule="exact"/>
        <w:rPr>
          <w:sz w:val="20"/>
          <w:szCs w:val="20"/>
          <w:color w:val="auto"/>
        </w:rPr>
      </w:pPr>
    </w:p>
    <w:p>
      <w:pPr>
        <w:ind w:left="1640" w:right="779"/>
        <w:spacing w:after="0" w:line="283" w:lineRule="auto"/>
        <w:rPr>
          <w:sz w:val="20"/>
          <w:szCs w:val="20"/>
          <w:color w:val="auto"/>
        </w:rPr>
      </w:pPr>
      <w:r>
        <w:rPr>
          <w:rFonts w:ascii="Arial" w:cs="Arial" w:eastAsia="Arial" w:hAnsi="Arial"/>
          <w:sz w:val="17"/>
          <w:szCs w:val="17"/>
          <w:color w:val="003551"/>
        </w:rPr>
        <w:t>The schedules form part of this constitution and a reference to a schedule is a reference to a schedule to this constitution.</w:t>
      </w:r>
    </w:p>
    <w:p>
      <w:pPr>
        <w:spacing w:after="0" w:line="35"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1.7</w:t>
      </w:r>
      <w:r>
        <w:rPr>
          <w:sz w:val="20"/>
          <w:szCs w:val="20"/>
          <w:color w:val="auto"/>
        </w:rPr>
        <w:tab/>
      </w:r>
      <w:r>
        <w:rPr>
          <w:rFonts w:ascii="Arial" w:cs="Arial" w:eastAsia="Arial" w:hAnsi="Arial"/>
          <w:sz w:val="17"/>
          <w:szCs w:val="17"/>
          <w:b w:val="1"/>
          <w:bCs w:val="1"/>
          <w:color w:val="003551"/>
        </w:rPr>
        <w:t>Relationship with previous constitutions</w:t>
      </w:r>
    </w:p>
    <w:p>
      <w:pPr>
        <w:spacing w:after="0" w:line="108" w:lineRule="exact"/>
        <w:rPr>
          <w:sz w:val="20"/>
          <w:szCs w:val="20"/>
          <w:color w:val="auto"/>
        </w:rPr>
      </w:pPr>
    </w:p>
    <w:p>
      <w:pPr>
        <w:ind w:left="1640" w:right="659"/>
        <w:spacing w:after="0" w:line="251" w:lineRule="auto"/>
        <w:rPr>
          <w:sz w:val="20"/>
          <w:szCs w:val="20"/>
          <w:color w:val="auto"/>
        </w:rPr>
      </w:pPr>
      <w:r>
        <w:rPr>
          <w:rFonts w:ascii="Arial" w:cs="Arial" w:eastAsia="Arial" w:hAnsi="Arial"/>
          <w:sz w:val="17"/>
          <w:szCs w:val="17"/>
          <w:color w:val="003551"/>
        </w:rPr>
        <w:t>This constitution supersedes the constitution of the company in force immediately before the adoption of this constitution. Unless the contrary intention appears, all persons, things, agreements and circumstances appointed, approved or created by or under the constitution of the company in force before this constitution is adopted continue to have the same status, operation and effect after the adoption of this constitution.</w:t>
      </w:r>
    </w:p>
    <w:p>
      <w:pPr>
        <w:spacing w:after="0" w:line="63"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FF0000"/>
          <w:strike w:val="1"/>
        </w:rPr>
        <w:t>1.8</w:t>
      </w:r>
      <w:r>
        <w:rPr>
          <w:sz w:val="20"/>
          <w:szCs w:val="20"/>
          <w:color w:val="auto"/>
        </w:rPr>
        <w:tab/>
      </w:r>
      <w:r>
        <w:rPr>
          <w:rFonts w:ascii="Arial" w:cs="Arial" w:eastAsia="Arial" w:hAnsi="Arial"/>
          <w:sz w:val="17"/>
          <w:szCs w:val="17"/>
          <w:b w:val="1"/>
          <w:bCs w:val="1"/>
          <w:color w:val="FF0000"/>
          <w:strike w:val="1"/>
        </w:rPr>
        <w:t>Relationship with Shareholders’ Agreement</w:t>
      </w:r>
    </w:p>
    <w:p>
      <w:pPr>
        <w:spacing w:after="0" w:line="108" w:lineRule="exact"/>
        <w:rPr>
          <w:sz w:val="20"/>
          <w:szCs w:val="20"/>
          <w:color w:val="auto"/>
        </w:rPr>
      </w:pPr>
    </w:p>
    <w:p>
      <w:pPr>
        <w:ind w:left="1640" w:right="519"/>
        <w:spacing w:after="0" w:line="262" w:lineRule="auto"/>
        <w:rPr>
          <w:sz w:val="20"/>
          <w:szCs w:val="20"/>
          <w:color w:val="auto"/>
        </w:rPr>
      </w:pPr>
      <w:r>
        <w:rPr>
          <w:rFonts w:ascii="Arial" w:cs="Arial" w:eastAsia="Arial" w:hAnsi="Arial"/>
          <w:sz w:val="17"/>
          <w:szCs w:val="17"/>
          <w:color w:val="FF0000"/>
          <w:strike w:val="1"/>
        </w:rPr>
        <w:t>Subject to any applicable law, if there is a conflict or inconsistency between any provision of this constitution and any provision of the Shareholders’ Agreement, the provisions of the Shareholders’ Agreement shall prevail.</w:t>
      </w:r>
    </w:p>
    <w:p>
      <w:pPr>
        <w:spacing w:after="0" w:line="52"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u w:val="single" w:color="auto"/>
          <w:color w:val="0000FF"/>
        </w:rPr>
        <w:t>1.8</w:t>
      </w:r>
      <w:r>
        <w:rPr>
          <w:sz w:val="20"/>
          <w:szCs w:val="20"/>
          <w:color w:val="auto"/>
        </w:rPr>
        <w:tab/>
      </w:r>
      <w:r>
        <w:rPr>
          <w:rFonts w:ascii="Arial" w:cs="Arial" w:eastAsia="Arial" w:hAnsi="Arial"/>
          <w:sz w:val="17"/>
          <w:szCs w:val="17"/>
          <w:b w:val="1"/>
          <w:bCs w:val="1"/>
          <w:color w:val="FF0000"/>
          <w:strike w:val="1"/>
        </w:rPr>
        <w:t>1.9</w:t>
      </w:r>
      <w:r>
        <w:rPr>
          <w:rFonts w:ascii="Arial" w:cs="Arial" w:eastAsia="Arial" w:hAnsi="Arial"/>
          <w:sz w:val="17"/>
          <w:szCs w:val="17"/>
          <w:b w:val="1"/>
          <w:bCs w:val="1"/>
          <w:color w:val="000000"/>
          <w:strike w:val="1"/>
        </w:rPr>
        <w:t>Effect of the Listing Rules</w:t>
      </w:r>
      <w:r>
        <w:rPr>
          <w:rFonts w:ascii="Arial" w:cs="Arial" w:eastAsia="Arial" w:hAnsi="Arial"/>
          <w:sz w:val="17"/>
          <w:szCs w:val="17"/>
          <w:b w:val="1"/>
          <w:bCs w:val="1"/>
          <w:color w:val="FF0000"/>
          <w:strike w:val="1"/>
        </w:rPr>
        <w:t xml:space="preserve"> </w:t>
      </w:r>
      <w:r>
        <w:rPr>
          <w:rFonts w:ascii="Arial" w:cs="Arial" w:eastAsia="Arial" w:hAnsi="Arial"/>
          <w:sz w:val="17"/>
          <w:szCs w:val="17"/>
          <w:b w:val="1"/>
          <w:bCs w:val="1"/>
          <w:u w:val="single" w:color="auto"/>
          <w:color w:val="0000FF"/>
          <w:strike w:val="1"/>
        </w:rPr>
        <w:t>and Securities Laws</w:t>
      </w:r>
    </w:p>
    <w:p>
      <w:pPr>
        <w:spacing w:after="0" w:line="147"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While the company is listed on any Exchange, the following provisions apply:</w:t>
      </w:r>
    </w:p>
    <w:p>
      <w:pPr>
        <w:spacing w:after="0" w:line="106" w:lineRule="exact"/>
        <w:rPr>
          <w:sz w:val="20"/>
          <w:szCs w:val="20"/>
          <w:color w:val="auto"/>
        </w:rPr>
      </w:pPr>
    </w:p>
    <w:p>
      <w:pPr>
        <w:ind w:left="2320" w:right="699" w:hanging="335"/>
        <w:spacing w:after="0" w:line="283" w:lineRule="auto"/>
        <w:tabs>
          <w:tab w:leader="none" w:pos="2320" w:val="left"/>
        </w:tabs>
        <w:numPr>
          <w:ilvl w:val="0"/>
          <w:numId w:val="73"/>
        </w:numPr>
        <w:rPr>
          <w:rFonts w:ascii="Arial" w:cs="Arial" w:eastAsia="Arial" w:hAnsi="Arial"/>
          <w:sz w:val="17"/>
          <w:szCs w:val="17"/>
          <w:color w:val="003551"/>
        </w:rPr>
      </w:pPr>
      <w:r>
        <w:rPr>
          <w:rFonts w:ascii="Arial" w:cs="Arial" w:eastAsia="Arial" w:hAnsi="Arial"/>
          <w:sz w:val="17"/>
          <w:szCs w:val="17"/>
          <w:color w:val="003551"/>
        </w:rPr>
        <w:t xml:space="preserve">notwithstanding anything contained in this constitution, if the Listing Rules </w:t>
      </w:r>
      <w:r>
        <w:rPr>
          <w:rFonts w:ascii="Arial" w:cs="Arial" w:eastAsia="Arial" w:hAnsi="Arial"/>
          <w:sz w:val="17"/>
          <w:szCs w:val="17"/>
          <w:u w:val="single" w:color="auto"/>
          <w:color w:val="0000FF"/>
        </w:rPr>
        <w:t>and/or the</w:t>
      </w:r>
      <w:r>
        <w:rPr>
          <w:rFonts w:ascii="Arial" w:cs="Arial" w:eastAsia="Arial" w:hAnsi="Arial"/>
          <w:sz w:val="17"/>
          <w:szCs w:val="17"/>
          <w:color w:val="003551"/>
        </w:rPr>
        <w:t xml:space="preserve"> </w:t>
      </w:r>
      <w:r>
        <w:rPr>
          <w:rFonts w:ascii="Arial" w:cs="Arial" w:eastAsia="Arial" w:hAnsi="Arial"/>
          <w:sz w:val="17"/>
          <w:szCs w:val="17"/>
          <w:u w:val="single" w:color="auto"/>
          <w:color w:val="0000FF"/>
        </w:rPr>
        <w:t>Securities Laws</w:t>
      </w:r>
      <w:r>
        <w:rPr>
          <w:rFonts w:ascii="Arial" w:cs="Arial" w:eastAsia="Arial" w:hAnsi="Arial"/>
          <w:sz w:val="17"/>
          <w:szCs w:val="17"/>
          <w:color w:val="0000FF"/>
        </w:rPr>
        <w:t xml:space="preserve"> </w:t>
      </w:r>
      <w:r>
        <w:rPr>
          <w:rFonts w:ascii="Arial" w:cs="Arial" w:eastAsia="Arial" w:hAnsi="Arial"/>
          <w:sz w:val="17"/>
          <w:szCs w:val="17"/>
          <w:color w:val="000000"/>
        </w:rPr>
        <w:t>prohibit an act being done, the act must not be done;</w:t>
      </w:r>
    </w:p>
    <w:p>
      <w:pPr>
        <w:spacing w:after="0" w:line="142"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119380</wp:posOffset>
            </wp:positionV>
            <wp:extent cx="6786880" cy="1651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320" w:right="559" w:hanging="335"/>
        <w:spacing w:after="0" w:line="283" w:lineRule="auto"/>
        <w:tabs>
          <w:tab w:leader="none" w:pos="2320" w:val="left"/>
        </w:tabs>
        <w:numPr>
          <w:ilvl w:val="0"/>
          <w:numId w:val="74"/>
        </w:numPr>
        <w:rPr>
          <w:rFonts w:ascii="Arial" w:cs="Arial" w:eastAsia="Arial" w:hAnsi="Arial"/>
          <w:sz w:val="17"/>
          <w:szCs w:val="17"/>
          <w:color w:val="003551"/>
        </w:rPr>
      </w:pPr>
      <w:r>
        <w:rPr>
          <w:rFonts w:ascii="Arial" w:cs="Arial" w:eastAsia="Arial" w:hAnsi="Arial"/>
          <w:sz w:val="17"/>
          <w:szCs w:val="17"/>
          <w:color w:val="003551"/>
        </w:rPr>
        <w:t xml:space="preserve">nothing contained in this constitution prevents an act being done that the Listing Rules </w:t>
      </w:r>
      <w:r>
        <w:rPr>
          <w:rFonts w:ascii="Arial" w:cs="Arial" w:eastAsia="Arial" w:hAnsi="Arial"/>
          <w:sz w:val="17"/>
          <w:szCs w:val="17"/>
          <w:u w:val="single" w:color="auto"/>
          <w:color w:val="0000FF"/>
        </w:rPr>
        <w:t>and/or the Securities Laws</w:t>
      </w:r>
      <w:r>
        <w:rPr>
          <w:rFonts w:ascii="Arial" w:cs="Arial" w:eastAsia="Arial" w:hAnsi="Arial"/>
          <w:sz w:val="17"/>
          <w:szCs w:val="17"/>
          <w:color w:val="0000FF"/>
        </w:rPr>
        <w:t xml:space="preserve"> </w:t>
      </w:r>
      <w:r>
        <w:rPr>
          <w:rFonts w:ascii="Arial" w:cs="Arial" w:eastAsia="Arial" w:hAnsi="Arial"/>
          <w:sz w:val="17"/>
          <w:szCs w:val="17"/>
          <w:color w:val="000000"/>
        </w:rPr>
        <w:t>require to be done;</w:t>
      </w:r>
    </w:p>
    <w:p>
      <w:pPr>
        <w:spacing w:after="0" w:line="36" w:lineRule="exact"/>
        <w:rPr>
          <w:rFonts w:ascii="Arial" w:cs="Arial" w:eastAsia="Arial" w:hAnsi="Arial"/>
          <w:sz w:val="17"/>
          <w:szCs w:val="17"/>
          <w:color w:val="003551"/>
        </w:rPr>
      </w:pPr>
    </w:p>
    <w:p>
      <w:pPr>
        <w:ind w:left="2320" w:right="579" w:hanging="335"/>
        <w:spacing w:after="0" w:line="283" w:lineRule="auto"/>
        <w:tabs>
          <w:tab w:leader="none" w:pos="2320" w:val="left"/>
        </w:tabs>
        <w:numPr>
          <w:ilvl w:val="0"/>
          <w:numId w:val="74"/>
        </w:numPr>
        <w:rPr>
          <w:rFonts w:ascii="Arial" w:cs="Arial" w:eastAsia="Arial" w:hAnsi="Arial"/>
          <w:sz w:val="17"/>
          <w:szCs w:val="17"/>
          <w:color w:val="003551"/>
        </w:rPr>
      </w:pPr>
      <w:r>
        <w:rPr>
          <w:rFonts w:ascii="Arial" w:cs="Arial" w:eastAsia="Arial" w:hAnsi="Arial"/>
          <w:sz w:val="17"/>
          <w:szCs w:val="17"/>
          <w:color w:val="003551"/>
        </w:rPr>
        <w:t xml:space="preserve">if the Listing Rules </w:t>
      </w:r>
      <w:r>
        <w:rPr>
          <w:rFonts w:ascii="Arial" w:cs="Arial" w:eastAsia="Arial" w:hAnsi="Arial"/>
          <w:sz w:val="17"/>
          <w:szCs w:val="17"/>
          <w:u w:val="single" w:color="auto"/>
          <w:color w:val="0000FF"/>
        </w:rPr>
        <w:t>and/or the Securities Laws</w:t>
      </w:r>
      <w:r>
        <w:rPr>
          <w:rFonts w:ascii="Arial" w:cs="Arial" w:eastAsia="Arial" w:hAnsi="Arial"/>
          <w:sz w:val="17"/>
          <w:szCs w:val="17"/>
          <w:color w:val="003551"/>
        </w:rPr>
        <w:t xml:space="preserve"> </w:t>
      </w:r>
      <w:r>
        <w:rPr>
          <w:rFonts w:ascii="Arial" w:cs="Arial" w:eastAsia="Arial" w:hAnsi="Arial"/>
          <w:sz w:val="17"/>
          <w:szCs w:val="17"/>
          <w:color w:val="000000"/>
        </w:rPr>
        <w:t>require an act to be done or not to be</w:t>
      </w:r>
      <w:r>
        <w:rPr>
          <w:rFonts w:ascii="Arial" w:cs="Arial" w:eastAsia="Arial" w:hAnsi="Arial"/>
          <w:sz w:val="17"/>
          <w:szCs w:val="17"/>
          <w:color w:val="003551"/>
        </w:rPr>
        <w:t xml:space="preserve"> </w:t>
      </w:r>
      <w:r>
        <w:rPr>
          <w:rFonts w:ascii="Arial" w:cs="Arial" w:eastAsia="Arial" w:hAnsi="Arial"/>
          <w:sz w:val="17"/>
          <w:szCs w:val="17"/>
          <w:color w:val="000000"/>
        </w:rPr>
        <w:t>done, authority is given for that act to be done or not to be done (as the case may be);</w:t>
      </w:r>
    </w:p>
    <w:p>
      <w:pPr>
        <w:spacing w:after="0" w:line="36" w:lineRule="exact"/>
        <w:rPr>
          <w:rFonts w:ascii="Arial" w:cs="Arial" w:eastAsia="Arial" w:hAnsi="Arial"/>
          <w:sz w:val="17"/>
          <w:szCs w:val="17"/>
          <w:color w:val="003551"/>
        </w:rPr>
      </w:pPr>
    </w:p>
    <w:p>
      <w:pPr>
        <w:ind w:left="2320" w:right="439" w:hanging="335"/>
        <w:spacing w:after="0" w:line="262" w:lineRule="auto"/>
        <w:tabs>
          <w:tab w:leader="none" w:pos="2320" w:val="left"/>
        </w:tabs>
        <w:numPr>
          <w:ilvl w:val="0"/>
          <w:numId w:val="74"/>
        </w:numPr>
        <w:rPr>
          <w:rFonts w:ascii="Arial" w:cs="Arial" w:eastAsia="Arial" w:hAnsi="Arial"/>
          <w:sz w:val="17"/>
          <w:szCs w:val="17"/>
          <w:color w:val="003551"/>
        </w:rPr>
      </w:pPr>
      <w:r>
        <w:rPr>
          <w:rFonts w:ascii="Arial" w:cs="Arial" w:eastAsia="Arial" w:hAnsi="Arial"/>
          <w:sz w:val="17"/>
          <w:szCs w:val="17"/>
          <w:color w:val="003551"/>
        </w:rPr>
        <w:t xml:space="preserve">if the Listing Rules </w:t>
      </w:r>
      <w:r>
        <w:rPr>
          <w:rFonts w:ascii="Arial" w:cs="Arial" w:eastAsia="Arial" w:hAnsi="Arial"/>
          <w:sz w:val="17"/>
          <w:szCs w:val="17"/>
          <w:u w:val="single" w:color="auto"/>
          <w:color w:val="0000FF"/>
        </w:rPr>
        <w:t>and/or the Securities Laws</w:t>
      </w:r>
      <w:r>
        <w:rPr>
          <w:rFonts w:ascii="Arial" w:cs="Arial" w:eastAsia="Arial" w:hAnsi="Arial"/>
          <w:sz w:val="17"/>
          <w:szCs w:val="17"/>
          <w:color w:val="003551"/>
        </w:rPr>
        <w:t xml:space="preserve"> </w:t>
      </w:r>
      <w:r>
        <w:rPr>
          <w:rFonts w:ascii="Arial" w:cs="Arial" w:eastAsia="Arial" w:hAnsi="Arial"/>
          <w:sz w:val="17"/>
          <w:szCs w:val="17"/>
          <w:color w:val="000000"/>
        </w:rPr>
        <w:t>require this constitution to contain a</w:t>
      </w:r>
      <w:r>
        <w:rPr>
          <w:rFonts w:ascii="Arial" w:cs="Arial" w:eastAsia="Arial" w:hAnsi="Arial"/>
          <w:sz w:val="17"/>
          <w:szCs w:val="17"/>
          <w:color w:val="003551"/>
        </w:rPr>
        <w:t xml:space="preserve"> </w:t>
      </w:r>
      <w:r>
        <w:rPr>
          <w:rFonts w:ascii="Arial" w:cs="Arial" w:eastAsia="Arial" w:hAnsi="Arial"/>
          <w:sz w:val="17"/>
          <w:szCs w:val="17"/>
          <w:color w:val="000000"/>
        </w:rPr>
        <w:t>provision and it does not contain such a provision, this constitution is deemed to contain that provision;</w:t>
      </w:r>
    </w:p>
    <w:p>
      <w:pPr>
        <w:spacing w:after="0" w:line="54" w:lineRule="exact"/>
        <w:rPr>
          <w:rFonts w:ascii="Arial" w:cs="Arial" w:eastAsia="Arial" w:hAnsi="Arial"/>
          <w:sz w:val="17"/>
          <w:szCs w:val="17"/>
          <w:color w:val="003551"/>
        </w:rPr>
      </w:pPr>
    </w:p>
    <w:p>
      <w:pPr>
        <w:ind w:left="2320" w:right="439" w:hanging="335"/>
        <w:spacing w:after="0" w:line="262" w:lineRule="auto"/>
        <w:tabs>
          <w:tab w:leader="none" w:pos="2320" w:val="left"/>
        </w:tabs>
        <w:numPr>
          <w:ilvl w:val="0"/>
          <w:numId w:val="74"/>
        </w:numPr>
        <w:rPr>
          <w:rFonts w:ascii="Arial" w:cs="Arial" w:eastAsia="Arial" w:hAnsi="Arial"/>
          <w:sz w:val="17"/>
          <w:szCs w:val="17"/>
          <w:color w:val="003551"/>
        </w:rPr>
      </w:pPr>
      <w:r>
        <w:rPr>
          <w:rFonts w:ascii="Arial" w:cs="Arial" w:eastAsia="Arial" w:hAnsi="Arial"/>
          <w:sz w:val="17"/>
          <w:szCs w:val="17"/>
          <w:color w:val="003551"/>
        </w:rPr>
        <w:t xml:space="preserve">if the Listing Rules </w:t>
      </w:r>
      <w:r>
        <w:rPr>
          <w:rFonts w:ascii="Arial" w:cs="Arial" w:eastAsia="Arial" w:hAnsi="Arial"/>
          <w:sz w:val="17"/>
          <w:szCs w:val="17"/>
          <w:u w:val="single" w:color="auto"/>
          <w:color w:val="0000FF"/>
        </w:rPr>
        <w:t>and/or the Securities Laws</w:t>
      </w:r>
      <w:r>
        <w:rPr>
          <w:rFonts w:ascii="Arial" w:cs="Arial" w:eastAsia="Arial" w:hAnsi="Arial"/>
          <w:sz w:val="17"/>
          <w:szCs w:val="17"/>
          <w:color w:val="003551"/>
        </w:rPr>
        <w:t xml:space="preserve"> </w:t>
      </w:r>
      <w:r>
        <w:rPr>
          <w:rFonts w:ascii="Arial" w:cs="Arial" w:eastAsia="Arial" w:hAnsi="Arial"/>
          <w:sz w:val="17"/>
          <w:szCs w:val="17"/>
          <w:color w:val="000000"/>
        </w:rPr>
        <w:t>require this constitution not to contain a</w:t>
      </w:r>
      <w:r>
        <w:rPr>
          <w:rFonts w:ascii="Arial" w:cs="Arial" w:eastAsia="Arial" w:hAnsi="Arial"/>
          <w:sz w:val="17"/>
          <w:szCs w:val="17"/>
          <w:color w:val="003551"/>
        </w:rPr>
        <w:t xml:space="preserve"> </w:t>
      </w:r>
      <w:r>
        <w:rPr>
          <w:rFonts w:ascii="Arial" w:cs="Arial" w:eastAsia="Arial" w:hAnsi="Arial"/>
          <w:sz w:val="17"/>
          <w:szCs w:val="17"/>
          <w:color w:val="000000"/>
        </w:rPr>
        <w:t>provision and it contains such a provision, this constitution is deemed not to contain that provision; and</w:t>
      </w:r>
    </w:p>
    <w:p>
      <w:pPr>
        <w:spacing w:after="0" w:line="54" w:lineRule="exact"/>
        <w:rPr>
          <w:rFonts w:ascii="Arial" w:cs="Arial" w:eastAsia="Arial" w:hAnsi="Arial"/>
          <w:sz w:val="17"/>
          <w:szCs w:val="17"/>
          <w:color w:val="003551"/>
        </w:rPr>
      </w:pPr>
    </w:p>
    <w:p>
      <w:pPr>
        <w:ind w:left="2320" w:right="619" w:hanging="335"/>
        <w:spacing w:after="0" w:line="262" w:lineRule="auto"/>
        <w:tabs>
          <w:tab w:leader="none" w:pos="2320" w:val="left"/>
        </w:tabs>
        <w:numPr>
          <w:ilvl w:val="0"/>
          <w:numId w:val="74"/>
        </w:numPr>
        <w:rPr>
          <w:rFonts w:ascii="Arial" w:cs="Arial" w:eastAsia="Arial" w:hAnsi="Arial"/>
          <w:sz w:val="17"/>
          <w:szCs w:val="17"/>
          <w:color w:val="003551"/>
        </w:rPr>
      </w:pPr>
      <w:r>
        <w:rPr>
          <w:rFonts w:ascii="Arial" w:cs="Arial" w:eastAsia="Arial" w:hAnsi="Arial"/>
          <w:sz w:val="17"/>
          <w:szCs w:val="17"/>
          <w:color w:val="003551"/>
        </w:rPr>
        <w:t xml:space="preserve">if any provision of this constitution is or becomes inconsistent with the Listing Rules </w:t>
      </w:r>
      <w:r>
        <w:rPr>
          <w:rFonts w:ascii="Arial" w:cs="Arial" w:eastAsia="Arial" w:hAnsi="Arial"/>
          <w:sz w:val="17"/>
          <w:szCs w:val="17"/>
          <w:u w:val="single" w:color="auto"/>
          <w:color w:val="0000FF"/>
        </w:rPr>
        <w:t>and/or the Securities Laws</w:t>
      </w:r>
      <w:r>
        <w:rPr>
          <w:rFonts w:ascii="Arial" w:cs="Arial" w:eastAsia="Arial" w:hAnsi="Arial"/>
          <w:sz w:val="17"/>
          <w:szCs w:val="17"/>
          <w:color w:val="000000"/>
        </w:rPr>
        <w:t>, this constitution is deemed not to contain that provision to</w:t>
      </w:r>
      <w:r>
        <w:rPr>
          <w:rFonts w:ascii="Arial" w:cs="Arial" w:eastAsia="Arial" w:hAnsi="Arial"/>
          <w:sz w:val="17"/>
          <w:szCs w:val="17"/>
          <w:color w:val="0000FF"/>
        </w:rPr>
        <w:t xml:space="preserve"> </w:t>
      </w:r>
      <w:r>
        <w:rPr>
          <w:rFonts w:ascii="Arial" w:cs="Arial" w:eastAsia="Arial" w:hAnsi="Arial"/>
          <w:sz w:val="17"/>
          <w:szCs w:val="17"/>
          <w:color w:val="000000"/>
        </w:rPr>
        <w:t>the extent of the inconsistency.</w:t>
      </w:r>
    </w:p>
    <w:p>
      <w:pPr>
        <w:spacing w:after="0" w:line="52"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u w:val="single" w:color="auto"/>
          <w:color w:val="0000FF"/>
        </w:rPr>
        <w:t>1.9</w:t>
      </w:r>
      <w:r>
        <w:rPr>
          <w:sz w:val="20"/>
          <w:szCs w:val="20"/>
          <w:color w:val="auto"/>
        </w:rPr>
        <w:tab/>
      </w:r>
      <w:r>
        <w:rPr>
          <w:rFonts w:ascii="Arial" w:cs="Arial" w:eastAsia="Arial" w:hAnsi="Arial"/>
          <w:sz w:val="17"/>
          <w:szCs w:val="17"/>
          <w:b w:val="1"/>
          <w:bCs w:val="1"/>
          <w:color w:val="FF0000"/>
          <w:strike w:val="1"/>
        </w:rPr>
        <w:t>1.10</w:t>
      </w:r>
      <w:r>
        <w:rPr>
          <w:rFonts w:ascii="Arial" w:cs="Arial" w:eastAsia="Arial" w:hAnsi="Arial"/>
          <w:sz w:val="17"/>
          <w:szCs w:val="17"/>
          <w:b w:val="1"/>
          <w:bCs w:val="1"/>
          <w:color w:val="000000"/>
          <w:strike w:val="1"/>
        </w:rPr>
        <w:t>Enforceability</w:t>
      </w:r>
    </w:p>
    <w:p>
      <w:pPr>
        <w:spacing w:after="0" w:line="108" w:lineRule="exact"/>
        <w:rPr>
          <w:sz w:val="20"/>
          <w:szCs w:val="20"/>
          <w:color w:val="auto"/>
        </w:rPr>
      </w:pPr>
    </w:p>
    <w:p>
      <w:pPr>
        <w:ind w:left="1640" w:right="399"/>
        <w:spacing w:after="0" w:line="255" w:lineRule="auto"/>
        <w:rPr>
          <w:sz w:val="20"/>
          <w:szCs w:val="20"/>
          <w:color w:val="auto"/>
        </w:rPr>
      </w:pPr>
      <w:r>
        <w:rPr>
          <w:rFonts w:ascii="Arial" w:cs="Arial" w:eastAsia="Arial" w:hAnsi="Arial"/>
          <w:sz w:val="17"/>
          <w:szCs w:val="17"/>
          <w:color w:val="003551"/>
        </w:rPr>
        <w:t>If any provision of this constitution is or becomes illegal, invalid or unenforceable in any jurisdiction then that illegality, invalidity or unenforceability does not affect the legality, validity or enforceability in that jurisdiction of any other provision of this constitution or the legality, validity or enforceability in any other jurisdiction of that provision or any other provision of this constitution.</w:t>
      </w:r>
    </w:p>
    <w:p>
      <w:pPr>
        <w:spacing w:after="0" w:line="58"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u w:val="single" w:color="auto"/>
          <w:color w:val="0000FF"/>
        </w:rPr>
        <w:t>1.10</w:t>
      </w:r>
      <w:r>
        <w:rPr>
          <w:sz w:val="20"/>
          <w:szCs w:val="20"/>
          <w:color w:val="auto"/>
        </w:rPr>
        <w:tab/>
      </w:r>
      <w:r>
        <w:rPr>
          <w:rFonts w:ascii="Arial" w:cs="Arial" w:eastAsia="Arial" w:hAnsi="Arial"/>
          <w:sz w:val="17"/>
          <w:szCs w:val="17"/>
          <w:b w:val="1"/>
          <w:bCs w:val="1"/>
          <w:color w:val="FF0000"/>
          <w:strike w:val="1"/>
        </w:rPr>
        <w:t>1.11</w:t>
      </w:r>
      <w:r>
        <w:rPr>
          <w:rFonts w:ascii="Arial" w:cs="Arial" w:eastAsia="Arial" w:hAnsi="Arial"/>
          <w:sz w:val="17"/>
          <w:szCs w:val="17"/>
          <w:b w:val="1"/>
          <w:bCs w:val="1"/>
          <w:color w:val="000000"/>
          <w:strike w:val="1"/>
        </w:rPr>
        <w:t>Governing law</w:t>
      </w:r>
      <w:r>
        <w:rPr>
          <w:rFonts w:ascii="Arial" w:cs="Arial" w:eastAsia="Arial" w:hAnsi="Arial"/>
          <w:sz w:val="17"/>
          <w:szCs w:val="17"/>
          <w:b w:val="1"/>
          <w:bCs w:val="1"/>
          <w:color w:val="FF0000"/>
          <w:strike w:val="1"/>
        </w:rPr>
        <w:t xml:space="preserve"> and jurisdiction</w:t>
      </w:r>
    </w:p>
    <w:p>
      <w:pPr>
        <w:spacing w:after="0" w:line="108" w:lineRule="exact"/>
        <w:rPr>
          <w:sz w:val="20"/>
          <w:szCs w:val="20"/>
          <w:color w:val="auto"/>
        </w:rPr>
      </w:pPr>
    </w:p>
    <w:p>
      <w:pPr>
        <w:ind w:left="1640" w:right="1079"/>
        <w:spacing w:after="0" w:line="283" w:lineRule="auto"/>
        <w:rPr>
          <w:sz w:val="20"/>
          <w:szCs w:val="20"/>
          <w:color w:val="auto"/>
        </w:rPr>
      </w:pPr>
      <w:r>
        <w:rPr>
          <w:rFonts w:ascii="Arial" w:cs="Arial" w:eastAsia="Arial" w:hAnsi="Arial"/>
          <w:sz w:val="17"/>
          <w:szCs w:val="17"/>
          <w:color w:val="003551"/>
        </w:rPr>
        <w:t xml:space="preserve">This constitution is governed by the law applying in New South Wales </w:t>
      </w:r>
      <w:r>
        <w:rPr>
          <w:rFonts w:ascii="Arial" w:cs="Arial" w:eastAsia="Arial" w:hAnsi="Arial"/>
          <w:sz w:val="17"/>
          <w:szCs w:val="17"/>
          <w:color w:val="FF0000"/>
        </w:rPr>
        <w:t>and each member</w:t>
      </w:r>
      <w:r>
        <w:rPr>
          <w:rFonts w:ascii="Arial" w:cs="Arial" w:eastAsia="Arial" w:hAnsi="Arial"/>
          <w:sz w:val="17"/>
          <w:szCs w:val="17"/>
          <w:color w:val="003551"/>
        </w:rPr>
        <w:t xml:space="preserve"> </w:t>
      </w:r>
      <w:r>
        <w:rPr>
          <w:rFonts w:ascii="Arial" w:cs="Arial" w:eastAsia="Arial" w:hAnsi="Arial"/>
          <w:sz w:val="17"/>
          <w:szCs w:val="17"/>
          <w:color w:val="FF0000"/>
          <w:strike w:val="1"/>
        </w:rPr>
        <w:t xml:space="preserve">irrevocably submits to the non-exclusive jurisdiction of </w:t>
      </w:r>
      <w:r>
        <w:rPr>
          <w:rFonts w:ascii="Arial" w:cs="Arial" w:eastAsia="Arial" w:hAnsi="Arial"/>
          <w:sz w:val="17"/>
          <w:szCs w:val="17"/>
          <w:u w:val="single" w:color="auto"/>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4442460</wp:posOffset>
            </wp:positionH>
            <wp:positionV relativeFrom="paragraph">
              <wp:posOffset>-222885</wp:posOffset>
            </wp:positionV>
            <wp:extent cx="92456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924560" cy="8255"/>
                    </a:xfrm>
                    <a:prstGeom prst="rect">
                      <a:avLst/>
                    </a:prstGeom>
                    <a:noFill/>
                  </pic:spPr>
                </pic:pic>
              </a:graphicData>
            </a:graphic>
          </wp:anchor>
        </w:drawing>
      </w:r>
    </w:p>
    <w:p>
      <w:pPr>
        <w:spacing w:after="0" w:line="15"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u w:val="single" w:color="auto"/>
          <w:color w:val="0000FF"/>
        </w:rPr>
        <w:t>1.11</w:t>
      </w:r>
      <w:r>
        <w:rPr>
          <w:sz w:val="20"/>
          <w:szCs w:val="20"/>
          <w:color w:val="auto"/>
        </w:rPr>
        <w:tab/>
      </w:r>
      <w:r>
        <w:rPr>
          <w:rFonts w:ascii="Arial" w:cs="Arial" w:eastAsia="Arial" w:hAnsi="Arial"/>
          <w:sz w:val="17"/>
          <w:szCs w:val="17"/>
          <w:b w:val="1"/>
          <w:bCs w:val="1"/>
          <w:u w:val="single" w:color="auto"/>
          <w:color w:val="0000FF"/>
        </w:rPr>
        <w:t>Forum selection</w:t>
      </w:r>
    </w:p>
    <w:p>
      <w:pPr>
        <w:spacing w:after="0" w:line="134" w:lineRule="exact"/>
        <w:rPr>
          <w:sz w:val="20"/>
          <w:szCs w:val="20"/>
          <w:color w:val="auto"/>
        </w:rPr>
      </w:pPr>
    </w:p>
    <w:p>
      <w:pPr>
        <w:ind w:left="1640"/>
        <w:spacing w:after="0"/>
        <w:rPr>
          <w:sz w:val="20"/>
          <w:szCs w:val="20"/>
          <w:color w:val="auto"/>
        </w:rPr>
      </w:pPr>
      <w:r>
        <w:rPr>
          <w:rFonts w:ascii="Arial" w:cs="Arial" w:eastAsia="Arial" w:hAnsi="Arial"/>
          <w:sz w:val="17"/>
          <w:szCs w:val="17"/>
          <w:u w:val="single" w:color="auto"/>
          <w:color w:val="0000FF"/>
        </w:rPr>
        <w:t>Unless the company consents in writing to the selection of an alternative forum:</w:t>
      </w:r>
    </w:p>
    <w:p>
      <w:pPr>
        <w:spacing w:after="0" w:line="106" w:lineRule="exact"/>
        <w:rPr>
          <w:sz w:val="20"/>
          <w:szCs w:val="20"/>
          <w:color w:val="auto"/>
        </w:rPr>
      </w:pPr>
    </w:p>
    <w:p>
      <w:pPr>
        <w:ind w:left="2320" w:right="379" w:hanging="335"/>
        <w:spacing w:after="0" w:line="251" w:lineRule="auto"/>
        <w:tabs>
          <w:tab w:leader="none" w:pos="2320" w:val="left"/>
        </w:tabs>
        <w:numPr>
          <w:ilvl w:val="0"/>
          <w:numId w:val="75"/>
        </w:numPr>
        <w:rPr>
          <w:rFonts w:ascii="Arial" w:cs="Arial" w:eastAsia="Arial" w:hAnsi="Arial"/>
          <w:sz w:val="17"/>
          <w:szCs w:val="17"/>
          <w:color w:val="003551"/>
        </w:rPr>
      </w:pPr>
      <w:r>
        <w:rPr>
          <w:rFonts w:ascii="Arial" w:cs="Arial" w:eastAsia="Arial" w:hAnsi="Arial"/>
          <w:sz w:val="17"/>
          <w:szCs w:val="17"/>
          <w:u w:val="single" w:color="auto"/>
          <w:color w:val="0000FF"/>
        </w:rPr>
        <w:t>the courts of having jurisdiction in the state of New South Wales and appellate courts therefrom shall, to the fullest extent permitted by law, be the sole and exclusive forum for</w:t>
      </w:r>
    </w:p>
    <w:p>
      <w:pPr>
        <w:ind w:left="2320" w:right="379"/>
        <w:spacing w:after="0" w:line="242" w:lineRule="auto"/>
        <w:rPr>
          <w:rFonts w:ascii="Arial" w:cs="Arial" w:eastAsia="Arial" w:hAnsi="Arial"/>
          <w:sz w:val="17"/>
          <w:szCs w:val="17"/>
          <w:color w:val="003551"/>
        </w:rPr>
      </w:pPr>
      <w:r>
        <w:rPr>
          <w:rFonts w:ascii="Arial" w:cs="Arial" w:eastAsia="Arial" w:hAnsi="Arial"/>
          <w:sz w:val="17"/>
          <w:szCs w:val="17"/>
          <w:u w:val="single" w:color="auto"/>
          <w:color w:val="0000FF"/>
        </w:rPr>
        <w:t>(i) any derivative action or proceeding brought on behalf of the company; (ii) any action or proceeding asserting a claim of breach of a fiduciary duty owed by any director, officer, or other employee of the company to the company; (iii) any action or proceeding asserting a claim arising pursuant to any provision of the Corporations Act; or (iv) any action or proceeding asserting a claim or otherwise related to the relationships among the company, its affiliates and their respective shareholders, directors and/or officers, but this clause (iv) does not include claims related to the business carried on by the company or such affiliates. If any action or proceeding the subject matter of which is within the scope of the preceding sentence is filed in a court other than a court having jurisdiction in the state of New South Wales (a “</w:t>
      </w:r>
      <w:r>
        <w:rPr>
          <w:rFonts w:ascii="Arial" w:cs="Arial" w:eastAsia="Arial" w:hAnsi="Arial"/>
          <w:sz w:val="17"/>
          <w:szCs w:val="17"/>
          <w:b w:val="1"/>
          <w:bCs w:val="1"/>
          <w:u w:val="single" w:color="auto"/>
          <w:color w:val="0000FF"/>
        </w:rPr>
        <w:t>Foreign Action</w:t>
      </w:r>
      <w:r>
        <w:rPr>
          <w:rFonts w:ascii="Arial" w:cs="Arial" w:eastAsia="Arial" w:hAnsi="Arial"/>
          <w:sz w:val="17"/>
          <w:szCs w:val="17"/>
          <w:u w:val="single" w:color="auto"/>
          <w:color w:val="0000FF"/>
        </w:rPr>
        <w:t>”) in the name of any securityholder, such securityholder shall be deemed to have consented to (i) the personal jurisdiction of</w:t>
      </w:r>
      <w:r>
        <w:rPr>
          <w:rFonts w:ascii="Arial" w:cs="Arial" w:eastAsia="Arial" w:hAnsi="Arial"/>
          <w:sz w:val="17"/>
          <w:szCs w:val="17"/>
          <w:color w:val="0000FF"/>
        </w:rPr>
        <w:t xml:space="preserve"> </w:t>
      </w:r>
      <w:r>
        <w:rPr>
          <w:rFonts w:ascii="Arial" w:cs="Arial" w:eastAsia="Arial" w:hAnsi="Arial"/>
          <w:sz w:val="17"/>
          <w:szCs w:val="17"/>
          <w:color w:val="000000"/>
        </w:rPr>
        <w:t>the courts having jurisdiction in the state of New South Wales</w:t>
      </w:r>
      <w:r>
        <w:rPr>
          <w:rFonts w:ascii="Arial" w:cs="Arial" w:eastAsia="Arial" w:hAnsi="Arial"/>
          <w:sz w:val="17"/>
          <w:szCs w:val="17"/>
          <w:color w:val="0000FF"/>
        </w:rPr>
        <w:t xml:space="preserve"> </w:t>
      </w:r>
      <w:r>
        <w:rPr>
          <w:rFonts w:ascii="Arial" w:cs="Arial" w:eastAsia="Arial" w:hAnsi="Arial"/>
          <w:sz w:val="17"/>
          <w:szCs w:val="17"/>
          <w:color w:val="FF0000"/>
          <w:strike w:val="1"/>
        </w:rPr>
        <w:t>to</w:t>
      </w:r>
      <w:r>
        <w:rPr>
          <w:rFonts w:ascii="Arial" w:cs="Arial" w:eastAsia="Arial" w:hAnsi="Arial"/>
          <w:sz w:val="17"/>
          <w:szCs w:val="17"/>
          <w:color w:val="0000FF"/>
        </w:rPr>
        <w:t xml:space="preserve"> </w:t>
      </w:r>
      <w:r>
        <w:rPr>
          <w:rFonts w:ascii="Arial" w:cs="Arial" w:eastAsia="Arial" w:hAnsi="Arial"/>
          <w:sz w:val="17"/>
          <w:szCs w:val="17"/>
          <w:color w:val="FF0000"/>
          <w:strike w:val="1"/>
        </w:rPr>
        <w:t>settle any dispute arising out of or</w:t>
      </w:r>
      <w:r>
        <w:rPr>
          <w:rFonts w:ascii="Arial" w:cs="Arial" w:eastAsia="Arial" w:hAnsi="Arial"/>
          <w:sz w:val="17"/>
          <w:szCs w:val="17"/>
          <w:color w:val="FF0000"/>
        </w:rPr>
        <w:t xml:space="preserve"> </w:t>
      </w:r>
      <w:r>
        <w:rPr>
          <w:rFonts w:ascii="Arial" w:cs="Arial" w:eastAsia="Arial" w:hAnsi="Arial"/>
          <w:sz w:val="17"/>
          <w:szCs w:val="17"/>
          <w:color w:val="000000"/>
        </w:rPr>
        <w:t>in connection with</w:t>
      </w:r>
      <w:r>
        <w:rPr>
          <w:rFonts w:ascii="Arial" w:cs="Arial" w:eastAsia="Arial" w:hAnsi="Arial"/>
          <w:sz w:val="17"/>
          <w:szCs w:val="17"/>
          <w:color w:val="FF0000"/>
        </w:rPr>
        <w:t xml:space="preserve"> </w:t>
      </w:r>
      <w:r>
        <w:rPr>
          <w:rFonts w:ascii="Arial" w:cs="Arial" w:eastAsia="Arial" w:hAnsi="Arial"/>
          <w:sz w:val="17"/>
          <w:szCs w:val="17"/>
          <w:color w:val="FF0000"/>
          <w:strike w:val="1"/>
        </w:rPr>
        <w:t>this constitution.</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any action or</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proceeding brought in any such court to enforce the preceding sentence and (ii) having service of process made upon such securityholder in any such action or proceeding by service upon such securityholder’s counsel in the Foreign Action as agent for such securityholder. The preceding sentence of this rule 1.11(a) shall not apply to claims arising under the Securities Act, Exchange Act or any other U.S. federal securities laws for which there is exclusive U.S. federal or concurrent U.S. federal and state jurisdiction; and</w:t>
      </w:r>
    </w:p>
    <w:p>
      <w:pPr>
        <w:spacing w:after="0" w:line="273" w:lineRule="exact"/>
        <w:rPr>
          <w:rFonts w:ascii="Arial" w:cs="Arial" w:eastAsia="Arial" w:hAnsi="Arial"/>
          <w:sz w:val="17"/>
          <w:szCs w:val="17"/>
          <w:color w:val="003551"/>
        </w:rPr>
      </w:pPr>
    </w:p>
    <w:p>
      <w:pPr>
        <w:ind w:left="2320" w:right="399" w:hanging="335"/>
        <w:spacing w:after="0" w:line="262" w:lineRule="auto"/>
        <w:tabs>
          <w:tab w:leader="none" w:pos="2320" w:val="left"/>
        </w:tabs>
        <w:numPr>
          <w:ilvl w:val="0"/>
          <w:numId w:val="75"/>
        </w:numPr>
        <w:rPr>
          <w:rFonts w:ascii="Arial" w:cs="Arial" w:eastAsia="Arial" w:hAnsi="Arial"/>
          <w:sz w:val="17"/>
          <w:szCs w:val="17"/>
          <w:color w:val="0000FF"/>
        </w:rPr>
      </w:pPr>
      <w:r>
        <w:rPr>
          <w:rFonts w:ascii="Arial" w:cs="Arial" w:eastAsia="Arial" w:hAnsi="Arial"/>
          <w:sz w:val="17"/>
          <w:szCs w:val="17"/>
          <w:u w:val="single" w:color="auto"/>
          <w:color w:val="0000FF"/>
        </w:rPr>
        <w:t>the federal district courts of the United States of America shall be the exclusive forum for the resolution of any complaint asserting a cause of action arising under the Securities Act.</w:t>
      </w:r>
    </w:p>
    <w:p>
      <w:pPr>
        <w:spacing w:after="0" w:line="159"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127635</wp:posOffset>
            </wp:positionV>
            <wp:extent cx="6786880" cy="1651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1640" w:right="739"/>
        <w:spacing w:after="0" w:line="283" w:lineRule="auto"/>
        <w:rPr>
          <w:sz w:val="20"/>
          <w:szCs w:val="20"/>
          <w:color w:val="auto"/>
        </w:rPr>
      </w:pPr>
      <w:r>
        <w:rPr>
          <w:rFonts w:ascii="Arial" w:cs="Arial" w:eastAsia="Arial" w:hAnsi="Arial"/>
          <w:sz w:val="17"/>
          <w:szCs w:val="17"/>
          <w:u w:val="single" w:color="auto"/>
          <w:color w:val="0000FF"/>
        </w:rPr>
        <w:t>Any person or entity purchasing or otherwise acquiring any interest in the share capital of the company shall be deemed to have notice of and consented to the provisions of this rule 1.11.</w:t>
      </w:r>
    </w:p>
    <w:p>
      <w:pPr>
        <w:spacing w:after="0" w:line="35" w:lineRule="exact"/>
        <w:rPr>
          <w:sz w:val="20"/>
          <w:szCs w:val="20"/>
          <w:color w:val="auto"/>
        </w:rPr>
      </w:pPr>
    </w:p>
    <w:p>
      <w:pPr>
        <w:ind w:left="1640" w:hanging="703"/>
        <w:spacing w:after="0"/>
        <w:tabs>
          <w:tab w:leader="none" w:pos="1640" w:val="left"/>
        </w:tabs>
        <w:numPr>
          <w:ilvl w:val="0"/>
          <w:numId w:val="76"/>
        </w:numPr>
        <w:rPr>
          <w:rFonts w:ascii="Arial" w:cs="Arial" w:eastAsia="Arial" w:hAnsi="Arial"/>
          <w:sz w:val="17"/>
          <w:szCs w:val="17"/>
          <w:b w:val="1"/>
          <w:bCs w:val="1"/>
          <w:color w:val="003551"/>
        </w:rPr>
      </w:pPr>
      <w:r>
        <w:rPr>
          <w:rFonts w:ascii="Arial" w:cs="Arial" w:eastAsia="Arial" w:hAnsi="Arial"/>
          <w:sz w:val="17"/>
          <w:szCs w:val="17"/>
          <w:b w:val="1"/>
          <w:bCs w:val="1"/>
          <w:color w:val="003551"/>
        </w:rPr>
        <w:t>POWERS AND RESPONSIBILITIES OF THE BOARD</w:t>
      </w:r>
    </w:p>
    <w:p>
      <w:pPr>
        <w:spacing w:after="0" w:line="105" w:lineRule="exact"/>
        <w:rPr>
          <w:rFonts w:ascii="Arial" w:cs="Arial" w:eastAsia="Arial" w:hAnsi="Arial"/>
          <w:sz w:val="17"/>
          <w:szCs w:val="17"/>
          <w:b w:val="1"/>
          <w:bCs w:val="1"/>
          <w:color w:val="003551"/>
        </w:rPr>
      </w:pPr>
    </w:p>
    <w:p>
      <w:pPr>
        <w:ind w:left="940"/>
        <w:spacing w:after="0"/>
        <w:rPr>
          <w:rFonts w:ascii="Arial" w:cs="Arial" w:eastAsia="Arial" w:hAnsi="Arial"/>
          <w:sz w:val="17"/>
          <w:szCs w:val="17"/>
          <w:b w:val="1"/>
          <w:bCs w:val="1"/>
          <w:color w:val="003551"/>
        </w:rPr>
      </w:pPr>
      <w:r>
        <w:rPr>
          <w:rFonts w:ascii="Arial" w:cs="Arial" w:eastAsia="Arial" w:hAnsi="Arial"/>
          <w:sz w:val="17"/>
          <w:szCs w:val="17"/>
          <w:b w:val="1"/>
          <w:bCs w:val="1"/>
          <w:color w:val="003551"/>
        </w:rPr>
        <w:t>2.1Management of the business of the company</w:t>
      </w:r>
    </w:p>
    <w:p>
      <w:pPr>
        <w:spacing w:after="0" w:line="108" w:lineRule="exact"/>
        <w:rPr>
          <w:sz w:val="20"/>
          <w:szCs w:val="20"/>
          <w:color w:val="auto"/>
        </w:rPr>
      </w:pPr>
    </w:p>
    <w:p>
      <w:pPr>
        <w:ind w:left="1640" w:right="439"/>
        <w:spacing w:after="0" w:line="248" w:lineRule="auto"/>
        <w:rPr>
          <w:sz w:val="20"/>
          <w:szCs w:val="20"/>
          <w:color w:val="auto"/>
        </w:rPr>
      </w:pPr>
      <w:r>
        <w:rPr>
          <w:rFonts w:ascii="Arial" w:cs="Arial" w:eastAsia="Arial" w:hAnsi="Arial"/>
          <w:sz w:val="17"/>
          <w:szCs w:val="17"/>
          <w:color w:val="003551"/>
        </w:rPr>
        <w:t>The business and affairs of the company are to be managed by or under the direction of the board, which may exercise all the powers of the company and do all things that are not under the Corporations Act, Listing Rules</w:t>
      </w:r>
      <w:r>
        <w:rPr>
          <w:rFonts w:ascii="Arial" w:cs="Arial" w:eastAsia="Arial" w:hAnsi="Arial"/>
          <w:sz w:val="17"/>
          <w:szCs w:val="17"/>
          <w:u w:val="single" w:color="auto"/>
          <w:color w:val="0000FF"/>
        </w:rPr>
        <w:t>, the Securities Laws</w:t>
      </w:r>
      <w:r>
        <w:rPr>
          <w:rFonts w:ascii="Arial" w:cs="Arial" w:eastAsia="Arial" w:hAnsi="Arial"/>
          <w:sz w:val="17"/>
          <w:szCs w:val="17"/>
          <w:color w:val="003551"/>
        </w:rPr>
        <w:t xml:space="preserve"> </w:t>
      </w:r>
      <w:r>
        <w:rPr>
          <w:rFonts w:ascii="Arial" w:cs="Arial" w:eastAsia="Arial" w:hAnsi="Arial"/>
          <w:sz w:val="17"/>
          <w:szCs w:val="17"/>
          <w:color w:val="000000"/>
        </w:rPr>
        <w:t>or by this constitution required to be</w:t>
      </w:r>
      <w:r>
        <w:rPr>
          <w:rFonts w:ascii="Arial" w:cs="Arial" w:eastAsia="Arial" w:hAnsi="Arial"/>
          <w:sz w:val="17"/>
          <w:szCs w:val="17"/>
          <w:color w:val="003551"/>
        </w:rPr>
        <w:t xml:space="preserve"> </w:t>
      </w:r>
      <w:r>
        <w:rPr>
          <w:rFonts w:ascii="Arial" w:cs="Arial" w:eastAsia="Arial" w:hAnsi="Arial"/>
          <w:sz w:val="17"/>
          <w:szCs w:val="17"/>
          <w:color w:val="000000"/>
        </w:rPr>
        <w:t>exercised by the company in general meeting, including the powers of the company to borrow or raise money, to issue securities and debentures, to charge any business or assets of the company or all or any of its uncalled capital and to give any other security for any debt, liability or obligation of the company or of any other person.</w:t>
      </w:r>
    </w:p>
    <w:p>
      <w:pPr>
        <w:spacing w:after="0" w:line="64"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2.2</w:t>
      </w:r>
      <w:r>
        <w:rPr>
          <w:sz w:val="20"/>
          <w:szCs w:val="20"/>
          <w:color w:val="auto"/>
        </w:rPr>
        <w:tab/>
      </w:r>
      <w:r>
        <w:rPr>
          <w:rFonts w:ascii="Arial" w:cs="Arial" w:eastAsia="Arial" w:hAnsi="Arial"/>
          <w:sz w:val="17"/>
          <w:szCs w:val="17"/>
          <w:b w:val="1"/>
          <w:bCs w:val="1"/>
          <w:color w:val="003551"/>
        </w:rPr>
        <w:t>Delegation by the board</w:t>
      </w:r>
    </w:p>
    <w:p>
      <w:pPr>
        <w:spacing w:after="0" w:line="134"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The board may:</w:t>
      </w:r>
    </w:p>
    <w:p>
      <w:pPr>
        <w:spacing w:after="0" w:line="106" w:lineRule="exact"/>
        <w:rPr>
          <w:sz w:val="20"/>
          <w:szCs w:val="20"/>
          <w:color w:val="auto"/>
        </w:rPr>
      </w:pPr>
    </w:p>
    <w:p>
      <w:pPr>
        <w:ind w:left="2320" w:right="539" w:hanging="335"/>
        <w:spacing w:after="0" w:line="255" w:lineRule="auto"/>
        <w:tabs>
          <w:tab w:leader="none" w:pos="2320" w:val="left"/>
        </w:tabs>
        <w:numPr>
          <w:ilvl w:val="0"/>
          <w:numId w:val="77"/>
        </w:numPr>
        <w:rPr>
          <w:rFonts w:ascii="Arial" w:cs="Arial" w:eastAsia="Arial" w:hAnsi="Arial"/>
          <w:sz w:val="17"/>
          <w:szCs w:val="17"/>
          <w:color w:val="003551"/>
        </w:rPr>
      </w:pPr>
      <w:r>
        <w:rPr>
          <w:rFonts w:ascii="Arial" w:cs="Arial" w:eastAsia="Arial" w:hAnsi="Arial"/>
          <w:sz w:val="17"/>
          <w:szCs w:val="17"/>
          <w:color w:val="003551"/>
        </w:rPr>
        <w:t>delegate any of its powers, authorities and discretions to a committee of the board consisting of one or more directors, to a director or to any other person in each case to such extent, by such means (including by power of attorney) and on such terms and conditions as the directors think fit;</w:t>
      </w:r>
    </w:p>
    <w:p>
      <w:pPr>
        <w:spacing w:after="0" w:line="59" w:lineRule="exact"/>
        <w:rPr>
          <w:rFonts w:ascii="Arial" w:cs="Arial" w:eastAsia="Arial" w:hAnsi="Arial"/>
          <w:sz w:val="17"/>
          <w:szCs w:val="17"/>
          <w:color w:val="003551"/>
        </w:rPr>
      </w:pPr>
    </w:p>
    <w:p>
      <w:pPr>
        <w:jc w:val="both"/>
        <w:ind w:left="2320" w:right="479" w:hanging="335"/>
        <w:spacing w:after="0" w:line="262" w:lineRule="auto"/>
        <w:tabs>
          <w:tab w:leader="none" w:pos="2320" w:val="left"/>
        </w:tabs>
        <w:numPr>
          <w:ilvl w:val="0"/>
          <w:numId w:val="77"/>
        </w:numPr>
        <w:rPr>
          <w:rFonts w:ascii="Arial" w:cs="Arial" w:eastAsia="Arial" w:hAnsi="Arial"/>
          <w:sz w:val="17"/>
          <w:szCs w:val="17"/>
          <w:color w:val="003551"/>
        </w:rPr>
      </w:pPr>
      <w:r>
        <w:rPr>
          <w:rFonts w:ascii="Arial" w:cs="Arial" w:eastAsia="Arial" w:hAnsi="Arial"/>
          <w:sz w:val="17"/>
          <w:szCs w:val="17"/>
          <w:color w:val="003551"/>
        </w:rPr>
        <w:t xml:space="preserve">authorise any person to whom powers, authorities and discretions are delegated under this </w:t>
      </w:r>
      <w:r>
        <w:rPr>
          <w:rFonts w:ascii="Arial" w:cs="Arial" w:eastAsia="Arial" w:hAnsi="Arial"/>
          <w:sz w:val="17"/>
          <w:szCs w:val="17"/>
          <w:u w:val="single" w:color="auto"/>
          <w:color w:val="003551"/>
        </w:rPr>
        <w:t>rule 2.2</w:t>
      </w:r>
      <w:r>
        <w:rPr>
          <w:rFonts w:ascii="Arial" w:cs="Arial" w:eastAsia="Arial" w:hAnsi="Arial"/>
          <w:sz w:val="17"/>
          <w:szCs w:val="17"/>
          <w:color w:val="003551"/>
        </w:rPr>
        <w:t xml:space="preserve"> to further delegate some or all of those powers, authorities and discretions; and</w:t>
      </w:r>
    </w:p>
    <w:p>
      <w:pPr>
        <w:spacing w:after="0" w:line="54" w:lineRule="exact"/>
        <w:rPr>
          <w:rFonts w:ascii="Arial" w:cs="Arial" w:eastAsia="Arial" w:hAnsi="Arial"/>
          <w:sz w:val="17"/>
          <w:szCs w:val="17"/>
          <w:color w:val="003551"/>
        </w:rPr>
      </w:pPr>
    </w:p>
    <w:p>
      <w:pPr>
        <w:ind w:left="2320" w:right="439" w:hanging="335"/>
        <w:spacing w:after="0" w:line="283" w:lineRule="auto"/>
        <w:tabs>
          <w:tab w:leader="none" w:pos="2320" w:val="left"/>
        </w:tabs>
        <w:numPr>
          <w:ilvl w:val="0"/>
          <w:numId w:val="77"/>
        </w:numPr>
        <w:rPr>
          <w:rFonts w:ascii="Arial" w:cs="Arial" w:eastAsia="Arial" w:hAnsi="Arial"/>
          <w:sz w:val="17"/>
          <w:szCs w:val="17"/>
          <w:color w:val="003551"/>
        </w:rPr>
      </w:pPr>
      <w:r>
        <w:rPr>
          <w:rFonts w:ascii="Arial" w:cs="Arial" w:eastAsia="Arial" w:hAnsi="Arial"/>
          <w:sz w:val="17"/>
          <w:szCs w:val="17"/>
          <w:color w:val="003551"/>
        </w:rPr>
        <w:t xml:space="preserve">at any time revoke any delegation made under this </w:t>
      </w:r>
      <w:r>
        <w:rPr>
          <w:rFonts w:ascii="Arial" w:cs="Arial" w:eastAsia="Arial" w:hAnsi="Arial"/>
          <w:sz w:val="17"/>
          <w:szCs w:val="17"/>
          <w:u w:val="single" w:color="auto"/>
          <w:color w:val="003551"/>
        </w:rPr>
        <w:t>rule 2.2</w:t>
      </w:r>
      <w:r>
        <w:rPr>
          <w:rFonts w:ascii="Arial" w:cs="Arial" w:eastAsia="Arial" w:hAnsi="Arial"/>
          <w:sz w:val="17"/>
          <w:szCs w:val="17"/>
          <w:color w:val="003551"/>
        </w:rPr>
        <w:t xml:space="preserve"> in whole or in part or vary its terms and conditions,</w:t>
      </w:r>
    </w:p>
    <w:p>
      <w:pPr>
        <w:spacing w:after="0" w:line="37" w:lineRule="exact"/>
        <w:rPr>
          <w:sz w:val="20"/>
          <w:szCs w:val="20"/>
          <w:color w:val="auto"/>
        </w:rPr>
      </w:pPr>
    </w:p>
    <w:p>
      <w:pPr>
        <w:ind w:left="1980" w:right="459"/>
        <w:spacing w:after="0" w:line="262" w:lineRule="auto"/>
        <w:rPr>
          <w:sz w:val="20"/>
          <w:szCs w:val="20"/>
          <w:color w:val="auto"/>
        </w:rPr>
      </w:pPr>
      <w:r>
        <w:rPr>
          <w:rFonts w:ascii="Arial" w:cs="Arial" w:eastAsia="Arial" w:hAnsi="Arial"/>
          <w:sz w:val="17"/>
          <w:szCs w:val="17"/>
          <w:color w:val="003551"/>
        </w:rPr>
        <w:t xml:space="preserve">and the acceptance of a delegation of powers by a director may, if the board so resolves, be treated as an additional or special service performed by the delegate for the purposes of </w:t>
      </w:r>
      <w:r>
        <w:rPr>
          <w:rFonts w:ascii="Arial" w:cs="Arial" w:eastAsia="Arial" w:hAnsi="Arial"/>
          <w:sz w:val="17"/>
          <w:szCs w:val="17"/>
          <w:u w:val="single" w:color="auto"/>
          <w:color w:val="003551"/>
        </w:rPr>
        <w:t>rule 5.3</w:t>
      </w:r>
      <w:r>
        <w:rPr>
          <w:rFonts w:ascii="Arial" w:cs="Arial" w:eastAsia="Arial" w:hAnsi="Arial"/>
          <w:sz w:val="17"/>
          <w:szCs w:val="17"/>
          <w:color w:val="003551"/>
        </w:rPr>
        <w:t>.</w:t>
      </w:r>
    </w:p>
    <w:p>
      <w:pPr>
        <w:spacing w:after="0" w:line="52"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2.3</w:t>
      </w:r>
      <w:r>
        <w:rPr>
          <w:sz w:val="20"/>
          <w:szCs w:val="20"/>
          <w:color w:val="auto"/>
        </w:rPr>
        <w:tab/>
      </w:r>
      <w:r>
        <w:rPr>
          <w:rFonts w:ascii="Arial" w:cs="Arial" w:eastAsia="Arial" w:hAnsi="Arial"/>
          <w:sz w:val="17"/>
          <w:szCs w:val="17"/>
          <w:b w:val="1"/>
          <w:bCs w:val="1"/>
          <w:color w:val="003551"/>
        </w:rPr>
        <w:t>Committees</w:t>
      </w:r>
    </w:p>
    <w:p>
      <w:pPr>
        <w:spacing w:after="0" w:line="108" w:lineRule="exact"/>
        <w:rPr>
          <w:sz w:val="20"/>
          <w:szCs w:val="20"/>
          <w:color w:val="auto"/>
        </w:rPr>
      </w:pPr>
    </w:p>
    <w:p>
      <w:pPr>
        <w:ind w:left="1640" w:right="519"/>
        <w:spacing w:after="0" w:line="249" w:lineRule="auto"/>
        <w:rPr>
          <w:sz w:val="20"/>
          <w:szCs w:val="20"/>
          <w:color w:val="auto"/>
        </w:rPr>
      </w:pPr>
      <w:r>
        <w:rPr>
          <w:rFonts w:ascii="Arial" w:cs="Arial" w:eastAsia="Arial" w:hAnsi="Arial"/>
          <w:sz w:val="17"/>
          <w:szCs w:val="17"/>
          <w:color w:val="003551"/>
        </w:rPr>
        <w:t xml:space="preserve">A committee to which any powers, authorities and discretions have been delegated under </w:t>
      </w:r>
      <w:r>
        <w:rPr>
          <w:rFonts w:ascii="Arial" w:cs="Arial" w:eastAsia="Arial" w:hAnsi="Arial"/>
          <w:sz w:val="17"/>
          <w:szCs w:val="17"/>
          <w:u w:val="single" w:color="auto"/>
          <w:color w:val="003551"/>
        </w:rPr>
        <w:t>rule</w:t>
      </w:r>
      <w:r>
        <w:rPr>
          <w:rFonts w:ascii="Arial" w:cs="Arial" w:eastAsia="Arial" w:hAnsi="Arial"/>
          <w:sz w:val="17"/>
          <w:szCs w:val="17"/>
          <w:color w:val="003551"/>
        </w:rPr>
        <w:t xml:space="preserve"> </w:t>
      </w:r>
      <w:r>
        <w:rPr>
          <w:rFonts w:ascii="Arial" w:cs="Arial" w:eastAsia="Arial" w:hAnsi="Arial"/>
          <w:sz w:val="17"/>
          <w:szCs w:val="17"/>
          <w:u w:val="single" w:color="auto"/>
          <w:color w:val="003551"/>
        </w:rPr>
        <w:t>2.2</w:t>
      </w:r>
      <w:r>
        <w:rPr>
          <w:rFonts w:ascii="Arial" w:cs="Arial" w:eastAsia="Arial" w:hAnsi="Arial"/>
          <w:sz w:val="17"/>
          <w:szCs w:val="17"/>
          <w:color w:val="003551"/>
        </w:rPr>
        <w:t xml:space="preserve"> must exercise those powers, authorities and discretions in accordance with the terms of the delegation and any other regulations that may be imposed by the board on that committee. The proceedings of a committee of the board must be conducted in accordance with any regulations imposed by the board, and, subject to any such regulations, to the rules of this constitution dealing with proceedings of the board.</w:t>
      </w:r>
    </w:p>
    <w:p>
      <w:pPr>
        <w:spacing w:after="0" w:line="65" w:lineRule="exact"/>
        <w:rPr>
          <w:sz w:val="20"/>
          <w:szCs w:val="20"/>
          <w:color w:val="auto"/>
        </w:rPr>
      </w:pPr>
    </w:p>
    <w:p>
      <w:pPr>
        <w:ind w:left="1640" w:hanging="703"/>
        <w:spacing w:after="0"/>
        <w:tabs>
          <w:tab w:leader="none" w:pos="1640" w:val="left"/>
        </w:tabs>
        <w:numPr>
          <w:ilvl w:val="0"/>
          <w:numId w:val="78"/>
        </w:numPr>
        <w:rPr>
          <w:rFonts w:ascii="Arial" w:cs="Arial" w:eastAsia="Arial" w:hAnsi="Arial"/>
          <w:sz w:val="17"/>
          <w:szCs w:val="17"/>
          <w:b w:val="1"/>
          <w:bCs w:val="1"/>
          <w:color w:val="003551"/>
        </w:rPr>
      </w:pPr>
      <w:r>
        <w:rPr>
          <w:rFonts w:ascii="Arial" w:cs="Arial" w:eastAsia="Arial" w:hAnsi="Arial"/>
          <w:sz w:val="17"/>
          <w:szCs w:val="17"/>
          <w:b w:val="1"/>
          <w:bCs w:val="1"/>
          <w:color w:val="003551"/>
        </w:rPr>
        <w:t>PROCEEDINGS OF THE BOARD</w:t>
      </w:r>
    </w:p>
    <w:p>
      <w:pPr>
        <w:spacing w:after="0" w:line="105" w:lineRule="exact"/>
        <w:rPr>
          <w:rFonts w:ascii="Arial" w:cs="Arial" w:eastAsia="Arial" w:hAnsi="Arial"/>
          <w:sz w:val="17"/>
          <w:szCs w:val="17"/>
          <w:b w:val="1"/>
          <w:bCs w:val="1"/>
          <w:color w:val="003551"/>
        </w:rPr>
      </w:pPr>
    </w:p>
    <w:p>
      <w:pPr>
        <w:ind w:left="940"/>
        <w:spacing w:after="0"/>
        <w:rPr>
          <w:rFonts w:ascii="Arial" w:cs="Arial" w:eastAsia="Arial" w:hAnsi="Arial"/>
          <w:sz w:val="17"/>
          <w:szCs w:val="17"/>
          <w:b w:val="1"/>
          <w:bCs w:val="1"/>
          <w:color w:val="003551"/>
        </w:rPr>
      </w:pPr>
      <w:r>
        <w:rPr>
          <w:rFonts w:ascii="Arial" w:cs="Arial" w:eastAsia="Arial" w:hAnsi="Arial"/>
          <w:sz w:val="17"/>
          <w:szCs w:val="17"/>
          <w:b w:val="1"/>
          <w:bCs w:val="1"/>
          <w:color w:val="003551"/>
        </w:rPr>
        <w:t>3.1Board meetings</w:t>
      </w:r>
    </w:p>
    <w:p>
      <w:pPr>
        <w:spacing w:after="0" w:line="108" w:lineRule="exact"/>
        <w:rPr>
          <w:sz w:val="20"/>
          <w:szCs w:val="20"/>
          <w:color w:val="auto"/>
        </w:rPr>
      </w:pPr>
    </w:p>
    <w:p>
      <w:pPr>
        <w:ind w:left="1640" w:right="459"/>
        <w:spacing w:after="0" w:line="255" w:lineRule="auto"/>
        <w:rPr>
          <w:sz w:val="20"/>
          <w:szCs w:val="20"/>
          <w:color w:val="auto"/>
        </w:rPr>
      </w:pPr>
      <w:r>
        <w:rPr>
          <w:rFonts w:ascii="Arial" w:cs="Arial" w:eastAsia="Arial" w:hAnsi="Arial"/>
          <w:sz w:val="17"/>
          <w:szCs w:val="17"/>
          <w:color w:val="003551"/>
        </w:rPr>
        <w:t>The board may meet together to attend to business and adjourn and otherwise regulate its meetings as the directors think fit. A board meeting at which a quorum is present is competent to exercise all powers, authorities and discretions for the time being vested in or exercisable by the board.</w:t>
      </w:r>
    </w:p>
    <w:p>
      <w:pPr>
        <w:spacing w:after="0" w:line="165"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127635</wp:posOffset>
            </wp:positionV>
            <wp:extent cx="6786880" cy="1651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3.2</w:t>
      </w:r>
      <w:r>
        <w:rPr>
          <w:sz w:val="20"/>
          <w:szCs w:val="20"/>
          <w:color w:val="auto"/>
        </w:rPr>
        <w:tab/>
      </w:r>
      <w:r>
        <w:rPr>
          <w:rFonts w:ascii="Arial" w:cs="Arial" w:eastAsia="Arial" w:hAnsi="Arial"/>
          <w:sz w:val="17"/>
          <w:szCs w:val="17"/>
          <w:b w:val="1"/>
          <w:bCs w:val="1"/>
          <w:color w:val="003551"/>
        </w:rPr>
        <w:t>Convening board meetings</w:t>
      </w:r>
    </w:p>
    <w:p>
      <w:pPr>
        <w:spacing w:after="0" w:line="108" w:lineRule="exact"/>
        <w:rPr>
          <w:sz w:val="20"/>
          <w:szCs w:val="20"/>
          <w:color w:val="auto"/>
        </w:rPr>
      </w:pPr>
    </w:p>
    <w:p>
      <w:pPr>
        <w:ind w:left="1640" w:right="419"/>
        <w:spacing w:after="0" w:line="283" w:lineRule="auto"/>
        <w:rPr>
          <w:sz w:val="20"/>
          <w:szCs w:val="20"/>
          <w:color w:val="auto"/>
        </w:rPr>
      </w:pPr>
      <w:r>
        <w:rPr>
          <w:rFonts w:ascii="Arial" w:cs="Arial" w:eastAsia="Arial" w:hAnsi="Arial"/>
          <w:sz w:val="17"/>
          <w:szCs w:val="17"/>
          <w:color w:val="003551"/>
        </w:rPr>
        <w:t>A director may at any time, and the secretary must on the written request of a director, convene a meeting of the board.</w:t>
      </w:r>
    </w:p>
    <w:p>
      <w:pPr>
        <w:spacing w:after="0" w:line="35"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3.3</w:t>
      </w:r>
      <w:r>
        <w:rPr>
          <w:sz w:val="20"/>
          <w:szCs w:val="20"/>
          <w:color w:val="auto"/>
        </w:rPr>
        <w:tab/>
      </w:r>
      <w:r>
        <w:rPr>
          <w:rFonts w:ascii="Arial" w:cs="Arial" w:eastAsia="Arial" w:hAnsi="Arial"/>
          <w:sz w:val="17"/>
          <w:szCs w:val="17"/>
          <w:b w:val="1"/>
          <w:bCs w:val="1"/>
          <w:color w:val="003551"/>
        </w:rPr>
        <w:t>Notice of board meetings</w:t>
      </w:r>
    </w:p>
    <w:p>
      <w:pPr>
        <w:spacing w:after="0" w:line="108" w:lineRule="exact"/>
        <w:rPr>
          <w:sz w:val="20"/>
          <w:szCs w:val="20"/>
          <w:color w:val="auto"/>
        </w:rPr>
      </w:pPr>
    </w:p>
    <w:p>
      <w:pPr>
        <w:ind w:left="1640" w:right="579"/>
        <w:spacing w:after="0" w:line="248" w:lineRule="auto"/>
        <w:rPr>
          <w:sz w:val="20"/>
          <w:szCs w:val="20"/>
          <w:color w:val="auto"/>
        </w:rPr>
      </w:pPr>
      <w:r>
        <w:rPr>
          <w:rFonts w:ascii="Arial" w:cs="Arial" w:eastAsia="Arial" w:hAnsi="Arial"/>
          <w:sz w:val="17"/>
          <w:szCs w:val="17"/>
          <w:color w:val="003551"/>
        </w:rPr>
        <w:t xml:space="preserve">Notice of a board meeting must specify the date, time and place of the board meeting. Reasonable notice must be given to each director, other than a director on leave of absence approved by the board, and to each alternate director where the appointor has requested the company to provide such notice, by any of the means specified in </w:t>
      </w:r>
      <w:r>
        <w:rPr>
          <w:rFonts w:ascii="Arial" w:cs="Arial" w:eastAsia="Arial" w:hAnsi="Arial"/>
          <w:sz w:val="17"/>
          <w:szCs w:val="17"/>
          <w:u w:val="single" w:color="auto"/>
          <w:color w:val="003551"/>
        </w:rPr>
        <w:t>rule 22.5</w:t>
      </w:r>
      <w:r>
        <w:rPr>
          <w:rFonts w:ascii="Arial" w:cs="Arial" w:eastAsia="Arial" w:hAnsi="Arial"/>
          <w:sz w:val="17"/>
          <w:szCs w:val="17"/>
          <w:color w:val="003551"/>
        </w:rPr>
        <w:t>. A director or alternate director (other than a director on leave of absence approved by the board) may waive the right to receive notice of any board meeting by giving notice to that effect to the company either before or within 7 days after the board meeting has occurred.</w:t>
      </w:r>
    </w:p>
    <w:p>
      <w:pPr>
        <w:spacing w:after="0" w:line="64"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3.4</w:t>
      </w:r>
      <w:r>
        <w:rPr>
          <w:sz w:val="20"/>
          <w:szCs w:val="20"/>
          <w:color w:val="auto"/>
        </w:rPr>
        <w:tab/>
      </w:r>
      <w:r>
        <w:rPr>
          <w:rFonts w:ascii="Arial" w:cs="Arial" w:eastAsia="Arial" w:hAnsi="Arial"/>
          <w:sz w:val="17"/>
          <w:szCs w:val="17"/>
          <w:b w:val="1"/>
          <w:bCs w:val="1"/>
          <w:color w:val="003551"/>
        </w:rPr>
        <w:t>Failure to give notice</w:t>
      </w:r>
    </w:p>
    <w:p>
      <w:pPr>
        <w:spacing w:after="0" w:line="108" w:lineRule="exact"/>
        <w:rPr>
          <w:sz w:val="20"/>
          <w:szCs w:val="20"/>
          <w:color w:val="auto"/>
        </w:rPr>
      </w:pPr>
    </w:p>
    <w:p>
      <w:pPr>
        <w:ind w:left="1640" w:right="639"/>
        <w:spacing w:after="0" w:line="251" w:lineRule="auto"/>
        <w:rPr>
          <w:sz w:val="20"/>
          <w:szCs w:val="20"/>
          <w:color w:val="auto"/>
        </w:rPr>
      </w:pPr>
      <w:r>
        <w:rPr>
          <w:rFonts w:ascii="Arial" w:cs="Arial" w:eastAsia="Arial" w:hAnsi="Arial"/>
          <w:sz w:val="17"/>
          <w:szCs w:val="17"/>
          <w:color w:val="003551"/>
        </w:rPr>
        <w:t>A director or alternate director who attends any board meeting waives any objection that they may have to any failure to give notice of that meeting. The accidental failure to give notice of a board meeting to, or the non-receipt of notice by, any person entitled to receive notice of that meeting does not invalidate the proceedings at that meeting or any resolution passed at that meeting.</w:t>
      </w:r>
    </w:p>
    <w:p>
      <w:pPr>
        <w:spacing w:after="0" w:line="63"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3.5</w:t>
      </w:r>
      <w:r>
        <w:rPr>
          <w:sz w:val="20"/>
          <w:szCs w:val="20"/>
          <w:color w:val="auto"/>
        </w:rPr>
        <w:tab/>
      </w:r>
      <w:r>
        <w:rPr>
          <w:rFonts w:ascii="Arial" w:cs="Arial" w:eastAsia="Arial" w:hAnsi="Arial"/>
          <w:sz w:val="17"/>
          <w:szCs w:val="17"/>
          <w:b w:val="1"/>
          <w:bCs w:val="1"/>
          <w:color w:val="003551"/>
        </w:rPr>
        <w:t>Conduct of board meetings</w:t>
      </w:r>
    </w:p>
    <w:p>
      <w:pPr>
        <w:spacing w:after="0" w:line="108" w:lineRule="exact"/>
        <w:rPr>
          <w:sz w:val="20"/>
          <w:szCs w:val="20"/>
          <w:color w:val="auto"/>
        </w:rPr>
      </w:pPr>
    </w:p>
    <w:p>
      <w:pPr>
        <w:ind w:left="1980" w:right="419" w:hanging="344"/>
        <w:spacing w:after="0" w:line="262" w:lineRule="auto"/>
        <w:tabs>
          <w:tab w:leader="none" w:pos="1980" w:val="left"/>
        </w:tabs>
        <w:numPr>
          <w:ilvl w:val="0"/>
          <w:numId w:val="79"/>
        </w:numPr>
        <w:rPr>
          <w:rFonts w:ascii="Arial" w:cs="Arial" w:eastAsia="Arial" w:hAnsi="Arial"/>
          <w:sz w:val="17"/>
          <w:szCs w:val="17"/>
          <w:color w:val="003551"/>
        </w:rPr>
      </w:pPr>
      <w:r>
        <w:rPr>
          <w:rFonts w:ascii="Arial" w:cs="Arial" w:eastAsia="Arial" w:hAnsi="Arial"/>
          <w:sz w:val="17"/>
          <w:szCs w:val="17"/>
          <w:color w:val="003551"/>
        </w:rPr>
        <w:t>The board may conduct meetings if a sufficient number of directors required to constitute a quorum are able to participate in the business of the meeting directly, by telephone or by any other means which enables each director:</w:t>
      </w:r>
    </w:p>
    <w:p>
      <w:pPr>
        <w:spacing w:after="0" w:line="54" w:lineRule="exact"/>
        <w:rPr>
          <w:rFonts w:ascii="Arial" w:cs="Arial" w:eastAsia="Arial" w:hAnsi="Arial"/>
          <w:sz w:val="17"/>
          <w:szCs w:val="17"/>
          <w:color w:val="003551"/>
        </w:rPr>
      </w:pPr>
    </w:p>
    <w:p>
      <w:pPr>
        <w:ind w:left="2320" w:right="839" w:hanging="335"/>
        <w:spacing w:after="0" w:line="283" w:lineRule="auto"/>
        <w:tabs>
          <w:tab w:leader="none" w:pos="2320" w:val="left"/>
        </w:tabs>
        <w:numPr>
          <w:ilvl w:val="1"/>
          <w:numId w:val="79"/>
        </w:numPr>
        <w:rPr>
          <w:rFonts w:ascii="Arial" w:cs="Arial" w:eastAsia="Arial" w:hAnsi="Arial"/>
          <w:sz w:val="17"/>
          <w:szCs w:val="17"/>
          <w:color w:val="003551"/>
        </w:rPr>
      </w:pPr>
      <w:r>
        <w:rPr>
          <w:rFonts w:ascii="Arial" w:cs="Arial" w:eastAsia="Arial" w:hAnsi="Arial"/>
          <w:sz w:val="17"/>
          <w:szCs w:val="17"/>
          <w:color w:val="003551"/>
        </w:rPr>
        <w:t>to hear (or otherwise receive real time communications made by) each of the other directors participating in the meeting; and</w:t>
      </w:r>
    </w:p>
    <w:p>
      <w:pPr>
        <w:spacing w:after="0" w:line="36" w:lineRule="exact"/>
        <w:rPr>
          <w:rFonts w:ascii="Arial" w:cs="Arial" w:eastAsia="Arial" w:hAnsi="Arial"/>
          <w:sz w:val="17"/>
          <w:szCs w:val="17"/>
          <w:color w:val="003551"/>
        </w:rPr>
      </w:pPr>
    </w:p>
    <w:p>
      <w:pPr>
        <w:ind w:left="2320" w:right="1059" w:hanging="335"/>
        <w:spacing w:after="0" w:line="283" w:lineRule="auto"/>
        <w:tabs>
          <w:tab w:leader="none" w:pos="2320" w:val="left"/>
        </w:tabs>
        <w:numPr>
          <w:ilvl w:val="1"/>
          <w:numId w:val="79"/>
        </w:numPr>
        <w:rPr>
          <w:rFonts w:ascii="Arial" w:cs="Arial" w:eastAsia="Arial" w:hAnsi="Arial"/>
          <w:sz w:val="17"/>
          <w:szCs w:val="17"/>
          <w:color w:val="003551"/>
        </w:rPr>
      </w:pPr>
      <w:r>
        <w:rPr>
          <w:rFonts w:ascii="Arial" w:cs="Arial" w:eastAsia="Arial" w:hAnsi="Arial"/>
          <w:sz w:val="17"/>
          <w:szCs w:val="17"/>
          <w:color w:val="003551"/>
        </w:rPr>
        <w:t>to address (or otherwise communicate in real time with) all of the other directors participating in the meeting simultaneously,</w:t>
      </w:r>
    </w:p>
    <w:p>
      <w:pPr>
        <w:spacing w:after="0" w:line="37" w:lineRule="exact"/>
        <w:rPr>
          <w:sz w:val="20"/>
          <w:szCs w:val="20"/>
          <w:color w:val="auto"/>
        </w:rPr>
      </w:pPr>
    </w:p>
    <w:p>
      <w:pPr>
        <w:ind w:left="1980" w:right="419"/>
        <w:spacing w:after="0" w:line="255" w:lineRule="auto"/>
        <w:rPr>
          <w:sz w:val="20"/>
          <w:szCs w:val="20"/>
          <w:color w:val="auto"/>
        </w:rPr>
      </w:pPr>
      <w:r>
        <w:rPr>
          <w:rFonts w:ascii="Arial" w:cs="Arial" w:eastAsia="Arial" w:hAnsi="Arial"/>
          <w:sz w:val="17"/>
          <w:szCs w:val="17"/>
          <w:color w:val="003551"/>
        </w:rPr>
        <w:t>even if all of the directors are not physically present in the same place. A board meeting held in this manner is taken to be held at the place where the chair of the meeting is physically present or at such other place where at least one director is physically present for the duration of the meeting as the chair of the meeting may determine.</w:t>
      </w:r>
    </w:p>
    <w:p>
      <w:pPr>
        <w:spacing w:after="0" w:line="60" w:lineRule="exact"/>
        <w:rPr>
          <w:sz w:val="20"/>
          <w:szCs w:val="20"/>
          <w:color w:val="auto"/>
        </w:rPr>
      </w:pPr>
    </w:p>
    <w:p>
      <w:pPr>
        <w:ind w:left="1980" w:right="399" w:hanging="344"/>
        <w:spacing w:after="0" w:line="255" w:lineRule="auto"/>
        <w:tabs>
          <w:tab w:leader="none" w:pos="1980" w:val="left"/>
        </w:tabs>
        <w:numPr>
          <w:ilvl w:val="0"/>
          <w:numId w:val="80"/>
        </w:numPr>
        <w:rPr>
          <w:rFonts w:ascii="Arial" w:cs="Arial" w:eastAsia="Arial" w:hAnsi="Arial"/>
          <w:sz w:val="17"/>
          <w:szCs w:val="17"/>
          <w:color w:val="003551"/>
        </w:rPr>
      </w:pPr>
      <w:r>
        <w:rPr>
          <w:rFonts w:ascii="Arial" w:cs="Arial" w:eastAsia="Arial" w:hAnsi="Arial"/>
          <w:sz w:val="17"/>
          <w:szCs w:val="17"/>
          <w:color w:val="003551"/>
        </w:rPr>
        <w:t>A director taking part in this manner is to be taken to be present in person at the meeting and all directors participating in the meeting will (unless there is a specific statement otherwise) be taken to have consented to the holding of the meeting by the relevant means of communication.</w:t>
      </w:r>
    </w:p>
    <w:p>
      <w:pPr>
        <w:spacing w:after="0" w:line="59" w:lineRule="exact"/>
        <w:rPr>
          <w:rFonts w:ascii="Arial" w:cs="Arial" w:eastAsia="Arial" w:hAnsi="Arial"/>
          <w:sz w:val="17"/>
          <w:szCs w:val="17"/>
          <w:color w:val="003551"/>
        </w:rPr>
      </w:pPr>
    </w:p>
    <w:p>
      <w:pPr>
        <w:ind w:left="1980" w:right="399" w:hanging="344"/>
        <w:spacing w:after="0" w:line="262" w:lineRule="auto"/>
        <w:tabs>
          <w:tab w:leader="none" w:pos="1980" w:val="left"/>
        </w:tabs>
        <w:numPr>
          <w:ilvl w:val="0"/>
          <w:numId w:val="80"/>
        </w:numPr>
        <w:rPr>
          <w:rFonts w:ascii="Arial" w:cs="Arial" w:eastAsia="Arial" w:hAnsi="Arial"/>
          <w:sz w:val="17"/>
          <w:szCs w:val="17"/>
          <w:color w:val="003551"/>
        </w:rPr>
      </w:pPr>
      <w:r>
        <w:rPr>
          <w:rFonts w:ascii="Arial" w:cs="Arial" w:eastAsia="Arial" w:hAnsi="Arial"/>
          <w:sz w:val="17"/>
          <w:szCs w:val="17"/>
          <w:color w:val="003551"/>
        </w:rPr>
        <w:t>If, before or during the meeting, any technical difficulty occurs where one or more directors cease to participate, the chair may adjourn the meeting until the difficulty is remedied or may, where a quorum of directors remains present, continue with the meeting.</w:t>
      </w:r>
    </w:p>
    <w:p>
      <w:pPr>
        <w:spacing w:after="0" w:line="52"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3.6</w:t>
      </w:r>
      <w:r>
        <w:rPr>
          <w:sz w:val="20"/>
          <w:szCs w:val="20"/>
          <w:color w:val="auto"/>
        </w:rPr>
        <w:tab/>
      </w:r>
      <w:r>
        <w:rPr>
          <w:rFonts w:ascii="Arial" w:cs="Arial" w:eastAsia="Arial" w:hAnsi="Arial"/>
          <w:sz w:val="17"/>
          <w:szCs w:val="17"/>
          <w:b w:val="1"/>
          <w:bCs w:val="1"/>
          <w:color w:val="003551"/>
        </w:rPr>
        <w:t>Director may participate and vote by proxy</w:t>
      </w:r>
    </w:p>
    <w:p>
      <w:pPr>
        <w:spacing w:after="0" w:line="108" w:lineRule="exact"/>
        <w:rPr>
          <w:sz w:val="20"/>
          <w:szCs w:val="20"/>
          <w:color w:val="auto"/>
        </w:rPr>
      </w:pPr>
    </w:p>
    <w:p>
      <w:pPr>
        <w:ind w:left="1640" w:right="419"/>
        <w:spacing w:after="0" w:line="255" w:lineRule="auto"/>
        <w:rPr>
          <w:sz w:val="20"/>
          <w:szCs w:val="20"/>
          <w:color w:val="auto"/>
        </w:rPr>
      </w:pPr>
      <w:r>
        <w:rPr>
          <w:rFonts w:ascii="Arial" w:cs="Arial" w:eastAsia="Arial" w:hAnsi="Arial"/>
          <w:sz w:val="17"/>
          <w:szCs w:val="17"/>
          <w:color w:val="003551"/>
        </w:rPr>
        <w:t>A director may participate in and vote at a board meeting by proxy if the proxy is another director. The appointment of a proxy for a board meeting must be in writing and must be signed by the director making the appointment. An appointment of a proxy may be general or for one or more particular board meetings.</w:t>
      </w:r>
    </w:p>
    <w:p>
      <w:pPr>
        <w:spacing w:after="0" w:line="165"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119380</wp:posOffset>
            </wp:positionV>
            <wp:extent cx="6786880" cy="1651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3.7</w:t>
      </w:r>
      <w:r>
        <w:rPr>
          <w:sz w:val="20"/>
          <w:szCs w:val="20"/>
          <w:color w:val="auto"/>
        </w:rPr>
        <w:tab/>
      </w:r>
      <w:r>
        <w:rPr>
          <w:rFonts w:ascii="Arial" w:cs="Arial" w:eastAsia="Arial" w:hAnsi="Arial"/>
          <w:sz w:val="17"/>
          <w:szCs w:val="17"/>
          <w:b w:val="1"/>
          <w:bCs w:val="1"/>
          <w:color w:val="003551"/>
        </w:rPr>
        <w:t>Quorum for board meeting</w:t>
      </w:r>
    </w:p>
    <w:p>
      <w:pPr>
        <w:spacing w:after="0" w:line="108" w:lineRule="exact"/>
        <w:rPr>
          <w:sz w:val="20"/>
          <w:szCs w:val="20"/>
          <w:color w:val="auto"/>
        </w:rPr>
      </w:pPr>
    </w:p>
    <w:p>
      <w:pPr>
        <w:ind w:left="1640" w:right="439"/>
        <w:spacing w:after="0" w:line="251" w:lineRule="auto"/>
        <w:rPr>
          <w:sz w:val="20"/>
          <w:szCs w:val="20"/>
          <w:color w:val="auto"/>
        </w:rPr>
      </w:pPr>
      <w:r>
        <w:rPr>
          <w:rFonts w:ascii="Arial" w:cs="Arial" w:eastAsia="Arial" w:hAnsi="Arial"/>
          <w:sz w:val="17"/>
          <w:szCs w:val="17"/>
          <w:color w:val="003551"/>
        </w:rPr>
        <w:t>Except as otherwise determined by all directors acting unanimously, a quorum for a board meeting is 4 directors present and entitled to vote on any resolution that may be proposed at that meeting. In determining whether a quorum is present, each individual participating as a director or as an alternate director or proxy for another director is to be counted except that an individual participating in more than one capacity is to be counted only once.</w:t>
      </w:r>
    </w:p>
    <w:p>
      <w:pPr>
        <w:spacing w:after="0" w:line="63"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3.8</w:t>
      </w:r>
      <w:r>
        <w:rPr>
          <w:sz w:val="20"/>
          <w:szCs w:val="20"/>
          <w:color w:val="auto"/>
        </w:rPr>
        <w:tab/>
      </w:r>
      <w:r>
        <w:rPr>
          <w:rFonts w:ascii="Arial" w:cs="Arial" w:eastAsia="Arial" w:hAnsi="Arial"/>
          <w:sz w:val="17"/>
          <w:szCs w:val="17"/>
          <w:b w:val="1"/>
          <w:bCs w:val="1"/>
          <w:color w:val="003551"/>
        </w:rPr>
        <w:t>Chair and deputy chair of the board</w:t>
      </w:r>
    </w:p>
    <w:p>
      <w:pPr>
        <w:spacing w:after="0" w:line="108" w:lineRule="exact"/>
        <w:rPr>
          <w:sz w:val="20"/>
          <w:szCs w:val="20"/>
          <w:color w:val="auto"/>
        </w:rPr>
      </w:pPr>
    </w:p>
    <w:p>
      <w:pPr>
        <w:ind w:left="1640" w:right="459"/>
        <w:spacing w:after="0" w:line="251" w:lineRule="auto"/>
        <w:rPr>
          <w:sz w:val="20"/>
          <w:szCs w:val="20"/>
          <w:color w:val="auto"/>
        </w:rPr>
      </w:pPr>
      <w:r>
        <w:rPr>
          <w:rFonts w:ascii="Arial" w:cs="Arial" w:eastAsia="Arial" w:hAnsi="Arial"/>
          <w:sz w:val="17"/>
          <w:szCs w:val="17"/>
          <w:color w:val="003551"/>
        </w:rPr>
        <w:t>The board may elect one of its number as chair of the board and may also determine the period for which the person elected as chair is to hold that office. The board may also elect one of its number as deputy chair of the board and may determine the period for which the person elected as deputy chair is to hold that office. The board may replace the chair or deputy chair at any time by electing another member of the board to that office.</w:t>
      </w:r>
    </w:p>
    <w:p>
      <w:pPr>
        <w:spacing w:after="0" w:line="63"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3.9</w:t>
      </w:r>
      <w:r>
        <w:rPr>
          <w:sz w:val="20"/>
          <w:szCs w:val="20"/>
          <w:color w:val="auto"/>
        </w:rPr>
        <w:tab/>
      </w:r>
      <w:r>
        <w:rPr>
          <w:rFonts w:ascii="Arial" w:cs="Arial" w:eastAsia="Arial" w:hAnsi="Arial"/>
          <w:sz w:val="17"/>
          <w:szCs w:val="17"/>
          <w:b w:val="1"/>
          <w:bCs w:val="1"/>
          <w:color w:val="003551"/>
        </w:rPr>
        <w:t>Chair of board meeting</w:t>
      </w:r>
    </w:p>
    <w:p>
      <w:pPr>
        <w:spacing w:after="0" w:line="108" w:lineRule="exact"/>
        <w:rPr>
          <w:sz w:val="20"/>
          <w:szCs w:val="20"/>
          <w:color w:val="auto"/>
        </w:rPr>
      </w:pPr>
    </w:p>
    <w:p>
      <w:pPr>
        <w:ind w:left="1640" w:right="459"/>
        <w:spacing w:after="0" w:line="250" w:lineRule="auto"/>
        <w:rPr>
          <w:sz w:val="20"/>
          <w:szCs w:val="20"/>
          <w:color w:val="auto"/>
        </w:rPr>
      </w:pPr>
      <w:r>
        <w:rPr>
          <w:rFonts w:ascii="Arial" w:cs="Arial" w:eastAsia="Arial" w:hAnsi="Arial"/>
          <w:sz w:val="17"/>
          <w:szCs w:val="17"/>
          <w:color w:val="003551"/>
        </w:rPr>
        <w:t>If the board has elected one of its number as chair, that person is entitled to preside as chair at a board meeting. If a chair of the board has not been elected or if the chair of the board is not present within 15 minutes after the time appointed for the holding of the board meeting or is unable or unwilling to act for all or any part of the meeting then the chair for that board meeting (or for that part of that meeting) will be chosen from the following persons, in order of precedence:</w:t>
      </w:r>
    </w:p>
    <w:p>
      <w:pPr>
        <w:spacing w:after="0" w:line="266" w:lineRule="exact"/>
        <w:rPr>
          <w:sz w:val="20"/>
          <w:szCs w:val="20"/>
          <w:color w:val="auto"/>
        </w:rPr>
      </w:pPr>
    </w:p>
    <w:p>
      <w:pPr>
        <w:ind w:left="2320" w:right="839" w:hanging="335"/>
        <w:spacing w:after="0" w:line="283" w:lineRule="auto"/>
        <w:tabs>
          <w:tab w:leader="none" w:pos="2320" w:val="left"/>
        </w:tabs>
        <w:numPr>
          <w:ilvl w:val="0"/>
          <w:numId w:val="81"/>
        </w:numPr>
        <w:rPr>
          <w:rFonts w:ascii="Arial" w:cs="Arial" w:eastAsia="Arial" w:hAnsi="Arial"/>
          <w:sz w:val="17"/>
          <w:szCs w:val="17"/>
          <w:color w:val="003551"/>
        </w:rPr>
      </w:pPr>
      <w:r>
        <w:rPr>
          <w:rFonts w:ascii="Arial" w:cs="Arial" w:eastAsia="Arial" w:hAnsi="Arial"/>
          <w:sz w:val="17"/>
          <w:szCs w:val="17"/>
          <w:color w:val="003551"/>
        </w:rPr>
        <w:t>first, any person elected by the board as deputy chair of the board, if that person is present and willing and able to act as chair; and</w:t>
      </w:r>
    </w:p>
    <w:p>
      <w:pPr>
        <w:spacing w:after="0" w:line="36" w:lineRule="exact"/>
        <w:rPr>
          <w:rFonts w:ascii="Arial" w:cs="Arial" w:eastAsia="Arial" w:hAnsi="Arial"/>
          <w:sz w:val="17"/>
          <w:szCs w:val="17"/>
          <w:color w:val="003551"/>
        </w:rPr>
      </w:pPr>
    </w:p>
    <w:p>
      <w:pPr>
        <w:ind w:left="2320" w:right="379" w:hanging="335"/>
        <w:spacing w:after="0" w:line="269" w:lineRule="auto"/>
        <w:tabs>
          <w:tab w:leader="none" w:pos="2320" w:val="left"/>
        </w:tabs>
        <w:numPr>
          <w:ilvl w:val="0"/>
          <w:numId w:val="81"/>
        </w:numPr>
        <w:rPr>
          <w:rFonts w:ascii="Arial" w:cs="Arial" w:eastAsia="Arial" w:hAnsi="Arial"/>
          <w:sz w:val="17"/>
          <w:szCs w:val="17"/>
          <w:color w:val="003551"/>
        </w:rPr>
      </w:pPr>
      <w:r>
        <w:rPr>
          <w:rFonts w:ascii="Arial" w:cs="Arial" w:eastAsia="Arial" w:hAnsi="Arial"/>
          <w:sz w:val="17"/>
          <w:szCs w:val="17"/>
          <w:color w:val="003551"/>
        </w:rPr>
        <w:t>second, any other director present chosen by a majority of the directors present, or, if only one other director is present, that director, if that director is willing and able to act as chair.</w:t>
      </w:r>
    </w:p>
    <w:p>
      <w:pPr>
        <w:spacing w:after="0" w:line="254"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3.10</w:t>
      </w:r>
      <w:r>
        <w:rPr>
          <w:sz w:val="20"/>
          <w:szCs w:val="20"/>
          <w:color w:val="auto"/>
        </w:rPr>
        <w:tab/>
      </w:r>
      <w:r>
        <w:rPr>
          <w:rFonts w:ascii="Arial" w:cs="Arial" w:eastAsia="Arial" w:hAnsi="Arial"/>
          <w:sz w:val="17"/>
          <w:szCs w:val="17"/>
          <w:b w:val="1"/>
          <w:bCs w:val="1"/>
          <w:color w:val="003551"/>
        </w:rPr>
        <w:t>How board resolutions are decided</w:t>
      </w:r>
    </w:p>
    <w:p>
      <w:pPr>
        <w:spacing w:after="0" w:line="108" w:lineRule="exact"/>
        <w:rPr>
          <w:sz w:val="20"/>
          <w:szCs w:val="20"/>
          <w:color w:val="auto"/>
        </w:rPr>
      </w:pPr>
    </w:p>
    <w:p>
      <w:pPr>
        <w:ind w:left="1640" w:right="479"/>
        <w:spacing w:after="0" w:line="255" w:lineRule="auto"/>
        <w:rPr>
          <w:sz w:val="20"/>
          <w:szCs w:val="20"/>
          <w:color w:val="auto"/>
        </w:rPr>
      </w:pPr>
      <w:r>
        <w:rPr>
          <w:rFonts w:ascii="Arial" w:cs="Arial" w:eastAsia="Arial" w:hAnsi="Arial"/>
          <w:sz w:val="17"/>
          <w:szCs w:val="17"/>
          <w:color w:val="003551"/>
        </w:rPr>
        <w:t>A resolution of the board is passed if more votes are cast in favour of the resolution than against it by directors present and entitled to vote on the resolution. If there is an equality of votes in favour and against any resolution at a board meeting and there are at least 2 directors present and entitled to vote on the resolution, the chair of the meeting is not entitled to a casting vote.</w:t>
      </w:r>
    </w:p>
    <w:p>
      <w:pPr>
        <w:spacing w:after="0" w:line="58"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3.11</w:t>
      </w:r>
      <w:r>
        <w:rPr>
          <w:sz w:val="20"/>
          <w:szCs w:val="20"/>
          <w:color w:val="auto"/>
        </w:rPr>
        <w:tab/>
      </w:r>
      <w:r>
        <w:rPr>
          <w:rFonts w:ascii="Arial" w:cs="Arial" w:eastAsia="Arial" w:hAnsi="Arial"/>
          <w:sz w:val="17"/>
          <w:szCs w:val="17"/>
          <w:b w:val="1"/>
          <w:bCs w:val="1"/>
          <w:color w:val="003551"/>
        </w:rPr>
        <w:t>Voting rights of alternate directors and proxies</w:t>
      </w:r>
    </w:p>
    <w:p>
      <w:pPr>
        <w:spacing w:after="0" w:line="108" w:lineRule="exact"/>
        <w:rPr>
          <w:sz w:val="20"/>
          <w:szCs w:val="20"/>
          <w:color w:val="auto"/>
        </w:rPr>
      </w:pPr>
    </w:p>
    <w:p>
      <w:pPr>
        <w:ind w:left="1640" w:right="659"/>
        <w:spacing w:after="0" w:line="255" w:lineRule="auto"/>
        <w:rPr>
          <w:sz w:val="20"/>
          <w:szCs w:val="20"/>
          <w:color w:val="auto"/>
        </w:rPr>
      </w:pPr>
      <w:r>
        <w:rPr>
          <w:rFonts w:ascii="Arial" w:cs="Arial" w:eastAsia="Arial" w:hAnsi="Arial"/>
          <w:sz w:val="17"/>
          <w:szCs w:val="17"/>
          <w:color w:val="003551"/>
        </w:rPr>
        <w:t>A person who is present at a meeting of directors as an alternate director or as a proxy for another director has one vote for each director who would be entitled to vote if present at the meeting and for whom that person is an alternate director or proxy and, if that person is also a director, has one vote as a director in that capacity.</w:t>
      </w:r>
    </w:p>
    <w:p>
      <w:pPr>
        <w:spacing w:after="0" w:line="58"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3.12</w:t>
      </w:r>
      <w:r>
        <w:rPr>
          <w:sz w:val="20"/>
          <w:szCs w:val="20"/>
          <w:color w:val="auto"/>
        </w:rPr>
        <w:tab/>
      </w:r>
      <w:r>
        <w:rPr>
          <w:rFonts w:ascii="Arial" w:cs="Arial" w:eastAsia="Arial" w:hAnsi="Arial"/>
          <w:sz w:val="17"/>
          <w:szCs w:val="17"/>
          <w:b w:val="1"/>
          <w:bCs w:val="1"/>
          <w:color w:val="003551"/>
        </w:rPr>
        <w:t>Written resolutions</w:t>
      </w:r>
    </w:p>
    <w:p>
      <w:pPr>
        <w:spacing w:after="0" w:line="134"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The board may pass a resolution without a meeting being held if:</w:t>
      </w:r>
    </w:p>
    <w:p>
      <w:pPr>
        <w:spacing w:after="0" w:line="106" w:lineRule="exact"/>
        <w:rPr>
          <w:sz w:val="20"/>
          <w:szCs w:val="20"/>
          <w:color w:val="auto"/>
        </w:rPr>
      </w:pPr>
    </w:p>
    <w:p>
      <w:pPr>
        <w:ind w:left="2320" w:hanging="335"/>
        <w:spacing w:after="0"/>
        <w:tabs>
          <w:tab w:leader="none" w:pos="2320" w:val="left"/>
        </w:tabs>
        <w:numPr>
          <w:ilvl w:val="0"/>
          <w:numId w:val="82"/>
        </w:numPr>
        <w:rPr>
          <w:rFonts w:ascii="Arial" w:cs="Arial" w:eastAsia="Arial" w:hAnsi="Arial"/>
          <w:sz w:val="17"/>
          <w:szCs w:val="17"/>
          <w:color w:val="003551"/>
        </w:rPr>
      </w:pPr>
      <w:r>
        <w:rPr>
          <w:rFonts w:ascii="Arial" w:cs="Arial" w:eastAsia="Arial" w:hAnsi="Arial"/>
          <w:sz w:val="17"/>
          <w:szCs w:val="17"/>
          <w:color w:val="003551"/>
        </w:rPr>
        <w:t>notice in writing of the proposed resolution is given to each director, other than:</w:t>
      </w:r>
    </w:p>
    <w:p>
      <w:pPr>
        <w:spacing w:after="0" w:line="105" w:lineRule="exact"/>
        <w:rPr>
          <w:rFonts w:ascii="Arial" w:cs="Arial" w:eastAsia="Arial" w:hAnsi="Arial"/>
          <w:sz w:val="17"/>
          <w:szCs w:val="17"/>
          <w:color w:val="003551"/>
        </w:rPr>
      </w:pPr>
    </w:p>
    <w:p>
      <w:pPr>
        <w:ind w:left="2680" w:hanging="346"/>
        <w:spacing w:after="0"/>
        <w:tabs>
          <w:tab w:leader="none" w:pos="2680" w:val="left"/>
        </w:tabs>
        <w:numPr>
          <w:ilvl w:val="1"/>
          <w:numId w:val="82"/>
        </w:numPr>
        <w:rPr>
          <w:rFonts w:ascii="Arial" w:cs="Arial" w:eastAsia="Arial" w:hAnsi="Arial"/>
          <w:sz w:val="17"/>
          <w:szCs w:val="17"/>
          <w:color w:val="003551"/>
        </w:rPr>
      </w:pPr>
      <w:r>
        <w:rPr>
          <w:rFonts w:ascii="Arial" w:cs="Arial" w:eastAsia="Arial" w:hAnsi="Arial"/>
          <w:sz w:val="17"/>
          <w:szCs w:val="17"/>
          <w:color w:val="003551"/>
        </w:rPr>
        <w:t>any director on leave of absence approved by the board; or</w:t>
      </w:r>
    </w:p>
    <w:p>
      <w:pPr>
        <w:spacing w:after="0" w:line="211"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127635</wp:posOffset>
            </wp:positionV>
            <wp:extent cx="6786880" cy="1651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2680" w:right="679" w:hanging="346"/>
        <w:spacing w:after="0" w:line="262" w:lineRule="auto"/>
        <w:tabs>
          <w:tab w:leader="none" w:pos="2680" w:val="left"/>
        </w:tabs>
        <w:numPr>
          <w:ilvl w:val="0"/>
          <w:numId w:val="83"/>
        </w:numPr>
        <w:rPr>
          <w:rFonts w:ascii="Arial" w:cs="Arial" w:eastAsia="Arial" w:hAnsi="Arial"/>
          <w:sz w:val="17"/>
          <w:szCs w:val="17"/>
          <w:color w:val="003551"/>
        </w:rPr>
      </w:pPr>
      <w:r>
        <w:rPr>
          <w:rFonts w:ascii="Arial" w:cs="Arial" w:eastAsia="Arial" w:hAnsi="Arial"/>
          <w:sz w:val="17"/>
          <w:szCs w:val="17"/>
          <w:color w:val="003551"/>
        </w:rPr>
        <w:t>any director who disqualifies himself or herself from considering the resolution in question and any director who would be prohibited by the Corporations Act from voting on the resolution in question,</w:t>
      </w:r>
    </w:p>
    <w:p>
      <w:pPr>
        <w:spacing w:after="0" w:line="54" w:lineRule="exact"/>
        <w:rPr>
          <w:sz w:val="20"/>
          <w:szCs w:val="20"/>
          <w:color w:val="auto"/>
        </w:rPr>
      </w:pPr>
    </w:p>
    <w:p>
      <w:pPr>
        <w:ind w:left="2340" w:right="639"/>
        <w:spacing w:after="0" w:line="283" w:lineRule="auto"/>
        <w:rPr>
          <w:sz w:val="20"/>
          <w:szCs w:val="20"/>
          <w:color w:val="auto"/>
        </w:rPr>
      </w:pPr>
      <w:r>
        <w:rPr>
          <w:rFonts w:ascii="Arial" w:cs="Arial" w:eastAsia="Arial" w:hAnsi="Arial"/>
          <w:sz w:val="17"/>
          <w:szCs w:val="17"/>
          <w:color w:val="003551"/>
        </w:rPr>
        <w:t xml:space="preserve">and to each alternate director, other than an alternate director appointed by a director referred to in rule 3‎.12(a)(ii), by any of the means specified in </w:t>
      </w:r>
      <w:r>
        <w:rPr>
          <w:rFonts w:ascii="Arial" w:cs="Arial" w:eastAsia="Arial" w:hAnsi="Arial"/>
          <w:sz w:val="17"/>
          <w:szCs w:val="17"/>
          <w:u w:val="single" w:color="auto"/>
          <w:color w:val="003551"/>
        </w:rPr>
        <w:t>rule 22.2</w:t>
      </w:r>
      <w:r>
        <w:rPr>
          <w:rFonts w:ascii="Arial" w:cs="Arial" w:eastAsia="Arial" w:hAnsi="Arial"/>
          <w:sz w:val="17"/>
          <w:szCs w:val="17"/>
          <w:color w:val="00355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-48260</wp:posOffset>
            </wp:positionV>
            <wp:extent cx="69024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90245" cy="8255"/>
                    </a:xfrm>
                    <a:prstGeom prst="rect">
                      <a:avLst/>
                    </a:prstGeom>
                    <a:noFill/>
                  </pic:spPr>
                </pic:pic>
              </a:graphicData>
            </a:graphic>
          </wp:anchor>
        </w:drawing>
      </w:r>
    </w:p>
    <w:p>
      <w:pPr>
        <w:spacing w:after="0" w:line="17" w:lineRule="exact"/>
        <w:rPr>
          <w:sz w:val="20"/>
          <w:szCs w:val="20"/>
          <w:color w:val="auto"/>
        </w:rPr>
      </w:pPr>
    </w:p>
    <w:p>
      <w:pPr>
        <w:ind w:left="2320" w:right="439" w:hanging="335"/>
        <w:spacing w:after="0" w:line="255" w:lineRule="auto"/>
        <w:tabs>
          <w:tab w:leader="none" w:pos="2320" w:val="left"/>
        </w:tabs>
        <w:numPr>
          <w:ilvl w:val="0"/>
          <w:numId w:val="84"/>
        </w:numPr>
        <w:rPr>
          <w:rFonts w:ascii="Arial" w:cs="Arial" w:eastAsia="Arial" w:hAnsi="Arial"/>
          <w:sz w:val="17"/>
          <w:szCs w:val="17"/>
          <w:color w:val="003551"/>
        </w:rPr>
      </w:pPr>
      <w:r>
        <w:rPr>
          <w:rFonts w:ascii="Arial" w:cs="Arial" w:eastAsia="Arial" w:hAnsi="Arial"/>
          <w:sz w:val="17"/>
          <w:szCs w:val="17"/>
          <w:color w:val="003551"/>
        </w:rPr>
        <w:t xml:space="preserve">all the directors (including each alternate director to whom notice of the resolution is required to be given under </w:t>
      </w:r>
      <w:r>
        <w:rPr>
          <w:rFonts w:ascii="Arial" w:cs="Arial" w:eastAsia="Arial" w:hAnsi="Arial"/>
          <w:sz w:val="17"/>
          <w:szCs w:val="17"/>
          <w:u w:val="single" w:color="auto"/>
          <w:color w:val="003551"/>
        </w:rPr>
        <w:t>rule 3.12(a)</w:t>
      </w:r>
      <w:r>
        <w:rPr>
          <w:rFonts w:ascii="Arial" w:cs="Arial" w:eastAsia="Arial" w:hAnsi="Arial"/>
          <w:sz w:val="17"/>
          <w:szCs w:val="17"/>
          <w:color w:val="003551"/>
        </w:rPr>
        <w:t xml:space="preserve">) who would have been required to pass the resolution under </w:t>
      </w:r>
      <w:r>
        <w:rPr>
          <w:rFonts w:ascii="Arial" w:cs="Arial" w:eastAsia="Arial" w:hAnsi="Arial"/>
          <w:sz w:val="17"/>
          <w:szCs w:val="17"/>
          <w:u w:val="single" w:color="auto"/>
          <w:color w:val="003551"/>
        </w:rPr>
        <w:t>rule 3.10</w:t>
      </w:r>
      <w:r>
        <w:rPr>
          <w:rFonts w:ascii="Arial" w:cs="Arial" w:eastAsia="Arial" w:hAnsi="Arial"/>
          <w:sz w:val="17"/>
          <w:szCs w:val="17"/>
          <w:color w:val="003551"/>
        </w:rPr>
        <w:t xml:space="preserve"> (had such resolution been passed at a board meeting) assent to the resolution in accordance with </w:t>
      </w:r>
      <w:r>
        <w:rPr>
          <w:rFonts w:ascii="Arial" w:cs="Arial" w:eastAsia="Arial" w:hAnsi="Arial"/>
          <w:sz w:val="17"/>
          <w:szCs w:val="17"/>
          <w:u w:val="single" w:color="auto"/>
          <w:color w:val="003551"/>
        </w:rPr>
        <w:t>rule 3.13</w:t>
      </w:r>
      <w:r>
        <w:rPr>
          <w:rFonts w:ascii="Arial" w:cs="Arial" w:eastAsia="Arial" w:hAnsi="Arial"/>
          <w:sz w:val="17"/>
          <w:szCs w:val="17"/>
          <w:color w:val="003551"/>
        </w:rPr>
        <w:t>; and</w:t>
      </w:r>
    </w:p>
    <w:p>
      <w:pPr>
        <w:spacing w:after="0" w:line="59" w:lineRule="exact"/>
        <w:rPr>
          <w:rFonts w:ascii="Arial" w:cs="Arial" w:eastAsia="Arial" w:hAnsi="Arial"/>
          <w:sz w:val="17"/>
          <w:szCs w:val="17"/>
          <w:color w:val="003551"/>
        </w:rPr>
      </w:pPr>
    </w:p>
    <w:p>
      <w:pPr>
        <w:ind w:left="2320" w:right="419" w:hanging="335"/>
        <w:spacing w:after="0" w:line="283" w:lineRule="auto"/>
        <w:tabs>
          <w:tab w:leader="none" w:pos="2320" w:val="left"/>
        </w:tabs>
        <w:numPr>
          <w:ilvl w:val="0"/>
          <w:numId w:val="84"/>
        </w:numPr>
        <w:rPr>
          <w:rFonts w:ascii="Arial" w:cs="Arial" w:eastAsia="Arial" w:hAnsi="Arial"/>
          <w:sz w:val="17"/>
          <w:szCs w:val="17"/>
          <w:color w:val="003551"/>
        </w:rPr>
      </w:pPr>
      <w:r>
        <w:rPr>
          <w:rFonts w:ascii="Arial" w:cs="Arial" w:eastAsia="Arial" w:hAnsi="Arial"/>
          <w:sz w:val="17"/>
          <w:szCs w:val="17"/>
          <w:color w:val="003551"/>
        </w:rPr>
        <w:t>the directors or alternate directors who assent to the resolution would have constituted a quorum at a board meeting held to consider that resolution,</w:t>
      </w:r>
    </w:p>
    <w:p>
      <w:pPr>
        <w:spacing w:after="0" w:line="37" w:lineRule="exact"/>
        <w:rPr>
          <w:sz w:val="20"/>
          <w:szCs w:val="20"/>
          <w:color w:val="auto"/>
        </w:rPr>
      </w:pPr>
    </w:p>
    <w:p>
      <w:pPr>
        <w:ind w:left="1980" w:right="699"/>
        <w:spacing w:after="0" w:line="283" w:lineRule="auto"/>
        <w:rPr>
          <w:sz w:val="20"/>
          <w:szCs w:val="20"/>
          <w:color w:val="auto"/>
        </w:rPr>
      </w:pPr>
      <w:r>
        <w:rPr>
          <w:rFonts w:ascii="Arial" w:cs="Arial" w:eastAsia="Arial" w:hAnsi="Arial"/>
          <w:sz w:val="17"/>
          <w:szCs w:val="17"/>
          <w:color w:val="003551"/>
        </w:rPr>
        <w:t xml:space="preserve">and the resolution is passed when the last of the directors required to pass the resolution under this rule 3‎.12 has assented to the document in accordance with </w:t>
      </w:r>
      <w:r>
        <w:rPr>
          <w:rFonts w:ascii="Arial" w:cs="Arial" w:eastAsia="Arial" w:hAnsi="Arial"/>
          <w:sz w:val="17"/>
          <w:szCs w:val="17"/>
          <w:u w:val="single" w:color="auto"/>
          <w:color w:val="003551"/>
        </w:rPr>
        <w:t>rule 3.13</w:t>
      </w:r>
      <w:r>
        <w:rPr>
          <w:rFonts w:ascii="Arial" w:cs="Arial" w:eastAsia="Arial" w:hAnsi="Arial"/>
          <w:sz w:val="17"/>
          <w:szCs w:val="17"/>
          <w:color w:val="00355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1778000</wp:posOffset>
            </wp:positionH>
            <wp:positionV relativeFrom="paragraph">
              <wp:posOffset>-48260</wp:posOffset>
            </wp:positionV>
            <wp:extent cx="43116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431165" cy="8255"/>
                    </a:xfrm>
                    <a:prstGeom prst="rect">
                      <a:avLst/>
                    </a:prstGeom>
                    <a:noFill/>
                  </pic:spPr>
                </pic:pic>
              </a:graphicData>
            </a:graphic>
          </wp:anchor>
        </w:drawing>
      </w:r>
    </w:p>
    <w:p>
      <w:pPr>
        <w:spacing w:after="0" w:line="15"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3.13</w:t>
      </w:r>
      <w:r>
        <w:rPr>
          <w:sz w:val="20"/>
          <w:szCs w:val="20"/>
          <w:color w:val="auto"/>
        </w:rPr>
        <w:tab/>
      </w:r>
      <w:r>
        <w:rPr>
          <w:rFonts w:ascii="Arial" w:cs="Arial" w:eastAsia="Arial" w:hAnsi="Arial"/>
          <w:sz w:val="17"/>
          <w:szCs w:val="17"/>
          <w:b w:val="1"/>
          <w:bCs w:val="1"/>
          <w:color w:val="003551"/>
        </w:rPr>
        <w:t>Assenting to a written resolution</w:t>
      </w:r>
    </w:p>
    <w:p>
      <w:pPr>
        <w:spacing w:after="0" w:line="134"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 xml:space="preserve">For the purposes of </w:t>
      </w:r>
      <w:r>
        <w:rPr>
          <w:rFonts w:ascii="Arial" w:cs="Arial" w:eastAsia="Arial" w:hAnsi="Arial"/>
          <w:sz w:val="17"/>
          <w:szCs w:val="17"/>
          <w:u w:val="single" w:color="auto"/>
          <w:color w:val="003551"/>
        </w:rPr>
        <w:t>rule 3.12</w:t>
      </w:r>
      <w:r>
        <w:rPr>
          <w:rFonts w:ascii="Arial" w:cs="Arial" w:eastAsia="Arial" w:hAnsi="Arial"/>
          <w:sz w:val="17"/>
          <w:szCs w:val="17"/>
          <w:color w:val="003551"/>
        </w:rPr>
        <w:t xml:space="preserve"> a director or alternate director assents to a resolution:</w:t>
      </w:r>
    </w:p>
    <w:p>
      <w:pPr>
        <w:spacing w:after="0" w:line="106" w:lineRule="exact"/>
        <w:rPr>
          <w:sz w:val="20"/>
          <w:szCs w:val="20"/>
          <w:color w:val="auto"/>
        </w:rPr>
      </w:pPr>
    </w:p>
    <w:p>
      <w:pPr>
        <w:ind w:left="2320" w:right="539" w:hanging="335"/>
        <w:spacing w:after="0" w:line="283" w:lineRule="auto"/>
        <w:tabs>
          <w:tab w:leader="none" w:pos="2320" w:val="left"/>
        </w:tabs>
        <w:numPr>
          <w:ilvl w:val="0"/>
          <w:numId w:val="85"/>
        </w:numPr>
        <w:rPr>
          <w:rFonts w:ascii="Arial" w:cs="Arial" w:eastAsia="Arial" w:hAnsi="Arial"/>
          <w:sz w:val="17"/>
          <w:szCs w:val="17"/>
          <w:color w:val="003551"/>
        </w:rPr>
      </w:pPr>
      <w:r>
        <w:rPr>
          <w:rFonts w:ascii="Arial" w:cs="Arial" w:eastAsia="Arial" w:hAnsi="Arial"/>
          <w:sz w:val="17"/>
          <w:szCs w:val="17"/>
          <w:color w:val="003551"/>
        </w:rPr>
        <w:t xml:space="preserve">by signing a copy of a document containing the resolution and giving it to the company in accordance with </w:t>
      </w:r>
      <w:r>
        <w:rPr>
          <w:rFonts w:ascii="Arial" w:cs="Arial" w:eastAsia="Arial" w:hAnsi="Arial"/>
          <w:sz w:val="17"/>
          <w:szCs w:val="17"/>
          <w:u w:val="single" w:color="auto"/>
          <w:color w:val="003551"/>
        </w:rPr>
        <w:t>rule 22.7</w:t>
      </w:r>
      <w:r>
        <w:rPr>
          <w:rFonts w:ascii="Arial" w:cs="Arial" w:eastAsia="Arial" w:hAnsi="Arial"/>
          <w:sz w:val="17"/>
          <w:szCs w:val="17"/>
          <w:color w:val="003551"/>
        </w:rPr>
        <w:t>; or</w:t>
      </w:r>
    </w:p>
    <w:p>
      <w:pPr>
        <w:spacing w:after="0" w:line="36" w:lineRule="exact"/>
        <w:rPr>
          <w:rFonts w:ascii="Arial" w:cs="Arial" w:eastAsia="Arial" w:hAnsi="Arial"/>
          <w:sz w:val="17"/>
          <w:szCs w:val="17"/>
          <w:color w:val="003551"/>
        </w:rPr>
      </w:pPr>
    </w:p>
    <w:p>
      <w:pPr>
        <w:ind w:left="2320" w:right="499" w:hanging="335"/>
        <w:spacing w:after="0" w:line="262" w:lineRule="auto"/>
        <w:tabs>
          <w:tab w:leader="none" w:pos="2320" w:val="left"/>
        </w:tabs>
        <w:numPr>
          <w:ilvl w:val="0"/>
          <w:numId w:val="85"/>
        </w:numPr>
        <w:rPr>
          <w:rFonts w:ascii="Arial" w:cs="Arial" w:eastAsia="Arial" w:hAnsi="Arial"/>
          <w:sz w:val="17"/>
          <w:szCs w:val="17"/>
          <w:color w:val="003551"/>
        </w:rPr>
      </w:pPr>
      <w:r>
        <w:rPr>
          <w:rFonts w:ascii="Arial" w:cs="Arial" w:eastAsia="Arial" w:hAnsi="Arial"/>
          <w:sz w:val="17"/>
          <w:szCs w:val="17"/>
          <w:color w:val="003551"/>
        </w:rPr>
        <w:t xml:space="preserve">by giving the company in accordance with </w:t>
      </w:r>
      <w:r>
        <w:rPr>
          <w:rFonts w:ascii="Arial" w:cs="Arial" w:eastAsia="Arial" w:hAnsi="Arial"/>
          <w:sz w:val="17"/>
          <w:szCs w:val="17"/>
          <w:u w:val="single" w:color="auto"/>
          <w:color w:val="003551"/>
        </w:rPr>
        <w:t>rule 22.7</w:t>
      </w:r>
      <w:r>
        <w:rPr>
          <w:rFonts w:ascii="Arial" w:cs="Arial" w:eastAsia="Arial" w:hAnsi="Arial"/>
          <w:sz w:val="17"/>
          <w:szCs w:val="17"/>
          <w:color w:val="003551"/>
        </w:rPr>
        <w:t xml:space="preserve"> a notice in writing addressed to the secretary or the chair of the board identifying the resolution, its terms and the fact that the director or alternate director assents to it.</w:t>
      </w:r>
    </w:p>
    <w:p>
      <w:pPr>
        <w:spacing w:after="0" w:line="52"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3.14</w:t>
      </w:r>
      <w:r>
        <w:rPr>
          <w:sz w:val="20"/>
          <w:szCs w:val="20"/>
          <w:color w:val="auto"/>
        </w:rPr>
        <w:tab/>
      </w:r>
      <w:r>
        <w:rPr>
          <w:rFonts w:ascii="Arial" w:cs="Arial" w:eastAsia="Arial" w:hAnsi="Arial"/>
          <w:sz w:val="17"/>
          <w:szCs w:val="17"/>
          <w:b w:val="1"/>
          <w:bCs w:val="1"/>
          <w:color w:val="003551"/>
        </w:rPr>
        <w:t>Validity of acts done by directors despite formal defect</w:t>
      </w:r>
    </w:p>
    <w:p>
      <w:pPr>
        <w:spacing w:after="0" w:line="108" w:lineRule="exact"/>
        <w:rPr>
          <w:sz w:val="20"/>
          <w:szCs w:val="20"/>
          <w:color w:val="auto"/>
        </w:rPr>
      </w:pPr>
    </w:p>
    <w:p>
      <w:pPr>
        <w:ind w:left="1640" w:right="379"/>
        <w:spacing w:after="0" w:line="251" w:lineRule="auto"/>
        <w:rPr>
          <w:sz w:val="20"/>
          <w:szCs w:val="20"/>
          <w:color w:val="auto"/>
        </w:rPr>
      </w:pPr>
      <w:r>
        <w:rPr>
          <w:rFonts w:ascii="Arial" w:cs="Arial" w:eastAsia="Arial" w:hAnsi="Arial"/>
          <w:sz w:val="17"/>
          <w:szCs w:val="17"/>
          <w:color w:val="003551"/>
        </w:rPr>
        <w:t>All acts done at a meeting of, or by written resolution of, the board or a committee of the board, or by a person acting as a director or a member of a committee of the board, are valid even if it is subsequently discovered that there was a defect in the appointment of any member of the board or committee or of the person so acting, or that any such person was disqualified or not entitled to vote.</w:t>
      </w:r>
    </w:p>
    <w:p>
      <w:pPr>
        <w:spacing w:after="0" w:line="63" w:lineRule="exact"/>
        <w:rPr>
          <w:sz w:val="20"/>
          <w:szCs w:val="20"/>
          <w:color w:val="auto"/>
        </w:rPr>
      </w:pPr>
    </w:p>
    <w:p>
      <w:pPr>
        <w:ind w:left="1640" w:hanging="703"/>
        <w:spacing w:after="0"/>
        <w:tabs>
          <w:tab w:leader="none" w:pos="1640" w:val="left"/>
        </w:tabs>
        <w:numPr>
          <w:ilvl w:val="0"/>
          <w:numId w:val="86"/>
        </w:numPr>
        <w:rPr>
          <w:rFonts w:ascii="Arial" w:cs="Arial" w:eastAsia="Arial" w:hAnsi="Arial"/>
          <w:sz w:val="17"/>
          <w:szCs w:val="17"/>
          <w:b w:val="1"/>
          <w:bCs w:val="1"/>
          <w:color w:val="003551"/>
        </w:rPr>
      </w:pPr>
      <w:r>
        <w:rPr>
          <w:rFonts w:ascii="Arial" w:cs="Arial" w:eastAsia="Arial" w:hAnsi="Arial"/>
          <w:sz w:val="17"/>
          <w:szCs w:val="17"/>
          <w:b w:val="1"/>
          <w:bCs w:val="1"/>
          <w:color w:val="003551"/>
        </w:rPr>
        <w:t>APPOINTMENT, RETIREMENT AND REMOVAL OF DIRECTORS</w:t>
      </w:r>
    </w:p>
    <w:p>
      <w:pPr>
        <w:spacing w:after="0" w:line="105" w:lineRule="exact"/>
        <w:rPr>
          <w:rFonts w:ascii="Arial" w:cs="Arial" w:eastAsia="Arial" w:hAnsi="Arial"/>
          <w:sz w:val="17"/>
          <w:szCs w:val="17"/>
          <w:b w:val="1"/>
          <w:bCs w:val="1"/>
          <w:color w:val="003551"/>
        </w:rPr>
      </w:pPr>
    </w:p>
    <w:p>
      <w:pPr>
        <w:ind w:left="940"/>
        <w:spacing w:after="0"/>
        <w:rPr>
          <w:rFonts w:ascii="Arial" w:cs="Arial" w:eastAsia="Arial" w:hAnsi="Arial"/>
          <w:sz w:val="17"/>
          <w:szCs w:val="17"/>
          <w:b w:val="1"/>
          <w:bCs w:val="1"/>
          <w:color w:val="003551"/>
        </w:rPr>
      </w:pPr>
      <w:r>
        <w:rPr>
          <w:rFonts w:ascii="Arial" w:cs="Arial" w:eastAsia="Arial" w:hAnsi="Arial"/>
          <w:sz w:val="17"/>
          <w:szCs w:val="17"/>
          <w:b w:val="1"/>
          <w:bCs w:val="1"/>
          <w:color w:val="003551"/>
        </w:rPr>
        <w:t>4.1Number of directors</w:t>
      </w:r>
    </w:p>
    <w:p>
      <w:pPr>
        <w:spacing w:after="0" w:line="108" w:lineRule="exact"/>
        <w:rPr>
          <w:sz w:val="20"/>
          <w:szCs w:val="20"/>
          <w:color w:val="auto"/>
        </w:rPr>
      </w:pPr>
    </w:p>
    <w:p>
      <w:pPr>
        <w:ind w:left="1640" w:right="619"/>
        <w:spacing w:after="0" w:line="255" w:lineRule="auto"/>
        <w:rPr>
          <w:sz w:val="20"/>
          <w:szCs w:val="20"/>
          <w:color w:val="auto"/>
        </w:rPr>
      </w:pPr>
      <w:r>
        <w:rPr>
          <w:rFonts w:ascii="Arial" w:cs="Arial" w:eastAsia="Arial" w:hAnsi="Arial"/>
          <w:sz w:val="17"/>
          <w:szCs w:val="17"/>
          <w:color w:val="003551"/>
        </w:rPr>
        <w:t>The minimum number of directors is 3. The maximum number of directors is 10 or such other number resolved by ordinary resolution of the company in a general meeting from time to time, but that other number must not be less than the number of directors in office at the time of any such ordinary resolution.</w:t>
      </w:r>
    </w:p>
    <w:p>
      <w:pPr>
        <w:spacing w:after="0" w:line="58"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4.2</w:t>
      </w:r>
      <w:r>
        <w:rPr>
          <w:sz w:val="20"/>
          <w:szCs w:val="20"/>
          <w:color w:val="auto"/>
        </w:rPr>
        <w:tab/>
      </w:r>
      <w:r>
        <w:rPr>
          <w:rFonts w:ascii="Arial" w:cs="Arial" w:eastAsia="Arial" w:hAnsi="Arial"/>
          <w:sz w:val="17"/>
          <w:szCs w:val="17"/>
          <w:b w:val="1"/>
          <w:bCs w:val="1"/>
          <w:color w:val="003551"/>
        </w:rPr>
        <w:t>Board may act despite vacancy</w:t>
      </w:r>
    </w:p>
    <w:p>
      <w:pPr>
        <w:spacing w:after="0" w:line="108" w:lineRule="exact"/>
        <w:rPr>
          <w:sz w:val="20"/>
          <w:szCs w:val="20"/>
          <w:color w:val="auto"/>
        </w:rPr>
      </w:pPr>
    </w:p>
    <w:p>
      <w:pPr>
        <w:ind w:left="1640" w:right="559"/>
        <w:spacing w:after="0" w:line="255" w:lineRule="auto"/>
        <w:rPr>
          <w:sz w:val="20"/>
          <w:szCs w:val="20"/>
          <w:color w:val="auto"/>
        </w:rPr>
      </w:pPr>
      <w:r>
        <w:rPr>
          <w:rFonts w:ascii="Arial" w:cs="Arial" w:eastAsia="Arial" w:hAnsi="Arial"/>
          <w:sz w:val="17"/>
          <w:szCs w:val="17"/>
          <w:color w:val="003551"/>
        </w:rPr>
        <w:t xml:space="preserve">The board may act despite any vacancy in the office of director but if the number of directors is below the minimum fixed by </w:t>
      </w:r>
      <w:r>
        <w:rPr>
          <w:rFonts w:ascii="Arial" w:cs="Arial" w:eastAsia="Arial" w:hAnsi="Arial"/>
          <w:sz w:val="17"/>
          <w:szCs w:val="17"/>
          <w:u w:val="single" w:color="auto"/>
          <w:color w:val="003551"/>
        </w:rPr>
        <w:t>rule 4.1</w:t>
      </w:r>
      <w:r>
        <w:rPr>
          <w:rFonts w:ascii="Arial" w:cs="Arial" w:eastAsia="Arial" w:hAnsi="Arial"/>
          <w:sz w:val="17"/>
          <w:szCs w:val="17"/>
          <w:color w:val="003551"/>
        </w:rPr>
        <w:t>, the board may act only for the purpose of filling vacancies to the extent necessary to bring the number of directors up to that minimum, to convene a general meeting or in an emergency.</w:t>
      </w:r>
    </w:p>
    <w:p>
      <w:pPr>
        <w:spacing w:after="0" w:line="165"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127635</wp:posOffset>
            </wp:positionV>
            <wp:extent cx="6786880" cy="1651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4.3</w:t>
      </w:r>
      <w:r>
        <w:rPr>
          <w:sz w:val="20"/>
          <w:szCs w:val="20"/>
          <w:color w:val="auto"/>
        </w:rPr>
        <w:tab/>
      </w:r>
      <w:r>
        <w:rPr>
          <w:rFonts w:ascii="Arial" w:cs="Arial" w:eastAsia="Arial" w:hAnsi="Arial"/>
          <w:sz w:val="17"/>
          <w:szCs w:val="17"/>
          <w:b w:val="1"/>
          <w:bCs w:val="1"/>
          <w:color w:val="003551"/>
        </w:rPr>
        <w:t>Appointment of directors by the board</w:t>
      </w:r>
    </w:p>
    <w:p>
      <w:pPr>
        <w:spacing w:after="0" w:line="108" w:lineRule="exact"/>
        <w:rPr>
          <w:sz w:val="20"/>
          <w:szCs w:val="20"/>
          <w:color w:val="auto"/>
        </w:rPr>
      </w:pPr>
    </w:p>
    <w:p>
      <w:pPr>
        <w:ind w:left="1640" w:right="459"/>
        <w:spacing w:after="0" w:line="248" w:lineRule="auto"/>
        <w:rPr>
          <w:sz w:val="20"/>
          <w:szCs w:val="20"/>
          <w:color w:val="auto"/>
        </w:rPr>
      </w:pPr>
      <w:r>
        <w:rPr>
          <w:rFonts w:ascii="Arial" w:cs="Arial" w:eastAsia="Arial" w:hAnsi="Arial"/>
          <w:sz w:val="17"/>
          <w:szCs w:val="17"/>
          <w:color w:val="003551"/>
        </w:rPr>
        <w:t xml:space="preserve">The board may at any time appoint any person to be a director </w:t>
      </w:r>
      <w:r>
        <w:rPr>
          <w:rFonts w:ascii="Arial" w:cs="Arial" w:eastAsia="Arial" w:hAnsi="Arial"/>
          <w:sz w:val="17"/>
          <w:szCs w:val="17"/>
          <w:u w:val="single" w:color="auto"/>
          <w:color w:val="0000FF"/>
        </w:rPr>
        <w:t>to fill vacancies resulting from a</w:t>
      </w:r>
      <w:r>
        <w:rPr>
          <w:rFonts w:ascii="Arial" w:cs="Arial" w:eastAsia="Arial" w:hAnsi="Arial"/>
          <w:sz w:val="17"/>
          <w:szCs w:val="17"/>
          <w:color w:val="003551"/>
        </w:rPr>
        <w:t xml:space="preserve"> </w:t>
      </w:r>
      <w:r>
        <w:rPr>
          <w:rFonts w:ascii="Arial" w:cs="Arial" w:eastAsia="Arial" w:hAnsi="Arial"/>
          <w:sz w:val="17"/>
          <w:szCs w:val="17"/>
          <w:u w:val="single" w:color="auto"/>
          <w:color w:val="0000FF"/>
        </w:rPr>
        <w:t>director ceasing to hold office under rule 4.6 or otherwise and to fill newly created directorships resulting from any increase in the number of directors,</w:t>
      </w:r>
      <w:r>
        <w:rPr>
          <w:rFonts w:ascii="Arial" w:cs="Arial" w:eastAsia="Arial" w:hAnsi="Arial"/>
          <w:sz w:val="17"/>
          <w:szCs w:val="17"/>
          <w:color w:val="0000FF"/>
        </w:rPr>
        <w:t xml:space="preserve"> </w:t>
      </w:r>
      <w:r>
        <w:rPr>
          <w:rFonts w:ascii="Arial" w:cs="Arial" w:eastAsia="Arial" w:hAnsi="Arial"/>
          <w:sz w:val="17"/>
          <w:szCs w:val="17"/>
          <w:color w:val="000000"/>
        </w:rPr>
        <w:t>provided that the total number of directors</w:t>
      </w:r>
      <w:r>
        <w:rPr>
          <w:rFonts w:ascii="Arial" w:cs="Arial" w:eastAsia="Arial" w:hAnsi="Arial"/>
          <w:sz w:val="17"/>
          <w:szCs w:val="17"/>
          <w:color w:val="0000FF"/>
        </w:rPr>
        <w:t xml:space="preserve"> </w:t>
      </w:r>
      <w:r>
        <w:rPr>
          <w:rFonts w:ascii="Arial" w:cs="Arial" w:eastAsia="Arial" w:hAnsi="Arial"/>
          <w:sz w:val="17"/>
          <w:szCs w:val="17"/>
          <w:color w:val="000000"/>
        </w:rPr>
        <w:t xml:space="preserve">does not exceed the maximum number determined in accordance with </w:t>
      </w:r>
      <w:r>
        <w:rPr>
          <w:rFonts w:ascii="Arial" w:cs="Arial" w:eastAsia="Arial" w:hAnsi="Arial"/>
          <w:sz w:val="17"/>
          <w:szCs w:val="17"/>
          <w:u w:val="single" w:color="auto"/>
          <w:color w:val="000000"/>
        </w:rPr>
        <w:t>rule 4.1</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Each director so</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appointed (other than a Founder Director, if any) shall hold office for a term that shall coincide with the term of the class to which such director shall have been appointed or unless such director otherwise ceases to hold office pursuant to rule 4.6.</w:t>
      </w:r>
    </w:p>
    <w:p>
      <w:pPr>
        <w:spacing w:after="0" w:line="64"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4.4</w:t>
      </w:r>
      <w:r>
        <w:rPr>
          <w:sz w:val="20"/>
          <w:szCs w:val="20"/>
          <w:color w:val="auto"/>
        </w:rPr>
        <w:tab/>
      </w:r>
      <w:r>
        <w:rPr>
          <w:rFonts w:ascii="Arial" w:cs="Arial" w:eastAsia="Arial" w:hAnsi="Arial"/>
          <w:sz w:val="17"/>
          <w:szCs w:val="17"/>
          <w:b w:val="1"/>
          <w:bCs w:val="1"/>
          <w:color w:val="003551"/>
        </w:rPr>
        <w:t>Election of directors at general meeting</w:t>
      </w:r>
    </w:p>
    <w:p>
      <w:pPr>
        <w:spacing w:after="0" w:line="108" w:lineRule="exact"/>
        <w:rPr>
          <w:sz w:val="20"/>
          <w:szCs w:val="20"/>
          <w:color w:val="auto"/>
        </w:rPr>
      </w:pPr>
    </w:p>
    <w:p>
      <w:pPr>
        <w:ind w:left="1640" w:right="439"/>
        <w:spacing w:after="0" w:line="251" w:lineRule="auto"/>
        <w:rPr>
          <w:sz w:val="20"/>
          <w:szCs w:val="20"/>
          <w:color w:val="auto"/>
        </w:rPr>
      </w:pPr>
      <w:r>
        <w:rPr>
          <w:rFonts w:ascii="Arial" w:cs="Arial" w:eastAsia="Arial" w:hAnsi="Arial"/>
          <w:sz w:val="17"/>
          <w:szCs w:val="17"/>
          <w:color w:val="003551"/>
        </w:rPr>
        <w:t xml:space="preserve">The company may by resolution at a general meeting elect or re-elect a person as a director provided that the total number of directors does not exceed the maximum number determined in accordance with </w:t>
      </w:r>
      <w:r>
        <w:rPr>
          <w:rFonts w:ascii="Arial" w:cs="Arial" w:eastAsia="Arial" w:hAnsi="Arial"/>
          <w:sz w:val="17"/>
          <w:szCs w:val="17"/>
          <w:u w:val="single" w:color="auto"/>
          <w:color w:val="003551"/>
        </w:rPr>
        <w:t>rule 4.1</w:t>
      </w:r>
      <w:r>
        <w:rPr>
          <w:rFonts w:ascii="Arial" w:cs="Arial" w:eastAsia="Arial" w:hAnsi="Arial"/>
          <w:sz w:val="17"/>
          <w:szCs w:val="17"/>
          <w:color w:val="003551"/>
        </w:rPr>
        <w:t xml:space="preserve">. </w:t>
      </w:r>
      <w:r>
        <w:rPr>
          <w:rFonts w:ascii="Arial" w:cs="Arial" w:eastAsia="Arial" w:hAnsi="Arial"/>
          <w:sz w:val="17"/>
          <w:szCs w:val="17"/>
          <w:u w:val="single" w:color="auto"/>
          <w:color w:val="0000FF"/>
        </w:rPr>
        <w:t>Each director so appointed (other than a Founder Director, if any) shall</w:t>
      </w:r>
      <w:r>
        <w:rPr>
          <w:rFonts w:ascii="Arial" w:cs="Arial" w:eastAsia="Arial" w:hAnsi="Arial"/>
          <w:sz w:val="17"/>
          <w:szCs w:val="17"/>
          <w:color w:val="003551"/>
        </w:rPr>
        <w:t xml:space="preserve"> </w:t>
      </w:r>
      <w:r>
        <w:rPr>
          <w:rFonts w:ascii="Arial" w:cs="Arial" w:eastAsia="Arial" w:hAnsi="Arial"/>
          <w:sz w:val="17"/>
          <w:szCs w:val="17"/>
          <w:u w:val="single" w:color="auto"/>
          <w:color w:val="0000FF"/>
        </w:rPr>
        <w:t>hold office for a term that shall coincide with the term of the class to which such director shall have been appointed or unless such director otherwise ceases to hold office pursuant to rule 4.6.</w:t>
      </w:r>
    </w:p>
    <w:p>
      <w:pPr>
        <w:spacing w:after="0" w:line="63"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u w:val="single" w:color="auto"/>
          <w:color w:val="0000FF"/>
        </w:rPr>
        <w:t>4.5</w:t>
      </w:r>
      <w:r>
        <w:rPr>
          <w:sz w:val="20"/>
          <w:szCs w:val="20"/>
          <w:color w:val="auto"/>
        </w:rPr>
        <w:tab/>
      </w:r>
      <w:r>
        <w:rPr>
          <w:rFonts w:ascii="Arial" w:cs="Arial" w:eastAsia="Arial" w:hAnsi="Arial"/>
          <w:sz w:val="17"/>
          <w:szCs w:val="17"/>
          <w:b w:val="1"/>
          <w:bCs w:val="1"/>
          <w:u w:val="single" w:color="auto"/>
          <w:color w:val="0000FF"/>
        </w:rPr>
        <w:t>Term of office of directors</w:t>
      </w:r>
    </w:p>
    <w:p>
      <w:pPr>
        <w:spacing w:after="0" w:line="108" w:lineRule="exact"/>
        <w:rPr>
          <w:sz w:val="20"/>
          <w:szCs w:val="20"/>
          <w:color w:val="auto"/>
        </w:rPr>
      </w:pPr>
    </w:p>
    <w:p>
      <w:pPr>
        <w:ind w:left="1980" w:right="639" w:hanging="344"/>
        <w:spacing w:after="0" w:line="283" w:lineRule="auto"/>
        <w:tabs>
          <w:tab w:leader="none" w:pos="1980" w:val="left"/>
        </w:tabs>
        <w:numPr>
          <w:ilvl w:val="0"/>
          <w:numId w:val="87"/>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The directors (other than the Founder Directors, if any) shall be divided into three classes, designated Class I, Class II and Class III.</w:t>
      </w:r>
    </w:p>
    <w:p>
      <w:pPr>
        <w:spacing w:after="0" w:line="36" w:lineRule="exact"/>
        <w:rPr>
          <w:rFonts w:ascii="Arial" w:cs="Arial" w:eastAsia="Arial" w:hAnsi="Arial"/>
          <w:sz w:val="17"/>
          <w:szCs w:val="17"/>
          <w:u w:val="single" w:color="auto"/>
          <w:color w:val="0000FF"/>
        </w:rPr>
      </w:pPr>
    </w:p>
    <w:p>
      <w:pPr>
        <w:ind w:left="1980" w:right="599" w:hanging="344"/>
        <w:spacing w:after="0" w:line="262" w:lineRule="auto"/>
        <w:tabs>
          <w:tab w:leader="none" w:pos="1980" w:val="left"/>
        </w:tabs>
        <w:numPr>
          <w:ilvl w:val="0"/>
          <w:numId w:val="87"/>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Each class shall consist, as nearly as may be practicable, of one-third (1/3) of the total number of directors constituting the entire board (other than the Founder Directors, if any), subject to rule 4.5(g).</w:t>
      </w:r>
    </w:p>
    <w:p>
      <w:pPr>
        <w:spacing w:after="0" w:line="54" w:lineRule="exact"/>
        <w:rPr>
          <w:rFonts w:ascii="Arial" w:cs="Arial" w:eastAsia="Arial" w:hAnsi="Arial"/>
          <w:sz w:val="17"/>
          <w:szCs w:val="17"/>
          <w:u w:val="single" w:color="auto"/>
          <w:color w:val="0000FF"/>
        </w:rPr>
      </w:pPr>
    </w:p>
    <w:p>
      <w:pPr>
        <w:ind w:left="1980" w:hanging="344"/>
        <w:spacing w:after="0"/>
        <w:tabs>
          <w:tab w:leader="none" w:pos="1980" w:val="left"/>
        </w:tabs>
        <w:numPr>
          <w:ilvl w:val="0"/>
          <w:numId w:val="87"/>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Subject to rule 4.6, each director (other than the Founder Directors, if any) shall serve a term</w:t>
      </w:r>
    </w:p>
    <w:p>
      <w:pPr>
        <w:spacing w:after="0" w:line="17" w:lineRule="exact"/>
        <w:rPr>
          <w:rFonts w:ascii="Arial" w:cs="Arial" w:eastAsia="Arial" w:hAnsi="Arial"/>
          <w:sz w:val="17"/>
          <w:szCs w:val="17"/>
          <w:u w:val="single" w:color="auto"/>
          <w:color w:val="0000FF"/>
        </w:rPr>
      </w:pPr>
    </w:p>
    <w:p>
      <w:pPr>
        <w:ind w:left="1980" w:right="459" w:hanging="4"/>
        <w:spacing w:after="0" w:line="248" w:lineRule="auto"/>
        <w:tabs>
          <w:tab w:leader="none" w:pos="2184" w:val="left"/>
        </w:tabs>
        <w:numPr>
          <w:ilvl w:val="1"/>
          <w:numId w:val="87"/>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ending on the date of the third (3rd) annual general meeting next following the annual general meeting at which such director was elected, or (ii) with respect to a director appointed under rule 4.3, that shall coincide with the term of the class to which such director shall have been appointed.</w:t>
      </w:r>
    </w:p>
    <w:p>
      <w:pPr>
        <w:spacing w:after="0" w:line="66" w:lineRule="exact"/>
        <w:rPr>
          <w:rFonts w:ascii="Arial" w:cs="Arial" w:eastAsia="Arial" w:hAnsi="Arial"/>
          <w:sz w:val="17"/>
          <w:szCs w:val="17"/>
          <w:u w:val="single" w:color="auto"/>
          <w:color w:val="0000FF"/>
        </w:rPr>
      </w:pPr>
    </w:p>
    <w:p>
      <w:pPr>
        <w:ind w:left="1980" w:right="739" w:hanging="344"/>
        <w:spacing w:after="0" w:line="283" w:lineRule="auto"/>
        <w:tabs>
          <w:tab w:leader="none" w:pos="1980" w:val="left"/>
        </w:tabs>
        <w:numPr>
          <w:ilvl w:val="0"/>
          <w:numId w:val="87"/>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Subject to rule 4.5(c), the directors appointed to the board as of the 2025 annual general meeting shall serve initial terms as follows:</w:t>
      </w:r>
    </w:p>
    <w:p>
      <w:pPr>
        <w:spacing w:after="0" w:line="36" w:lineRule="exact"/>
        <w:rPr>
          <w:rFonts w:ascii="Arial" w:cs="Arial" w:eastAsia="Arial" w:hAnsi="Arial"/>
          <w:sz w:val="17"/>
          <w:szCs w:val="17"/>
          <w:u w:val="single" w:color="auto"/>
          <w:color w:val="0000FF"/>
        </w:rPr>
      </w:pPr>
    </w:p>
    <w:p>
      <w:pPr>
        <w:ind w:left="2320" w:right="579" w:hanging="335"/>
        <w:spacing w:after="0" w:line="283" w:lineRule="auto"/>
        <w:tabs>
          <w:tab w:leader="none" w:pos="2320" w:val="left"/>
        </w:tabs>
        <w:numPr>
          <w:ilvl w:val="1"/>
          <w:numId w:val="87"/>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the Class I directors pursuant to rule 4.5(g) shall serve for a term ended on the date of the 2026 annual general meeting;</w:t>
      </w:r>
    </w:p>
    <w:p>
      <w:pPr>
        <w:spacing w:after="0" w:line="36" w:lineRule="exact"/>
        <w:rPr>
          <w:rFonts w:ascii="Arial" w:cs="Arial" w:eastAsia="Arial" w:hAnsi="Arial"/>
          <w:sz w:val="17"/>
          <w:szCs w:val="17"/>
          <w:u w:val="single" w:color="auto"/>
          <w:color w:val="0000FF"/>
        </w:rPr>
      </w:pPr>
    </w:p>
    <w:p>
      <w:pPr>
        <w:ind w:left="2320" w:right="519" w:hanging="335"/>
        <w:spacing w:after="0" w:line="283" w:lineRule="auto"/>
        <w:tabs>
          <w:tab w:leader="none" w:pos="2320" w:val="left"/>
        </w:tabs>
        <w:numPr>
          <w:ilvl w:val="1"/>
          <w:numId w:val="87"/>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the Class II directors pursuant to rule 4.5(g) shall serve for a term ended on the date of the 2027 annual general meeting; and</w:t>
      </w:r>
    </w:p>
    <w:p>
      <w:pPr>
        <w:spacing w:after="0" w:line="36" w:lineRule="exact"/>
        <w:rPr>
          <w:rFonts w:ascii="Arial" w:cs="Arial" w:eastAsia="Arial" w:hAnsi="Arial"/>
          <w:sz w:val="17"/>
          <w:szCs w:val="17"/>
          <w:u w:val="single" w:color="auto"/>
          <w:color w:val="0000FF"/>
        </w:rPr>
      </w:pPr>
    </w:p>
    <w:p>
      <w:pPr>
        <w:ind w:left="2320" w:right="479" w:hanging="335"/>
        <w:spacing w:after="0" w:line="283" w:lineRule="auto"/>
        <w:tabs>
          <w:tab w:leader="none" w:pos="2320" w:val="left"/>
        </w:tabs>
        <w:numPr>
          <w:ilvl w:val="1"/>
          <w:numId w:val="87"/>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the Class III directors pursuant to rule 4.5(g) shall serve for a term ended on the date of the 2028 annual general meeting.</w:t>
      </w:r>
    </w:p>
    <w:p>
      <w:pPr>
        <w:spacing w:after="0" w:line="36" w:lineRule="exact"/>
        <w:rPr>
          <w:rFonts w:ascii="Arial" w:cs="Arial" w:eastAsia="Arial" w:hAnsi="Arial"/>
          <w:sz w:val="17"/>
          <w:szCs w:val="17"/>
          <w:u w:val="single" w:color="auto"/>
          <w:color w:val="0000FF"/>
        </w:rPr>
      </w:pPr>
    </w:p>
    <w:p>
      <w:pPr>
        <w:ind w:left="1980" w:right="379" w:hanging="344"/>
        <w:spacing w:after="0" w:line="245" w:lineRule="auto"/>
        <w:tabs>
          <w:tab w:leader="none" w:pos="1980" w:val="left"/>
        </w:tabs>
        <w:numPr>
          <w:ilvl w:val="0"/>
          <w:numId w:val="87"/>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Notwithstanding the foregoing, each director (other than the Founder Directors, if any) shall hold office until the annual general meeting at which his or her term expires and, except if the number of directors is to be reduced in connection with such annual general meeting such that there will be no successor with respect to such director, until his or her successor shall have been duly elected and qualified, in each case, unless such director otherwise ceases to hold office pursuant to rule 4.6. At each annual general meeting, the successors of the members of the class of directors whose term expires at that meeting shall be elected to hold office for a term expiring at the third succeeding annual general meeting following the annual general meeting at which such director was elected, except to the extent that the number of directors is to be reduced in connection with such annual general meeting in accordance with rule 4.1 such that there will be no successor with respect to one or more members of such class of directors.</w:t>
      </w:r>
    </w:p>
    <w:p>
      <w:pPr>
        <w:spacing w:after="0" w:line="372"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119380</wp:posOffset>
            </wp:positionV>
            <wp:extent cx="6786880" cy="1651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980" w:right="619" w:hanging="344"/>
        <w:spacing w:after="0" w:line="248" w:lineRule="auto"/>
        <w:tabs>
          <w:tab w:leader="none" w:pos="1980" w:val="left"/>
        </w:tabs>
        <w:numPr>
          <w:ilvl w:val="0"/>
          <w:numId w:val="88"/>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Commencing with the 2030 annual general meeting, and at each annual general meeting thereafter, each director with his or her term expiring at that meeting shall be elected annually and shall hold office until his or her respective successor shall have been duly elected and qualified or until such director otherwise ceases to hold office pursuant to rule 4.6. Pursuant to such procedures, effective at the conclusion of the 2032 annual general meeting, the board will no longer be classified and directors shall no longer be divided into three classes.</w:t>
      </w:r>
    </w:p>
    <w:p>
      <w:pPr>
        <w:spacing w:after="0" w:line="66" w:lineRule="exact"/>
        <w:rPr>
          <w:rFonts w:ascii="Arial" w:cs="Arial" w:eastAsia="Arial" w:hAnsi="Arial"/>
          <w:sz w:val="17"/>
          <w:szCs w:val="17"/>
          <w:u w:val="single" w:color="auto"/>
          <w:color w:val="0000FF"/>
        </w:rPr>
      </w:pPr>
    </w:p>
    <w:p>
      <w:pPr>
        <w:ind w:left="1980" w:right="439" w:hanging="344"/>
        <w:spacing w:after="0" w:line="248" w:lineRule="auto"/>
        <w:tabs>
          <w:tab w:leader="none" w:pos="1980" w:val="left"/>
        </w:tabs>
        <w:numPr>
          <w:ilvl w:val="0"/>
          <w:numId w:val="88"/>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The board is authorized to assign members of the board already in office (other than the Founder Directors, if any) to their respective classes at the time such classification becomes effective. In the event of any change in the number of directors, the board shall apportion any newly created directorships among, or reduce the number of directorships in, such class or classes as shall equalize, as nearly as possible, the number of directors in each class. In no event will a decrease in the number of directors shorten the term of any incumbent director.</w:t>
      </w:r>
    </w:p>
    <w:p>
      <w:pPr>
        <w:spacing w:after="0" w:line="268" w:lineRule="exact"/>
        <w:rPr>
          <w:rFonts w:ascii="Arial" w:cs="Arial" w:eastAsia="Arial" w:hAnsi="Arial"/>
          <w:sz w:val="17"/>
          <w:szCs w:val="17"/>
          <w:u w:val="single" w:color="auto"/>
          <w:color w:val="0000FF"/>
        </w:rPr>
      </w:pPr>
    </w:p>
    <w:p>
      <w:pPr>
        <w:ind w:left="1980" w:right="699" w:hanging="344"/>
        <w:spacing w:after="0" w:line="283" w:lineRule="auto"/>
        <w:tabs>
          <w:tab w:leader="none" w:pos="1980" w:val="left"/>
        </w:tabs>
        <w:numPr>
          <w:ilvl w:val="0"/>
          <w:numId w:val="88"/>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Each Founder Director, if any, shall hold office until such Founder Director ceases to hold office pursuant to rule 4.6 or paragraph 9(b) of Schedule 1.</w:t>
      </w:r>
    </w:p>
    <w:p>
      <w:pPr>
        <w:spacing w:after="0" w:line="35"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u w:val="single" w:color="auto"/>
          <w:color w:val="0000FF"/>
        </w:rPr>
        <w:t>4.6</w:t>
      </w:r>
      <w:r>
        <w:rPr>
          <w:sz w:val="20"/>
          <w:szCs w:val="20"/>
          <w:color w:val="auto"/>
        </w:rPr>
        <w:tab/>
      </w:r>
      <w:r>
        <w:rPr>
          <w:rFonts w:ascii="Arial" w:cs="Arial" w:eastAsia="Arial" w:hAnsi="Arial"/>
          <w:sz w:val="17"/>
          <w:szCs w:val="17"/>
          <w:b w:val="1"/>
          <w:bCs w:val="1"/>
          <w:color w:val="FF0000"/>
          <w:strike w:val="1"/>
        </w:rPr>
        <w:t xml:space="preserve">4.5 </w:t>
      </w:r>
      <w:r>
        <w:rPr>
          <w:rFonts w:ascii="Arial" w:cs="Arial" w:eastAsia="Arial" w:hAnsi="Arial"/>
          <w:sz w:val="17"/>
          <w:szCs w:val="17"/>
          <w:b w:val="1"/>
          <w:bCs w:val="1"/>
          <w:color w:val="000000"/>
          <w:strike w:val="1"/>
        </w:rPr>
        <w:t>Director ceases to hold office</w:t>
      </w:r>
    </w:p>
    <w:p>
      <w:pPr>
        <w:spacing w:after="0" w:line="134"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A director ceases to hold office as a director if the director:</w:t>
      </w:r>
    </w:p>
    <w:p>
      <w:pPr>
        <w:spacing w:after="0" w:line="106" w:lineRule="exact"/>
        <w:rPr>
          <w:sz w:val="20"/>
          <w:szCs w:val="20"/>
          <w:color w:val="auto"/>
        </w:rPr>
      </w:pPr>
    </w:p>
    <w:p>
      <w:pPr>
        <w:ind w:left="2320" w:hanging="335"/>
        <w:spacing w:after="0"/>
        <w:tabs>
          <w:tab w:leader="none" w:pos="2320" w:val="left"/>
        </w:tabs>
        <w:numPr>
          <w:ilvl w:val="0"/>
          <w:numId w:val="89"/>
        </w:numPr>
        <w:rPr>
          <w:rFonts w:ascii="Arial" w:cs="Arial" w:eastAsia="Arial" w:hAnsi="Arial"/>
          <w:sz w:val="17"/>
          <w:szCs w:val="17"/>
          <w:color w:val="003551"/>
        </w:rPr>
      </w:pPr>
      <w:r>
        <w:rPr>
          <w:rFonts w:ascii="Arial" w:cs="Arial" w:eastAsia="Arial" w:hAnsi="Arial"/>
          <w:sz w:val="17"/>
          <w:szCs w:val="17"/>
          <w:color w:val="003551"/>
        </w:rPr>
        <w:t>resigns as a director by giving notice in writing to the company;</w:t>
      </w:r>
    </w:p>
    <w:p>
      <w:pPr>
        <w:spacing w:after="0" w:line="105" w:lineRule="exact"/>
        <w:rPr>
          <w:rFonts w:ascii="Arial" w:cs="Arial" w:eastAsia="Arial" w:hAnsi="Arial"/>
          <w:sz w:val="17"/>
          <w:szCs w:val="17"/>
          <w:color w:val="003551"/>
        </w:rPr>
      </w:pPr>
    </w:p>
    <w:p>
      <w:pPr>
        <w:ind w:left="2320" w:hanging="335"/>
        <w:spacing w:after="0"/>
        <w:tabs>
          <w:tab w:leader="none" w:pos="2320" w:val="left"/>
        </w:tabs>
        <w:numPr>
          <w:ilvl w:val="0"/>
          <w:numId w:val="89"/>
        </w:numPr>
        <w:rPr>
          <w:rFonts w:ascii="Arial" w:cs="Arial" w:eastAsia="Arial" w:hAnsi="Arial"/>
          <w:sz w:val="17"/>
          <w:szCs w:val="17"/>
          <w:color w:val="003551"/>
        </w:rPr>
      </w:pPr>
      <w:r>
        <w:rPr>
          <w:rFonts w:ascii="Arial" w:cs="Arial" w:eastAsia="Arial" w:hAnsi="Arial"/>
          <w:sz w:val="17"/>
          <w:szCs w:val="17"/>
          <w:color w:val="003551"/>
        </w:rPr>
        <w:t>is removed from office by resolution under the Corporations Act;</w:t>
      </w:r>
    </w:p>
    <w:p>
      <w:pPr>
        <w:spacing w:after="0" w:line="105" w:lineRule="exact"/>
        <w:rPr>
          <w:rFonts w:ascii="Arial" w:cs="Arial" w:eastAsia="Arial" w:hAnsi="Arial"/>
          <w:sz w:val="17"/>
          <w:szCs w:val="17"/>
          <w:color w:val="003551"/>
        </w:rPr>
      </w:pPr>
    </w:p>
    <w:p>
      <w:pPr>
        <w:ind w:left="2320" w:right="579" w:hanging="335"/>
        <w:spacing w:after="0" w:line="283" w:lineRule="auto"/>
        <w:tabs>
          <w:tab w:leader="none" w:pos="2320" w:val="left"/>
        </w:tabs>
        <w:numPr>
          <w:ilvl w:val="0"/>
          <w:numId w:val="89"/>
        </w:numPr>
        <w:rPr>
          <w:rFonts w:ascii="Arial" w:cs="Arial" w:eastAsia="Arial" w:hAnsi="Arial"/>
          <w:sz w:val="17"/>
          <w:szCs w:val="17"/>
          <w:color w:val="003551"/>
        </w:rPr>
      </w:pPr>
      <w:r>
        <w:rPr>
          <w:rFonts w:ascii="Arial" w:cs="Arial" w:eastAsia="Arial" w:hAnsi="Arial"/>
          <w:sz w:val="17"/>
          <w:szCs w:val="17"/>
          <w:color w:val="003551"/>
        </w:rPr>
        <w:t>is or becomes disqualified from being a director or from managing a corporation under the Corporations Act;</w:t>
      </w:r>
    </w:p>
    <w:p>
      <w:pPr>
        <w:spacing w:after="0" w:line="36" w:lineRule="exact"/>
        <w:rPr>
          <w:rFonts w:ascii="Arial" w:cs="Arial" w:eastAsia="Arial" w:hAnsi="Arial"/>
          <w:sz w:val="17"/>
          <w:szCs w:val="17"/>
          <w:color w:val="003551"/>
        </w:rPr>
      </w:pPr>
    </w:p>
    <w:p>
      <w:pPr>
        <w:ind w:left="2320" w:right="459" w:hanging="335"/>
        <w:spacing w:after="0" w:line="283" w:lineRule="auto"/>
        <w:tabs>
          <w:tab w:leader="none" w:pos="2320" w:val="left"/>
        </w:tabs>
        <w:numPr>
          <w:ilvl w:val="0"/>
          <w:numId w:val="89"/>
        </w:numPr>
        <w:rPr>
          <w:rFonts w:ascii="Arial" w:cs="Arial" w:eastAsia="Arial" w:hAnsi="Arial"/>
          <w:sz w:val="17"/>
          <w:szCs w:val="17"/>
          <w:color w:val="003551"/>
        </w:rPr>
      </w:pPr>
      <w:r>
        <w:rPr>
          <w:rFonts w:ascii="Arial" w:cs="Arial" w:eastAsia="Arial" w:hAnsi="Arial"/>
          <w:sz w:val="17"/>
          <w:szCs w:val="17"/>
          <w:color w:val="003551"/>
        </w:rPr>
        <w:t>is not present personally or represented by an alternate director at meeting of the board for the longer of:</w:t>
      </w:r>
    </w:p>
    <w:p>
      <w:pPr>
        <w:spacing w:after="0" w:line="36" w:lineRule="exact"/>
        <w:rPr>
          <w:rFonts w:ascii="Arial" w:cs="Arial" w:eastAsia="Arial" w:hAnsi="Arial"/>
          <w:sz w:val="17"/>
          <w:szCs w:val="17"/>
          <w:color w:val="003551"/>
        </w:rPr>
      </w:pPr>
    </w:p>
    <w:p>
      <w:pPr>
        <w:ind w:left="2680" w:hanging="346"/>
        <w:spacing w:after="0"/>
        <w:tabs>
          <w:tab w:leader="none" w:pos="2680" w:val="left"/>
        </w:tabs>
        <w:numPr>
          <w:ilvl w:val="1"/>
          <w:numId w:val="89"/>
        </w:numPr>
        <w:rPr>
          <w:rFonts w:ascii="Arial" w:cs="Arial" w:eastAsia="Arial" w:hAnsi="Arial"/>
          <w:sz w:val="17"/>
          <w:szCs w:val="17"/>
          <w:color w:val="003551"/>
        </w:rPr>
      </w:pPr>
      <w:r>
        <w:rPr>
          <w:rFonts w:ascii="Arial" w:cs="Arial" w:eastAsia="Arial" w:hAnsi="Arial"/>
          <w:sz w:val="17"/>
          <w:szCs w:val="17"/>
          <w:color w:val="003551"/>
        </w:rPr>
        <w:t>3 consecutive meetings of the board; and</w:t>
      </w:r>
    </w:p>
    <w:p>
      <w:pPr>
        <w:spacing w:after="0" w:line="105" w:lineRule="exact"/>
        <w:rPr>
          <w:rFonts w:ascii="Arial" w:cs="Arial" w:eastAsia="Arial" w:hAnsi="Arial"/>
          <w:sz w:val="17"/>
          <w:szCs w:val="17"/>
          <w:color w:val="003551"/>
        </w:rPr>
      </w:pPr>
    </w:p>
    <w:p>
      <w:pPr>
        <w:ind w:left="2680" w:hanging="346"/>
        <w:spacing w:after="0"/>
        <w:tabs>
          <w:tab w:leader="none" w:pos="2680" w:val="left"/>
        </w:tabs>
        <w:numPr>
          <w:ilvl w:val="1"/>
          <w:numId w:val="89"/>
        </w:numPr>
        <w:rPr>
          <w:rFonts w:ascii="Arial" w:cs="Arial" w:eastAsia="Arial" w:hAnsi="Arial"/>
          <w:sz w:val="17"/>
          <w:szCs w:val="17"/>
          <w:color w:val="003551"/>
        </w:rPr>
      </w:pPr>
      <w:r>
        <w:rPr>
          <w:rFonts w:ascii="Arial" w:cs="Arial" w:eastAsia="Arial" w:hAnsi="Arial"/>
          <w:sz w:val="17"/>
          <w:szCs w:val="17"/>
          <w:color w:val="003551"/>
        </w:rPr>
        <w:t>a continuous period of 6 months,</w:t>
      </w:r>
    </w:p>
    <w:p>
      <w:pPr>
        <w:spacing w:after="0" w:line="106" w:lineRule="exact"/>
        <w:rPr>
          <w:sz w:val="20"/>
          <w:szCs w:val="20"/>
          <w:color w:val="auto"/>
        </w:rPr>
      </w:pPr>
    </w:p>
    <w:p>
      <w:pPr>
        <w:jc w:val="both"/>
        <w:ind w:left="2340" w:right="579"/>
        <w:spacing w:after="0" w:line="262" w:lineRule="auto"/>
        <w:rPr>
          <w:sz w:val="20"/>
          <w:szCs w:val="20"/>
          <w:color w:val="auto"/>
        </w:rPr>
      </w:pPr>
      <w:r>
        <w:rPr>
          <w:rFonts w:ascii="Arial" w:cs="Arial" w:eastAsia="Arial" w:hAnsi="Arial"/>
          <w:sz w:val="17"/>
          <w:szCs w:val="17"/>
          <w:color w:val="003551"/>
        </w:rPr>
        <w:t>in each case without leave of absence from the board and a majority of directors have not, within 10 Business Days of having been given notice by the secretary setting out the particulars of the absence, resolved that leave of absence be granted;</w:t>
      </w:r>
    </w:p>
    <w:p>
      <w:pPr>
        <w:spacing w:after="0" w:line="54" w:lineRule="exact"/>
        <w:rPr>
          <w:sz w:val="20"/>
          <w:szCs w:val="20"/>
          <w:color w:val="auto"/>
        </w:rPr>
      </w:pPr>
    </w:p>
    <w:p>
      <w:pPr>
        <w:ind w:left="2320" w:right="659" w:hanging="335"/>
        <w:spacing w:after="0" w:line="262" w:lineRule="auto"/>
        <w:tabs>
          <w:tab w:leader="none" w:pos="2320" w:val="left"/>
        </w:tabs>
        <w:numPr>
          <w:ilvl w:val="0"/>
          <w:numId w:val="90"/>
        </w:numPr>
        <w:rPr>
          <w:rFonts w:ascii="Arial" w:cs="Arial" w:eastAsia="Arial" w:hAnsi="Arial"/>
          <w:sz w:val="17"/>
          <w:szCs w:val="17"/>
          <w:color w:val="003551"/>
        </w:rPr>
      </w:pPr>
      <w:r>
        <w:rPr>
          <w:rFonts w:ascii="Arial" w:cs="Arial" w:eastAsia="Arial" w:hAnsi="Arial"/>
          <w:sz w:val="17"/>
          <w:szCs w:val="17"/>
          <w:color w:val="003551"/>
        </w:rPr>
        <w:t xml:space="preserve">subject to </w:t>
      </w:r>
      <w:r>
        <w:rPr>
          <w:rFonts w:ascii="Arial" w:cs="Arial" w:eastAsia="Arial" w:hAnsi="Arial"/>
          <w:sz w:val="17"/>
          <w:szCs w:val="17"/>
          <w:u w:val="single" w:color="auto"/>
          <w:color w:val="003551"/>
        </w:rPr>
        <w:t>rule</w:t>
      </w:r>
      <w:r>
        <w:rPr>
          <w:rFonts w:ascii="Arial" w:cs="Arial" w:eastAsia="Arial" w:hAnsi="Arial"/>
          <w:sz w:val="17"/>
          <w:szCs w:val="17"/>
          <w:color w:val="003551"/>
        </w:rPr>
        <w:t xml:space="preserve"> </w:t>
      </w:r>
      <w:r>
        <w:rPr>
          <w:rFonts w:ascii="Arial" w:cs="Arial" w:eastAsia="Arial" w:hAnsi="Arial"/>
          <w:sz w:val="17"/>
          <w:szCs w:val="17"/>
          <w:u w:val="single" w:color="auto"/>
          <w:color w:val="FF0000"/>
          <w:strike w:val="1"/>
        </w:rPr>
        <w:t>4.5</w:t>
      </w:r>
      <w:r>
        <w:rPr>
          <w:rFonts w:ascii="Arial" w:cs="Arial" w:eastAsia="Arial" w:hAnsi="Arial"/>
          <w:sz w:val="17"/>
          <w:szCs w:val="17"/>
          <w:u w:val="single" w:color="auto"/>
          <w:color w:val="0000FF"/>
        </w:rPr>
        <w:t>4.6</w:t>
      </w:r>
      <w:r>
        <w:rPr>
          <w:rFonts w:ascii="Arial" w:cs="Arial" w:eastAsia="Arial" w:hAnsi="Arial"/>
          <w:sz w:val="17"/>
          <w:szCs w:val="17"/>
          <w:u w:val="single" w:color="auto"/>
          <w:color w:val="000000"/>
        </w:rPr>
        <w:t>(c)</w:t>
      </w:r>
      <w:r>
        <w:rPr>
          <w:rFonts w:ascii="Arial" w:cs="Arial" w:eastAsia="Arial" w:hAnsi="Arial"/>
          <w:sz w:val="17"/>
          <w:szCs w:val="17"/>
          <w:color w:val="000000"/>
        </w:rPr>
        <w:t>, is convicted on indictment of an offence and the directors,</w:t>
      </w:r>
      <w:r>
        <w:rPr>
          <w:rFonts w:ascii="Arial" w:cs="Arial" w:eastAsia="Arial" w:hAnsi="Arial"/>
          <w:sz w:val="17"/>
          <w:szCs w:val="17"/>
          <w:color w:val="003551"/>
        </w:rPr>
        <w:t xml:space="preserve"> </w:t>
      </w:r>
      <w:r>
        <w:rPr>
          <w:rFonts w:ascii="Arial" w:cs="Arial" w:eastAsia="Arial" w:hAnsi="Arial"/>
          <w:sz w:val="17"/>
          <w:szCs w:val="17"/>
          <w:color w:val="000000"/>
        </w:rPr>
        <w:t>within 1 month after that conviction, resolve to remove the director from his or her the office of director;</w:t>
      </w:r>
    </w:p>
    <w:p>
      <w:pPr>
        <w:spacing w:after="0" w:line="54" w:lineRule="exact"/>
        <w:rPr>
          <w:rFonts w:ascii="Arial" w:cs="Arial" w:eastAsia="Arial" w:hAnsi="Arial"/>
          <w:sz w:val="17"/>
          <w:szCs w:val="17"/>
          <w:color w:val="003551"/>
        </w:rPr>
      </w:pPr>
    </w:p>
    <w:p>
      <w:pPr>
        <w:ind w:left="2320" w:hanging="335"/>
        <w:spacing w:after="0"/>
        <w:tabs>
          <w:tab w:leader="none" w:pos="2320" w:val="left"/>
        </w:tabs>
        <w:numPr>
          <w:ilvl w:val="0"/>
          <w:numId w:val="90"/>
        </w:numPr>
        <w:rPr>
          <w:rFonts w:ascii="Arial" w:cs="Arial" w:eastAsia="Arial" w:hAnsi="Arial"/>
          <w:sz w:val="17"/>
          <w:szCs w:val="17"/>
          <w:color w:val="003551"/>
        </w:rPr>
      </w:pPr>
      <w:r>
        <w:rPr>
          <w:rFonts w:ascii="Arial" w:cs="Arial" w:eastAsia="Arial" w:hAnsi="Arial"/>
          <w:sz w:val="17"/>
          <w:szCs w:val="17"/>
          <w:color w:val="003551"/>
        </w:rPr>
        <w:t>dies;</w:t>
      </w:r>
    </w:p>
    <w:p>
      <w:pPr>
        <w:spacing w:after="0" w:line="105" w:lineRule="exact"/>
        <w:rPr>
          <w:rFonts w:ascii="Arial" w:cs="Arial" w:eastAsia="Arial" w:hAnsi="Arial"/>
          <w:sz w:val="17"/>
          <w:szCs w:val="17"/>
          <w:color w:val="003551"/>
        </w:rPr>
      </w:pPr>
    </w:p>
    <w:p>
      <w:pPr>
        <w:ind w:left="2320" w:right="459" w:hanging="335"/>
        <w:spacing w:after="0" w:line="251" w:lineRule="auto"/>
        <w:tabs>
          <w:tab w:leader="none" w:pos="2320" w:val="left"/>
        </w:tabs>
        <w:numPr>
          <w:ilvl w:val="0"/>
          <w:numId w:val="90"/>
        </w:numPr>
        <w:rPr>
          <w:rFonts w:ascii="Arial" w:cs="Arial" w:eastAsia="Arial" w:hAnsi="Arial"/>
          <w:sz w:val="17"/>
          <w:szCs w:val="17"/>
          <w:color w:val="003551"/>
        </w:rPr>
      </w:pPr>
      <w:r>
        <w:rPr>
          <w:rFonts w:ascii="Arial" w:cs="Arial" w:eastAsia="Arial" w:hAnsi="Arial"/>
          <w:sz w:val="17"/>
          <w:szCs w:val="17"/>
          <w:color w:val="003551"/>
        </w:rPr>
        <w:t xml:space="preserve">is or becomes of unsound mind or a person whose assets are liable to be dealt with in any way under the law relating to mental health (and in each case as evidenced by a certificate from a qualified medical practitioner appointed by the board, with the relevant director assessed pursuant to this </w:t>
      </w:r>
      <w:r>
        <w:rPr>
          <w:rFonts w:ascii="Arial" w:cs="Arial" w:eastAsia="Arial" w:hAnsi="Arial"/>
          <w:sz w:val="17"/>
          <w:szCs w:val="17"/>
          <w:u w:val="single" w:color="auto"/>
          <w:color w:val="003551"/>
        </w:rPr>
        <w:t>rule</w:t>
      </w:r>
      <w:r>
        <w:rPr>
          <w:rFonts w:ascii="Arial" w:cs="Arial" w:eastAsia="Arial" w:hAnsi="Arial"/>
          <w:sz w:val="17"/>
          <w:szCs w:val="17"/>
          <w:color w:val="003551"/>
        </w:rPr>
        <w:t xml:space="preserve"> </w:t>
      </w:r>
      <w:r>
        <w:rPr>
          <w:rFonts w:ascii="Arial" w:cs="Arial" w:eastAsia="Arial" w:hAnsi="Arial"/>
          <w:sz w:val="17"/>
          <w:szCs w:val="17"/>
          <w:u w:val="single" w:color="auto"/>
          <w:color w:val="FF0000"/>
          <w:strike w:val="1"/>
        </w:rPr>
        <w:t>4.5</w:t>
      </w:r>
      <w:r>
        <w:rPr>
          <w:rFonts w:ascii="Arial" w:cs="Arial" w:eastAsia="Arial" w:hAnsi="Arial"/>
          <w:sz w:val="17"/>
          <w:szCs w:val="17"/>
          <w:u w:val="single" w:color="auto"/>
          <w:color w:val="0000FF"/>
        </w:rPr>
        <w:t>4.6</w:t>
      </w:r>
      <w:r>
        <w:rPr>
          <w:rFonts w:ascii="Arial" w:cs="Arial" w:eastAsia="Arial" w:hAnsi="Arial"/>
          <w:sz w:val="17"/>
          <w:szCs w:val="17"/>
          <w:u w:val="single" w:color="auto"/>
          <w:color w:val="000000"/>
        </w:rPr>
        <w:t>(g)</w:t>
      </w:r>
      <w:r>
        <w:rPr>
          <w:rFonts w:ascii="Arial" w:cs="Arial" w:eastAsia="Arial" w:hAnsi="Arial"/>
          <w:sz w:val="17"/>
          <w:szCs w:val="17"/>
          <w:color w:val="003551"/>
        </w:rPr>
        <w:t xml:space="preserve"> </w:t>
      </w:r>
      <w:r>
        <w:rPr>
          <w:rFonts w:ascii="Arial" w:cs="Arial" w:eastAsia="Arial" w:hAnsi="Arial"/>
          <w:sz w:val="17"/>
          <w:szCs w:val="17"/>
          <w:color w:val="000000"/>
        </w:rPr>
        <w:t>being conflicted and excluded from</w:t>
      </w:r>
      <w:r>
        <w:rPr>
          <w:rFonts w:ascii="Arial" w:cs="Arial" w:eastAsia="Arial" w:hAnsi="Arial"/>
          <w:sz w:val="17"/>
          <w:szCs w:val="17"/>
          <w:color w:val="003551"/>
        </w:rPr>
        <w:t xml:space="preserve"> </w:t>
      </w:r>
      <w:r>
        <w:rPr>
          <w:rFonts w:ascii="Arial" w:cs="Arial" w:eastAsia="Arial" w:hAnsi="Arial"/>
          <w:sz w:val="17"/>
          <w:szCs w:val="17"/>
          <w:color w:val="000000"/>
        </w:rPr>
        <w:t>voting); or</w:t>
      </w:r>
    </w:p>
    <w:p>
      <w:pPr>
        <w:spacing w:after="0" w:line="65" w:lineRule="exact"/>
        <w:rPr>
          <w:rFonts w:ascii="Arial" w:cs="Arial" w:eastAsia="Arial" w:hAnsi="Arial"/>
          <w:sz w:val="17"/>
          <w:szCs w:val="17"/>
          <w:color w:val="003551"/>
        </w:rPr>
      </w:pPr>
    </w:p>
    <w:p>
      <w:pPr>
        <w:ind w:left="2320" w:hanging="335"/>
        <w:spacing w:after="0"/>
        <w:tabs>
          <w:tab w:leader="none" w:pos="2320" w:val="left"/>
        </w:tabs>
        <w:numPr>
          <w:ilvl w:val="0"/>
          <w:numId w:val="90"/>
        </w:numPr>
        <w:rPr>
          <w:rFonts w:ascii="Arial" w:cs="Arial" w:eastAsia="Arial" w:hAnsi="Arial"/>
          <w:sz w:val="17"/>
          <w:szCs w:val="17"/>
          <w:color w:val="003551"/>
        </w:rPr>
      </w:pPr>
      <w:r>
        <w:rPr>
          <w:rFonts w:ascii="Arial" w:cs="Arial" w:eastAsia="Arial" w:hAnsi="Arial"/>
          <w:sz w:val="17"/>
          <w:szCs w:val="17"/>
          <w:color w:val="003551"/>
        </w:rPr>
        <w:t>is or becomes bankrupt or insolvent.</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127635</wp:posOffset>
            </wp:positionV>
            <wp:extent cx="6786880" cy="1651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u w:val="single" w:color="auto"/>
          <w:color w:val="0000FF"/>
        </w:rPr>
        <w:t>4.7</w:t>
      </w:r>
      <w:r>
        <w:rPr>
          <w:sz w:val="20"/>
          <w:szCs w:val="20"/>
          <w:color w:val="auto"/>
        </w:rPr>
        <w:tab/>
      </w:r>
      <w:r>
        <w:rPr>
          <w:rFonts w:ascii="Arial" w:cs="Arial" w:eastAsia="Arial" w:hAnsi="Arial"/>
          <w:sz w:val="17"/>
          <w:szCs w:val="17"/>
          <w:b w:val="1"/>
          <w:bCs w:val="1"/>
          <w:color w:val="FF0000"/>
          <w:strike w:val="1"/>
        </w:rPr>
        <w:t xml:space="preserve">4.6 </w:t>
      </w:r>
      <w:r>
        <w:rPr>
          <w:rFonts w:ascii="Arial" w:cs="Arial" w:eastAsia="Arial" w:hAnsi="Arial"/>
          <w:sz w:val="17"/>
          <w:szCs w:val="17"/>
          <w:b w:val="1"/>
          <w:bCs w:val="1"/>
          <w:color w:val="000000"/>
          <w:strike w:val="1"/>
        </w:rPr>
        <w:t>Alternate directors</w:t>
      </w:r>
    </w:p>
    <w:p>
      <w:pPr>
        <w:spacing w:after="0" w:line="108" w:lineRule="exact"/>
        <w:rPr>
          <w:sz w:val="20"/>
          <w:szCs w:val="20"/>
          <w:color w:val="auto"/>
        </w:rPr>
      </w:pPr>
    </w:p>
    <w:p>
      <w:pPr>
        <w:ind w:left="1980" w:right="459" w:hanging="344"/>
        <w:spacing w:after="0" w:line="247" w:lineRule="auto"/>
        <w:tabs>
          <w:tab w:leader="none" w:pos="1980" w:val="left"/>
        </w:tabs>
        <w:numPr>
          <w:ilvl w:val="0"/>
          <w:numId w:val="91"/>
        </w:numPr>
        <w:rPr>
          <w:rFonts w:ascii="Arial" w:cs="Arial" w:eastAsia="Arial" w:hAnsi="Arial"/>
          <w:sz w:val="17"/>
          <w:szCs w:val="17"/>
          <w:color w:val="003551"/>
        </w:rPr>
      </w:pPr>
      <w:r>
        <w:rPr>
          <w:rFonts w:ascii="Arial" w:cs="Arial" w:eastAsia="Arial" w:hAnsi="Arial"/>
          <w:sz w:val="17"/>
          <w:szCs w:val="17"/>
          <w:color w:val="003551"/>
        </w:rPr>
        <w:t>Subject to the Corporations Act, a director may by notice in writing to the company appoint a person approved by a majority of the other directors to be an alternate director for such period as the director thinks fit and may by notice in writing to the company terminate such appointment at any time even if the period of appointment of the alternate director has not expired. An appointment, or the termination or suspension of an appointment of an alternate director takes effect only when the company has received notice in writing of the appointment, termination or suspension, except the appointment of an alternate director terminates automatically if the appointor ceases to be a director.</w:t>
      </w:r>
    </w:p>
    <w:p>
      <w:pPr>
        <w:spacing w:after="0" w:line="67" w:lineRule="exact"/>
        <w:rPr>
          <w:rFonts w:ascii="Arial" w:cs="Arial" w:eastAsia="Arial" w:hAnsi="Arial"/>
          <w:sz w:val="17"/>
          <w:szCs w:val="17"/>
          <w:color w:val="003551"/>
        </w:rPr>
      </w:pPr>
    </w:p>
    <w:p>
      <w:pPr>
        <w:ind w:left="1980" w:hanging="344"/>
        <w:spacing w:after="0"/>
        <w:tabs>
          <w:tab w:leader="none" w:pos="1980" w:val="left"/>
        </w:tabs>
        <w:numPr>
          <w:ilvl w:val="0"/>
          <w:numId w:val="91"/>
        </w:numPr>
        <w:rPr>
          <w:rFonts w:ascii="Arial" w:cs="Arial" w:eastAsia="Arial" w:hAnsi="Arial"/>
          <w:sz w:val="17"/>
          <w:szCs w:val="17"/>
          <w:color w:val="003551"/>
        </w:rPr>
      </w:pPr>
      <w:r>
        <w:rPr>
          <w:rFonts w:ascii="Arial" w:cs="Arial" w:eastAsia="Arial" w:hAnsi="Arial"/>
          <w:sz w:val="17"/>
          <w:szCs w:val="17"/>
          <w:color w:val="003551"/>
        </w:rPr>
        <w:t>An alternate director:</w:t>
      </w:r>
    </w:p>
    <w:p>
      <w:pPr>
        <w:spacing w:after="0" w:line="105" w:lineRule="exact"/>
        <w:rPr>
          <w:rFonts w:ascii="Arial" w:cs="Arial" w:eastAsia="Arial" w:hAnsi="Arial"/>
          <w:sz w:val="17"/>
          <w:szCs w:val="17"/>
          <w:color w:val="003551"/>
        </w:rPr>
      </w:pPr>
    </w:p>
    <w:p>
      <w:pPr>
        <w:ind w:left="2320" w:hanging="335"/>
        <w:spacing w:after="0"/>
        <w:tabs>
          <w:tab w:leader="none" w:pos="2320" w:val="left"/>
        </w:tabs>
        <w:numPr>
          <w:ilvl w:val="1"/>
          <w:numId w:val="91"/>
        </w:numPr>
        <w:rPr>
          <w:rFonts w:ascii="Arial" w:cs="Arial" w:eastAsia="Arial" w:hAnsi="Arial"/>
          <w:sz w:val="17"/>
          <w:szCs w:val="17"/>
          <w:color w:val="003551"/>
        </w:rPr>
      </w:pPr>
      <w:r>
        <w:rPr>
          <w:rFonts w:ascii="Arial" w:cs="Arial" w:eastAsia="Arial" w:hAnsi="Arial"/>
          <w:sz w:val="17"/>
          <w:szCs w:val="17"/>
          <w:color w:val="003551"/>
        </w:rPr>
        <w:t>may, but need not, be a member or a director of the company;</w:t>
      </w:r>
    </w:p>
    <w:p>
      <w:pPr>
        <w:spacing w:after="0" w:line="105" w:lineRule="exact"/>
        <w:rPr>
          <w:rFonts w:ascii="Arial" w:cs="Arial" w:eastAsia="Arial" w:hAnsi="Arial"/>
          <w:sz w:val="17"/>
          <w:szCs w:val="17"/>
          <w:color w:val="003551"/>
        </w:rPr>
      </w:pPr>
    </w:p>
    <w:p>
      <w:pPr>
        <w:ind w:left="2320" w:hanging="335"/>
        <w:spacing w:after="0"/>
        <w:tabs>
          <w:tab w:leader="none" w:pos="2320" w:val="left"/>
        </w:tabs>
        <w:numPr>
          <w:ilvl w:val="1"/>
          <w:numId w:val="91"/>
        </w:numPr>
        <w:rPr>
          <w:rFonts w:ascii="Arial" w:cs="Arial" w:eastAsia="Arial" w:hAnsi="Arial"/>
          <w:sz w:val="17"/>
          <w:szCs w:val="17"/>
          <w:color w:val="003551"/>
        </w:rPr>
      </w:pPr>
      <w:r>
        <w:rPr>
          <w:rFonts w:ascii="Arial" w:cs="Arial" w:eastAsia="Arial" w:hAnsi="Arial"/>
          <w:sz w:val="17"/>
          <w:szCs w:val="17"/>
          <w:color w:val="003551"/>
        </w:rPr>
        <w:t>may act as alternate director to more than one director;</w:t>
      </w:r>
    </w:p>
    <w:p>
      <w:pPr>
        <w:spacing w:after="0" w:line="105" w:lineRule="exact"/>
        <w:rPr>
          <w:rFonts w:ascii="Arial" w:cs="Arial" w:eastAsia="Arial" w:hAnsi="Arial"/>
          <w:sz w:val="17"/>
          <w:szCs w:val="17"/>
          <w:color w:val="003551"/>
        </w:rPr>
      </w:pPr>
    </w:p>
    <w:p>
      <w:pPr>
        <w:ind w:left="2320" w:right="859" w:hanging="335"/>
        <w:spacing w:after="0" w:line="283" w:lineRule="auto"/>
        <w:tabs>
          <w:tab w:leader="none" w:pos="2320" w:val="left"/>
        </w:tabs>
        <w:numPr>
          <w:ilvl w:val="1"/>
          <w:numId w:val="91"/>
        </w:numPr>
        <w:rPr>
          <w:rFonts w:ascii="Arial" w:cs="Arial" w:eastAsia="Arial" w:hAnsi="Arial"/>
          <w:sz w:val="17"/>
          <w:szCs w:val="17"/>
          <w:color w:val="003551"/>
        </w:rPr>
      </w:pPr>
      <w:r>
        <w:rPr>
          <w:rFonts w:ascii="Arial" w:cs="Arial" w:eastAsia="Arial" w:hAnsi="Arial"/>
          <w:sz w:val="17"/>
          <w:szCs w:val="17"/>
          <w:color w:val="003551"/>
        </w:rPr>
        <w:t>is not to be taken into account in determining the minimum or maximum number of directors allowed;</w:t>
      </w:r>
    </w:p>
    <w:p>
      <w:pPr>
        <w:spacing w:after="0" w:line="36" w:lineRule="exact"/>
        <w:rPr>
          <w:rFonts w:ascii="Arial" w:cs="Arial" w:eastAsia="Arial" w:hAnsi="Arial"/>
          <w:sz w:val="17"/>
          <w:szCs w:val="17"/>
          <w:color w:val="003551"/>
        </w:rPr>
      </w:pPr>
    </w:p>
    <w:p>
      <w:pPr>
        <w:ind w:left="2320" w:right="619" w:hanging="335"/>
        <w:spacing w:after="0" w:line="283" w:lineRule="auto"/>
        <w:tabs>
          <w:tab w:leader="none" w:pos="2320" w:val="left"/>
        </w:tabs>
        <w:numPr>
          <w:ilvl w:val="1"/>
          <w:numId w:val="91"/>
        </w:numPr>
        <w:rPr>
          <w:rFonts w:ascii="Arial" w:cs="Arial" w:eastAsia="Arial" w:hAnsi="Arial"/>
          <w:sz w:val="17"/>
          <w:szCs w:val="17"/>
          <w:color w:val="003551"/>
        </w:rPr>
      </w:pPr>
      <w:r>
        <w:rPr>
          <w:rFonts w:ascii="Arial" w:cs="Arial" w:eastAsia="Arial" w:hAnsi="Arial"/>
          <w:sz w:val="17"/>
          <w:szCs w:val="17"/>
          <w:color w:val="003551"/>
        </w:rPr>
        <w:t>is entitled to notice of all board meetings and, if the appointor does not attend a board meeting, is entitled to participate and vote in the appointor’s place;</w:t>
      </w:r>
    </w:p>
    <w:p>
      <w:pPr>
        <w:spacing w:after="0" w:line="36" w:lineRule="exact"/>
        <w:rPr>
          <w:rFonts w:ascii="Arial" w:cs="Arial" w:eastAsia="Arial" w:hAnsi="Arial"/>
          <w:sz w:val="17"/>
          <w:szCs w:val="17"/>
          <w:color w:val="003551"/>
        </w:rPr>
      </w:pPr>
    </w:p>
    <w:p>
      <w:pPr>
        <w:ind w:left="2320" w:right="439" w:hanging="335"/>
        <w:spacing w:after="0" w:line="262" w:lineRule="auto"/>
        <w:tabs>
          <w:tab w:leader="none" w:pos="2320" w:val="left"/>
        </w:tabs>
        <w:numPr>
          <w:ilvl w:val="1"/>
          <w:numId w:val="91"/>
        </w:numPr>
        <w:rPr>
          <w:rFonts w:ascii="Arial" w:cs="Arial" w:eastAsia="Arial" w:hAnsi="Arial"/>
          <w:sz w:val="17"/>
          <w:szCs w:val="17"/>
          <w:color w:val="003551"/>
        </w:rPr>
      </w:pPr>
      <w:r>
        <w:rPr>
          <w:rFonts w:ascii="Arial" w:cs="Arial" w:eastAsia="Arial" w:hAnsi="Arial"/>
          <w:sz w:val="17"/>
          <w:szCs w:val="17"/>
          <w:color w:val="003551"/>
        </w:rPr>
        <w:t>may exercise all the powers of the appointor except the power to appoint an alternate director and, subject to the Corporations Act, may perform all the duties of the appointor except to the extent that the appointor has exercised or performed them; and</w:t>
      </w:r>
    </w:p>
    <w:p>
      <w:pPr>
        <w:spacing w:after="0" w:line="54" w:lineRule="exact"/>
        <w:rPr>
          <w:rFonts w:ascii="Arial" w:cs="Arial" w:eastAsia="Arial" w:hAnsi="Arial"/>
          <w:sz w:val="17"/>
          <w:szCs w:val="17"/>
          <w:color w:val="003551"/>
        </w:rPr>
      </w:pPr>
    </w:p>
    <w:p>
      <w:pPr>
        <w:ind w:left="2320" w:right="559" w:hanging="335"/>
        <w:spacing w:after="0" w:line="262" w:lineRule="auto"/>
        <w:tabs>
          <w:tab w:leader="none" w:pos="2320" w:val="left"/>
        </w:tabs>
        <w:numPr>
          <w:ilvl w:val="1"/>
          <w:numId w:val="91"/>
        </w:numPr>
        <w:rPr>
          <w:rFonts w:ascii="Arial" w:cs="Arial" w:eastAsia="Arial" w:hAnsi="Arial"/>
          <w:sz w:val="17"/>
          <w:szCs w:val="17"/>
          <w:color w:val="003551"/>
        </w:rPr>
      </w:pPr>
      <w:r>
        <w:rPr>
          <w:rFonts w:ascii="Arial" w:cs="Arial" w:eastAsia="Arial" w:hAnsi="Arial"/>
          <w:sz w:val="17"/>
          <w:szCs w:val="17"/>
          <w:color w:val="003551"/>
        </w:rPr>
        <w:t>is, whilst acting as an alternate director, an officer of the company and not the agent of the appointor and is responsible to the exclusion of the appointor for the alternate director’s own acts and defaults.</w:t>
      </w:r>
    </w:p>
    <w:p>
      <w:pPr>
        <w:spacing w:after="0" w:line="52"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u w:val="single" w:color="auto"/>
          <w:color w:val="0000FF"/>
        </w:rPr>
        <w:t>4.8</w:t>
      </w:r>
      <w:r>
        <w:rPr>
          <w:sz w:val="20"/>
          <w:szCs w:val="20"/>
          <w:color w:val="auto"/>
        </w:rPr>
        <w:tab/>
      </w:r>
      <w:r>
        <w:rPr>
          <w:rFonts w:ascii="Arial" w:cs="Arial" w:eastAsia="Arial" w:hAnsi="Arial"/>
          <w:sz w:val="17"/>
          <w:szCs w:val="17"/>
          <w:b w:val="1"/>
          <w:bCs w:val="1"/>
          <w:color w:val="FF0000"/>
          <w:strike w:val="1"/>
        </w:rPr>
        <w:t xml:space="preserve">4.7 </w:t>
      </w:r>
      <w:r>
        <w:rPr>
          <w:rFonts w:ascii="Arial" w:cs="Arial" w:eastAsia="Arial" w:hAnsi="Arial"/>
          <w:sz w:val="17"/>
          <w:szCs w:val="17"/>
          <w:b w:val="1"/>
          <w:bCs w:val="1"/>
          <w:color w:val="000000"/>
          <w:strike w:val="1"/>
        </w:rPr>
        <w:t>No share qualification</w:t>
      </w:r>
    </w:p>
    <w:p>
      <w:pPr>
        <w:spacing w:after="0" w:line="134"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A director is not required to hold any shares in the company.</w:t>
      </w:r>
    </w:p>
    <w:p>
      <w:pPr>
        <w:spacing w:after="0" w:line="104" w:lineRule="exact"/>
        <w:rPr>
          <w:sz w:val="20"/>
          <w:szCs w:val="20"/>
          <w:color w:val="auto"/>
        </w:rPr>
      </w:pPr>
    </w:p>
    <w:p>
      <w:pPr>
        <w:ind w:left="1640" w:hanging="703"/>
        <w:spacing w:after="0"/>
        <w:tabs>
          <w:tab w:leader="none" w:pos="1640" w:val="left"/>
        </w:tabs>
        <w:numPr>
          <w:ilvl w:val="0"/>
          <w:numId w:val="92"/>
        </w:numPr>
        <w:rPr>
          <w:rFonts w:ascii="Arial" w:cs="Arial" w:eastAsia="Arial" w:hAnsi="Arial"/>
          <w:sz w:val="17"/>
          <w:szCs w:val="17"/>
          <w:b w:val="1"/>
          <w:bCs w:val="1"/>
          <w:color w:val="003551"/>
        </w:rPr>
      </w:pPr>
      <w:r>
        <w:rPr>
          <w:rFonts w:ascii="Arial" w:cs="Arial" w:eastAsia="Arial" w:hAnsi="Arial"/>
          <w:sz w:val="17"/>
          <w:szCs w:val="17"/>
          <w:b w:val="1"/>
          <w:bCs w:val="1"/>
          <w:color w:val="003551"/>
        </w:rPr>
        <w:t>PAYMENTS TO DIRECTORS</w:t>
      </w:r>
    </w:p>
    <w:p>
      <w:pPr>
        <w:spacing w:after="0" w:line="105" w:lineRule="exact"/>
        <w:rPr>
          <w:rFonts w:ascii="Arial" w:cs="Arial" w:eastAsia="Arial" w:hAnsi="Arial"/>
          <w:sz w:val="17"/>
          <w:szCs w:val="17"/>
          <w:b w:val="1"/>
          <w:bCs w:val="1"/>
          <w:color w:val="003551"/>
        </w:rPr>
      </w:pPr>
    </w:p>
    <w:p>
      <w:pPr>
        <w:ind w:left="940"/>
        <w:spacing w:after="0"/>
        <w:rPr>
          <w:rFonts w:ascii="Arial" w:cs="Arial" w:eastAsia="Arial" w:hAnsi="Arial"/>
          <w:sz w:val="17"/>
          <w:szCs w:val="17"/>
          <w:b w:val="1"/>
          <w:bCs w:val="1"/>
          <w:color w:val="003551"/>
        </w:rPr>
      </w:pPr>
      <w:r>
        <w:rPr>
          <w:rFonts w:ascii="Arial" w:cs="Arial" w:eastAsia="Arial" w:hAnsi="Arial"/>
          <w:sz w:val="17"/>
          <w:szCs w:val="17"/>
          <w:b w:val="1"/>
          <w:bCs w:val="1"/>
          <w:color w:val="003551"/>
        </w:rPr>
        <w:t>5.1Directors’ fees</w:t>
      </w:r>
    </w:p>
    <w:p>
      <w:pPr>
        <w:spacing w:after="0" w:line="108" w:lineRule="exact"/>
        <w:rPr>
          <w:sz w:val="20"/>
          <w:szCs w:val="20"/>
          <w:color w:val="auto"/>
        </w:rPr>
      </w:pPr>
    </w:p>
    <w:p>
      <w:pPr>
        <w:ind w:left="1640" w:right="399"/>
        <w:spacing w:after="0" w:line="246" w:lineRule="auto"/>
        <w:rPr>
          <w:sz w:val="20"/>
          <w:szCs w:val="20"/>
          <w:color w:val="auto"/>
        </w:rPr>
      </w:pPr>
      <w:r>
        <w:rPr>
          <w:rFonts w:ascii="Arial" w:cs="Arial" w:eastAsia="Arial" w:hAnsi="Arial"/>
          <w:sz w:val="17"/>
          <w:szCs w:val="17"/>
          <w:color w:val="003551"/>
        </w:rPr>
        <w:t xml:space="preserve">The board may decide the remuneration from the company to which each director is entitled for his or her services as a director provided that the aggregate of such fees and benefits payable under this rule 5‎.1 and </w:t>
      </w:r>
      <w:r>
        <w:rPr>
          <w:rFonts w:ascii="Arial" w:cs="Arial" w:eastAsia="Arial" w:hAnsi="Arial"/>
          <w:sz w:val="17"/>
          <w:szCs w:val="17"/>
          <w:u w:val="single" w:color="auto"/>
          <w:color w:val="003551"/>
        </w:rPr>
        <w:t>rule 5.6</w:t>
      </w:r>
      <w:r>
        <w:rPr>
          <w:rFonts w:ascii="Arial" w:cs="Arial" w:eastAsia="Arial" w:hAnsi="Arial"/>
          <w:sz w:val="17"/>
          <w:szCs w:val="17"/>
          <w:color w:val="003551"/>
        </w:rPr>
        <w:t xml:space="preserve"> to all non-executive directors of the company for their services as directors do not in any financial year exceed the greater of $1,000,000 and the amount last determined by the company in general meeting for the purposes of this rule 5‎.1. Any fees and benefits payable under this rule 5‎.1 and </w:t>
      </w:r>
      <w:r>
        <w:rPr>
          <w:rFonts w:ascii="Arial" w:cs="Arial" w:eastAsia="Arial" w:hAnsi="Arial"/>
          <w:sz w:val="17"/>
          <w:szCs w:val="17"/>
          <w:u w:val="single" w:color="auto"/>
          <w:color w:val="003551"/>
        </w:rPr>
        <w:t>rule 5.6</w:t>
      </w:r>
      <w:r>
        <w:rPr>
          <w:rFonts w:ascii="Arial" w:cs="Arial" w:eastAsia="Arial" w:hAnsi="Arial"/>
          <w:sz w:val="17"/>
          <w:szCs w:val="17"/>
          <w:color w:val="003551"/>
        </w:rPr>
        <w:t xml:space="preserve"> are in addition to any remuneration or other benefit payable or provided to a director under any other rule of this constitution and any such remuneration or other benefit does not form part of the director’s fees for the purposes of this </w:t>
      </w:r>
      <w:r>
        <w:rPr>
          <w:rFonts w:ascii="Arial" w:cs="Arial" w:eastAsia="Arial" w:hAnsi="Arial"/>
          <w:sz w:val="17"/>
          <w:szCs w:val="17"/>
          <w:u w:val="single" w:color="auto"/>
          <w:color w:val="003551"/>
        </w:rPr>
        <w:t>rule</w:t>
      </w:r>
      <w:r>
        <w:rPr>
          <w:rFonts w:ascii="Arial" w:cs="Arial" w:eastAsia="Arial" w:hAnsi="Arial"/>
          <w:sz w:val="17"/>
          <w:szCs w:val="17"/>
          <w:color w:val="003551"/>
        </w:rPr>
        <w:t xml:space="preserve"> </w:t>
      </w:r>
      <w:r>
        <w:rPr>
          <w:rFonts w:ascii="Arial" w:cs="Arial" w:eastAsia="Arial" w:hAnsi="Arial"/>
          <w:sz w:val="17"/>
          <w:szCs w:val="17"/>
          <w:u w:val="single" w:color="auto"/>
          <w:color w:val="003551"/>
        </w:rPr>
        <w:t>5.1</w:t>
      </w:r>
      <w:r>
        <w:rPr>
          <w:rFonts w:ascii="Arial" w:cs="Arial" w:eastAsia="Arial" w:hAnsi="Arial"/>
          <w:sz w:val="17"/>
          <w:szCs w:val="17"/>
          <w:color w:val="00355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-648970</wp:posOffset>
            </wp:positionV>
            <wp:extent cx="36957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69570" cy="8255"/>
                    </a:xfrm>
                    <a:prstGeom prst="rect">
                      <a:avLst/>
                    </a:prstGeom>
                    <a:noFill/>
                  </pic:spPr>
                </pic:pic>
              </a:graphicData>
            </a:graphic>
          </wp:anchor>
        </w:drawing>
        <w:drawing>
          <wp:anchor simplePos="0" relativeHeight="251657728" behindDoc="1" locked="0" layoutInCell="0" allowOverlap="1">
            <wp:simplePos x="0" y="0"/>
            <wp:positionH relativeFrom="column">
              <wp:posOffset>4538980</wp:posOffset>
            </wp:positionH>
            <wp:positionV relativeFrom="paragraph">
              <wp:posOffset>-399415</wp:posOffset>
            </wp:positionV>
            <wp:extent cx="36957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69570" cy="82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-274320</wp:posOffset>
            </wp:positionV>
            <wp:extent cx="36957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69570" cy="8255"/>
                    </a:xfrm>
                    <a:prstGeom prst="rect">
                      <a:avLst/>
                    </a:prstGeom>
                    <a:noFill/>
                  </pic:spPr>
                </pic:pic>
              </a:graphicData>
            </a:graphic>
          </wp:anchor>
        </w:drawing>
      </w:r>
    </w:p>
    <w:p>
      <w:pPr>
        <w:spacing w:after="0" w:line="355"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127635</wp:posOffset>
            </wp:positionV>
            <wp:extent cx="6786880" cy="1651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5.2</w:t>
      </w:r>
      <w:r>
        <w:rPr>
          <w:sz w:val="20"/>
          <w:szCs w:val="20"/>
          <w:color w:val="auto"/>
        </w:rPr>
        <w:tab/>
      </w:r>
      <w:r>
        <w:rPr>
          <w:rFonts w:ascii="Arial" w:cs="Arial" w:eastAsia="Arial" w:hAnsi="Arial"/>
          <w:sz w:val="17"/>
          <w:szCs w:val="17"/>
          <w:b w:val="1"/>
          <w:bCs w:val="1"/>
          <w:color w:val="003551"/>
        </w:rPr>
        <w:t>Manner of payment of fees</w:t>
      </w:r>
    </w:p>
    <w:p>
      <w:pPr>
        <w:spacing w:after="0" w:line="108" w:lineRule="exact"/>
        <w:rPr>
          <w:sz w:val="20"/>
          <w:szCs w:val="20"/>
          <w:color w:val="auto"/>
        </w:rPr>
      </w:pPr>
    </w:p>
    <w:p>
      <w:pPr>
        <w:ind w:left="1640" w:right="539"/>
        <w:spacing w:after="0" w:line="251" w:lineRule="auto"/>
        <w:rPr>
          <w:sz w:val="20"/>
          <w:szCs w:val="20"/>
          <w:color w:val="auto"/>
        </w:rPr>
      </w:pPr>
      <w:r>
        <w:rPr>
          <w:rFonts w:ascii="Arial" w:cs="Arial" w:eastAsia="Arial" w:hAnsi="Arial"/>
          <w:sz w:val="17"/>
          <w:szCs w:val="17"/>
          <w:color w:val="003551"/>
        </w:rPr>
        <w:t xml:space="preserve">Any fees paid to a director under </w:t>
      </w:r>
      <w:r>
        <w:rPr>
          <w:rFonts w:ascii="Arial" w:cs="Arial" w:eastAsia="Arial" w:hAnsi="Arial"/>
          <w:sz w:val="17"/>
          <w:szCs w:val="17"/>
          <w:u w:val="single" w:color="auto"/>
          <w:color w:val="003551"/>
        </w:rPr>
        <w:t>rule 5.1</w:t>
      </w:r>
      <w:r>
        <w:rPr>
          <w:rFonts w:ascii="Arial" w:cs="Arial" w:eastAsia="Arial" w:hAnsi="Arial"/>
          <w:sz w:val="17"/>
          <w:szCs w:val="17"/>
          <w:color w:val="003551"/>
        </w:rPr>
        <w:t xml:space="preserve"> may be paid in cash or provided in any other manner agreed between the company and the relevant director (including by way of contribution to a superannuation fund on behalf of the director) and, if any part of the fees of any director is to be provided other than in cash, the board may determine the manner in which the non-cash component of the fees is to be valued.</w:t>
      </w:r>
    </w:p>
    <w:p>
      <w:pPr>
        <w:spacing w:after="0" w:line="63"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5.3</w:t>
      </w:r>
      <w:r>
        <w:rPr>
          <w:sz w:val="20"/>
          <w:szCs w:val="20"/>
          <w:color w:val="auto"/>
        </w:rPr>
        <w:tab/>
      </w:r>
      <w:r>
        <w:rPr>
          <w:rFonts w:ascii="Arial" w:cs="Arial" w:eastAsia="Arial" w:hAnsi="Arial"/>
          <w:sz w:val="17"/>
          <w:szCs w:val="17"/>
          <w:b w:val="1"/>
          <w:bCs w:val="1"/>
          <w:color w:val="003551"/>
        </w:rPr>
        <w:t>Additional or special services</w:t>
      </w:r>
    </w:p>
    <w:p>
      <w:pPr>
        <w:spacing w:after="0" w:line="108" w:lineRule="exact"/>
        <w:rPr>
          <w:sz w:val="20"/>
          <w:szCs w:val="20"/>
          <w:color w:val="auto"/>
        </w:rPr>
      </w:pPr>
    </w:p>
    <w:p>
      <w:pPr>
        <w:jc w:val="both"/>
        <w:ind w:left="1640" w:right="579"/>
        <w:spacing w:after="0" w:line="255" w:lineRule="auto"/>
        <w:rPr>
          <w:sz w:val="20"/>
          <w:szCs w:val="20"/>
          <w:color w:val="auto"/>
        </w:rPr>
      </w:pPr>
      <w:r>
        <w:rPr>
          <w:rFonts w:ascii="Arial" w:cs="Arial" w:eastAsia="Arial" w:hAnsi="Arial"/>
          <w:sz w:val="17"/>
          <w:szCs w:val="17"/>
          <w:color w:val="003551"/>
        </w:rPr>
        <w:t>If a director at the request of the board performs additional or special services for the company, the company may pay or provide to that director such additional remuneration or other benefits as the board determines having regard to the value to the company of the additional or special services provided.</w:t>
      </w:r>
    </w:p>
    <w:p>
      <w:pPr>
        <w:spacing w:after="0" w:line="58"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5.4</w:t>
      </w:r>
      <w:r>
        <w:rPr>
          <w:sz w:val="20"/>
          <w:szCs w:val="20"/>
          <w:color w:val="auto"/>
        </w:rPr>
        <w:tab/>
      </w:r>
      <w:r>
        <w:rPr>
          <w:rFonts w:ascii="Arial" w:cs="Arial" w:eastAsia="Arial" w:hAnsi="Arial"/>
          <w:sz w:val="17"/>
          <w:szCs w:val="17"/>
          <w:b w:val="1"/>
          <w:bCs w:val="1"/>
          <w:color w:val="003551"/>
        </w:rPr>
        <w:t>Expenses</w:t>
      </w:r>
    </w:p>
    <w:p>
      <w:pPr>
        <w:spacing w:after="0" w:line="108" w:lineRule="exact"/>
        <w:rPr>
          <w:sz w:val="20"/>
          <w:szCs w:val="20"/>
          <w:color w:val="auto"/>
        </w:rPr>
      </w:pPr>
    </w:p>
    <w:p>
      <w:pPr>
        <w:ind w:left="1640" w:right="419"/>
        <w:spacing w:after="0" w:line="251" w:lineRule="auto"/>
        <w:rPr>
          <w:sz w:val="20"/>
          <w:szCs w:val="20"/>
          <w:color w:val="auto"/>
        </w:rPr>
      </w:pPr>
      <w:r>
        <w:rPr>
          <w:rFonts w:ascii="Arial" w:cs="Arial" w:eastAsia="Arial" w:hAnsi="Arial"/>
          <w:sz w:val="17"/>
          <w:szCs w:val="17"/>
          <w:color w:val="003551"/>
        </w:rPr>
        <w:t>A director (including an alternate director) is entitled to be reimbursed out of the funds of the company for such reasonable travelling, accommodation and other expenses as the director may properly incur in travelling to, attending and returning from board meetings, meetings of a committee of the board and general meetings of the company or otherwise in attending to the business of the company.</w:t>
      </w:r>
    </w:p>
    <w:p>
      <w:pPr>
        <w:spacing w:after="0" w:line="63"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5.5</w:t>
      </w:r>
      <w:r>
        <w:rPr>
          <w:sz w:val="20"/>
          <w:szCs w:val="20"/>
          <w:color w:val="auto"/>
        </w:rPr>
        <w:tab/>
      </w:r>
      <w:r>
        <w:rPr>
          <w:rFonts w:ascii="Arial" w:cs="Arial" w:eastAsia="Arial" w:hAnsi="Arial"/>
          <w:sz w:val="17"/>
          <w:szCs w:val="17"/>
          <w:b w:val="1"/>
          <w:bCs w:val="1"/>
          <w:color w:val="003551"/>
        </w:rPr>
        <w:t>Retirement benefits</w:t>
      </w:r>
    </w:p>
    <w:p>
      <w:pPr>
        <w:spacing w:after="0" w:line="108" w:lineRule="exact"/>
        <w:rPr>
          <w:sz w:val="20"/>
          <w:szCs w:val="20"/>
          <w:color w:val="auto"/>
        </w:rPr>
      </w:pPr>
    </w:p>
    <w:p>
      <w:pPr>
        <w:ind w:left="1640" w:right="379"/>
        <w:spacing w:after="0" w:line="255" w:lineRule="auto"/>
        <w:rPr>
          <w:sz w:val="20"/>
          <w:szCs w:val="20"/>
          <w:color w:val="auto"/>
        </w:rPr>
      </w:pPr>
      <w:r>
        <w:rPr>
          <w:rFonts w:ascii="Arial" w:cs="Arial" w:eastAsia="Arial" w:hAnsi="Arial"/>
          <w:sz w:val="17"/>
          <w:szCs w:val="17"/>
          <w:color w:val="003551"/>
        </w:rPr>
        <w:t xml:space="preserve">Subject to the Corporations Act </w:t>
      </w:r>
      <w:r>
        <w:rPr>
          <w:rFonts w:ascii="Arial" w:cs="Arial" w:eastAsia="Arial" w:hAnsi="Arial"/>
          <w:sz w:val="17"/>
          <w:szCs w:val="17"/>
          <w:color w:val="FF0000"/>
        </w:rPr>
        <w:t>and</w:t>
      </w:r>
      <w:r>
        <w:rPr>
          <w:rFonts w:ascii="Arial" w:cs="Arial" w:eastAsia="Arial" w:hAnsi="Arial"/>
          <w:sz w:val="17"/>
          <w:szCs w:val="17"/>
          <w:u w:val="single" w:color="auto"/>
          <w:color w:val="0000FF"/>
        </w:rPr>
        <w:t>,</w:t>
      </w:r>
      <w:r>
        <w:rPr>
          <w:rFonts w:ascii="Arial" w:cs="Arial" w:eastAsia="Arial" w:hAnsi="Arial"/>
          <w:sz w:val="17"/>
          <w:szCs w:val="17"/>
          <w:color w:val="003551"/>
        </w:rPr>
        <w:t xml:space="preserve"> </w:t>
      </w:r>
      <w:r>
        <w:rPr>
          <w:rFonts w:ascii="Arial" w:cs="Arial" w:eastAsia="Arial" w:hAnsi="Arial"/>
          <w:sz w:val="17"/>
          <w:szCs w:val="17"/>
          <w:color w:val="000000"/>
        </w:rPr>
        <w:t>the Listing Rules</w:t>
      </w:r>
      <w:r>
        <w:rPr>
          <w:rFonts w:ascii="Arial" w:cs="Arial" w:eastAsia="Arial" w:hAnsi="Arial"/>
          <w:sz w:val="17"/>
          <w:szCs w:val="17"/>
          <w:color w:val="003551"/>
        </w:rPr>
        <w:t xml:space="preserve"> </w:t>
      </w:r>
      <w:r>
        <w:rPr>
          <w:rFonts w:ascii="Arial" w:cs="Arial" w:eastAsia="Arial" w:hAnsi="Arial"/>
          <w:sz w:val="17"/>
          <w:szCs w:val="17"/>
          <w:color w:val="0000FF"/>
        </w:rPr>
        <w:t>and the Securities Laws</w:t>
      </w:r>
      <w:r>
        <w:rPr>
          <w:rFonts w:ascii="Arial" w:cs="Arial" w:eastAsia="Arial" w:hAnsi="Arial"/>
          <w:sz w:val="17"/>
          <w:szCs w:val="17"/>
          <w:color w:val="000000"/>
        </w:rPr>
        <w:t>, the company may</w:t>
      </w:r>
      <w:r>
        <w:rPr>
          <w:rFonts w:ascii="Arial" w:cs="Arial" w:eastAsia="Arial" w:hAnsi="Arial"/>
          <w:sz w:val="17"/>
          <w:szCs w:val="17"/>
          <w:color w:val="003551"/>
        </w:rPr>
        <w:t xml:space="preserve"> </w:t>
      </w:r>
      <w:r>
        <w:rPr>
          <w:rFonts w:ascii="Arial" w:cs="Arial" w:eastAsia="Arial" w:hAnsi="Arial"/>
          <w:sz w:val="17"/>
          <w:szCs w:val="17"/>
          <w:color w:val="000000"/>
        </w:rPr>
        <w:t>pay an amount determined by the board to a former director, or the personal representative of a director who dies in office, a retirement benefit in recognition of past services provided by the director and may enter into a contract with a director providing for payment of such a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2573020</wp:posOffset>
            </wp:positionH>
            <wp:positionV relativeFrom="paragraph">
              <wp:posOffset>-457835</wp:posOffset>
            </wp:positionV>
            <wp:extent cx="21590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15900" cy="8255"/>
                    </a:xfrm>
                    <a:prstGeom prst="rect">
                      <a:avLst/>
                    </a:prstGeom>
                    <a:noFill/>
                  </pic:spPr>
                </pic:pic>
              </a:graphicData>
            </a:graphic>
          </wp:anchor>
        </w:drawing>
        <w:drawing>
          <wp:anchor simplePos="0" relativeHeight="251657728" behindDoc="1" locked="0" layoutInCell="0" allowOverlap="1">
            <wp:simplePos x="0" y="0"/>
            <wp:positionH relativeFrom="column">
              <wp:posOffset>3672840</wp:posOffset>
            </wp:positionH>
            <wp:positionV relativeFrom="paragraph">
              <wp:posOffset>-391160</wp:posOffset>
            </wp:positionV>
            <wp:extent cx="120586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05865" cy="8255"/>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-408305</wp:posOffset>
            </wp:positionV>
            <wp:extent cx="120777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07770" cy="8255"/>
                    </a:xfrm>
                    <a:prstGeom prst="rect">
                      <a:avLst/>
                    </a:prstGeom>
                    <a:noFill/>
                  </pic:spPr>
                </pic:pic>
              </a:graphicData>
            </a:graphic>
          </wp:anchor>
        </w:drawing>
      </w:r>
    </w:p>
    <w:p>
      <w:pPr>
        <w:spacing w:after="0" w:line="38"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5.6</w:t>
      </w:r>
      <w:r>
        <w:rPr>
          <w:sz w:val="20"/>
          <w:szCs w:val="20"/>
          <w:color w:val="auto"/>
        </w:rPr>
        <w:tab/>
      </w:r>
      <w:r>
        <w:rPr>
          <w:rFonts w:ascii="Arial" w:cs="Arial" w:eastAsia="Arial" w:hAnsi="Arial"/>
          <w:sz w:val="17"/>
          <w:szCs w:val="17"/>
          <w:b w:val="1"/>
          <w:bCs w:val="1"/>
          <w:color w:val="003551"/>
        </w:rPr>
        <w:t>Superannuation and similar benefits</w:t>
      </w:r>
    </w:p>
    <w:p>
      <w:pPr>
        <w:spacing w:after="0" w:line="108" w:lineRule="exact"/>
        <w:rPr>
          <w:sz w:val="20"/>
          <w:szCs w:val="20"/>
          <w:color w:val="auto"/>
        </w:rPr>
      </w:pPr>
    </w:p>
    <w:p>
      <w:pPr>
        <w:ind w:left="1640" w:right="399"/>
        <w:spacing w:after="0" w:line="251" w:lineRule="auto"/>
        <w:rPr>
          <w:sz w:val="20"/>
          <w:szCs w:val="20"/>
          <w:color w:val="auto"/>
        </w:rPr>
      </w:pPr>
      <w:r>
        <w:rPr>
          <w:rFonts w:ascii="Arial" w:cs="Arial" w:eastAsia="Arial" w:hAnsi="Arial"/>
          <w:sz w:val="17"/>
          <w:szCs w:val="17"/>
          <w:color w:val="003551"/>
        </w:rPr>
        <w:t xml:space="preserve">Subject to the Corporations Act </w:t>
      </w:r>
      <w:r>
        <w:rPr>
          <w:rFonts w:ascii="Arial" w:cs="Arial" w:eastAsia="Arial" w:hAnsi="Arial"/>
          <w:sz w:val="17"/>
          <w:szCs w:val="17"/>
          <w:color w:val="FF0000"/>
        </w:rPr>
        <w:t>and</w:t>
      </w:r>
      <w:r>
        <w:rPr>
          <w:rFonts w:ascii="Arial" w:cs="Arial" w:eastAsia="Arial" w:hAnsi="Arial"/>
          <w:sz w:val="17"/>
          <w:szCs w:val="17"/>
          <w:u w:val="single" w:color="auto"/>
          <w:color w:val="0000FF"/>
        </w:rPr>
        <w:t>,</w:t>
      </w:r>
      <w:r>
        <w:rPr>
          <w:rFonts w:ascii="Arial" w:cs="Arial" w:eastAsia="Arial" w:hAnsi="Arial"/>
          <w:sz w:val="17"/>
          <w:szCs w:val="17"/>
          <w:color w:val="003551"/>
        </w:rPr>
        <w:t xml:space="preserve"> </w:t>
      </w:r>
      <w:r>
        <w:rPr>
          <w:rFonts w:ascii="Arial" w:cs="Arial" w:eastAsia="Arial" w:hAnsi="Arial"/>
          <w:sz w:val="17"/>
          <w:szCs w:val="17"/>
          <w:color w:val="000000"/>
        </w:rPr>
        <w:t>the Listing Rules</w:t>
      </w:r>
      <w:r>
        <w:rPr>
          <w:rFonts w:ascii="Arial" w:cs="Arial" w:eastAsia="Arial" w:hAnsi="Arial"/>
          <w:sz w:val="17"/>
          <w:szCs w:val="17"/>
          <w:color w:val="003551"/>
        </w:rPr>
        <w:t xml:space="preserve"> </w:t>
      </w:r>
      <w:r>
        <w:rPr>
          <w:rFonts w:ascii="Arial" w:cs="Arial" w:eastAsia="Arial" w:hAnsi="Arial"/>
          <w:sz w:val="17"/>
          <w:szCs w:val="17"/>
          <w:color w:val="0000FF"/>
        </w:rPr>
        <w:t>and the Securities Laws</w:t>
      </w:r>
      <w:r>
        <w:rPr>
          <w:rFonts w:ascii="Arial" w:cs="Arial" w:eastAsia="Arial" w:hAnsi="Arial"/>
          <w:sz w:val="17"/>
          <w:szCs w:val="17"/>
          <w:color w:val="000000"/>
        </w:rPr>
        <w:t>, the board may</w:t>
      </w:r>
      <w:r>
        <w:rPr>
          <w:rFonts w:ascii="Arial" w:cs="Arial" w:eastAsia="Arial" w:hAnsi="Arial"/>
          <w:sz w:val="17"/>
          <w:szCs w:val="17"/>
          <w:color w:val="003551"/>
        </w:rPr>
        <w:t xml:space="preserve"> </w:t>
      </w:r>
      <w:r>
        <w:rPr>
          <w:rFonts w:ascii="Arial" w:cs="Arial" w:eastAsia="Arial" w:hAnsi="Arial"/>
          <w:sz w:val="17"/>
          <w:szCs w:val="17"/>
          <w:color w:val="000000"/>
        </w:rPr>
        <w:t>establish or support, or assist in the establishment or support, of funds and trusts to provide pension, retirement superannuation or similar payments or benefits to, or in respect of, a director or former director and grant pensions and allowances to those persons or their dependants either by periodic payment or lump sum.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2573020</wp:posOffset>
            </wp:positionH>
            <wp:positionV relativeFrom="paragraph">
              <wp:posOffset>-579755</wp:posOffset>
            </wp:positionV>
            <wp:extent cx="21590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15900" cy="8255"/>
                    </a:xfrm>
                    <a:prstGeom prst="rect">
                      <a:avLst/>
                    </a:prstGeom>
                    <a:noFill/>
                  </pic:spPr>
                </pic:pic>
              </a:graphicData>
            </a:graphic>
          </wp:anchor>
        </w:drawing>
        <w:drawing>
          <wp:anchor simplePos="0" relativeHeight="251657728" behindDoc="1" locked="0" layoutInCell="0" allowOverlap="1">
            <wp:simplePos x="0" y="0"/>
            <wp:positionH relativeFrom="column">
              <wp:posOffset>3672840</wp:posOffset>
            </wp:positionH>
            <wp:positionV relativeFrom="paragraph">
              <wp:posOffset>-513080</wp:posOffset>
            </wp:positionV>
            <wp:extent cx="120586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05865" cy="8255"/>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-529590</wp:posOffset>
            </wp:positionV>
            <wp:extent cx="120777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07770" cy="8255"/>
                    </a:xfrm>
                    <a:prstGeom prst="rect">
                      <a:avLst/>
                    </a:prstGeom>
                    <a:noFill/>
                  </pic:spPr>
                </pic:pic>
              </a:graphicData>
            </a:graphic>
          </wp:anchor>
        </w:drawing>
      </w:r>
    </w:p>
    <w:p>
      <w:pPr>
        <w:spacing w:after="0" w:line="43"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5.7</w:t>
      </w:r>
      <w:r>
        <w:rPr>
          <w:sz w:val="20"/>
          <w:szCs w:val="20"/>
          <w:color w:val="auto"/>
        </w:rPr>
        <w:tab/>
      </w:r>
      <w:r>
        <w:rPr>
          <w:rFonts w:ascii="Arial" w:cs="Arial" w:eastAsia="Arial" w:hAnsi="Arial"/>
          <w:sz w:val="17"/>
          <w:szCs w:val="17"/>
          <w:b w:val="1"/>
          <w:bCs w:val="1"/>
          <w:color w:val="003551"/>
        </w:rPr>
        <w:t>Incentive schemes</w:t>
      </w:r>
    </w:p>
    <w:p>
      <w:pPr>
        <w:spacing w:after="0" w:line="108" w:lineRule="exact"/>
        <w:rPr>
          <w:sz w:val="20"/>
          <w:szCs w:val="20"/>
          <w:color w:val="auto"/>
        </w:rPr>
      </w:pPr>
    </w:p>
    <w:p>
      <w:pPr>
        <w:ind w:left="1640" w:right="379"/>
        <w:spacing w:after="0" w:line="255" w:lineRule="auto"/>
        <w:rPr>
          <w:sz w:val="20"/>
          <w:szCs w:val="20"/>
          <w:color w:val="auto"/>
        </w:rPr>
      </w:pPr>
      <w:r>
        <w:rPr>
          <w:rFonts w:ascii="Arial" w:cs="Arial" w:eastAsia="Arial" w:hAnsi="Arial"/>
          <w:sz w:val="17"/>
          <w:szCs w:val="17"/>
          <w:color w:val="003551"/>
        </w:rPr>
        <w:t xml:space="preserve">Subject to the Corporations Act </w:t>
      </w:r>
      <w:r>
        <w:rPr>
          <w:rFonts w:ascii="Arial" w:cs="Arial" w:eastAsia="Arial" w:hAnsi="Arial"/>
          <w:sz w:val="17"/>
          <w:szCs w:val="17"/>
          <w:color w:val="FF0000"/>
        </w:rPr>
        <w:t>and</w:t>
      </w:r>
      <w:r>
        <w:rPr>
          <w:rFonts w:ascii="Arial" w:cs="Arial" w:eastAsia="Arial" w:hAnsi="Arial"/>
          <w:sz w:val="17"/>
          <w:szCs w:val="17"/>
          <w:u w:val="single" w:color="auto"/>
          <w:color w:val="0000FF"/>
        </w:rPr>
        <w:t>,</w:t>
      </w:r>
      <w:r>
        <w:rPr>
          <w:rFonts w:ascii="Arial" w:cs="Arial" w:eastAsia="Arial" w:hAnsi="Arial"/>
          <w:sz w:val="17"/>
          <w:szCs w:val="17"/>
          <w:color w:val="003551"/>
        </w:rPr>
        <w:t xml:space="preserve"> </w:t>
      </w:r>
      <w:r>
        <w:rPr>
          <w:rFonts w:ascii="Arial" w:cs="Arial" w:eastAsia="Arial" w:hAnsi="Arial"/>
          <w:sz w:val="17"/>
          <w:szCs w:val="17"/>
          <w:color w:val="000000"/>
        </w:rPr>
        <w:t>the Listing Rules</w:t>
      </w:r>
      <w:r>
        <w:rPr>
          <w:rFonts w:ascii="Arial" w:cs="Arial" w:eastAsia="Arial" w:hAnsi="Arial"/>
          <w:sz w:val="17"/>
          <w:szCs w:val="17"/>
          <w:color w:val="003551"/>
        </w:rPr>
        <w:t xml:space="preserve"> </w:t>
      </w:r>
      <w:r>
        <w:rPr>
          <w:rFonts w:ascii="Arial" w:cs="Arial" w:eastAsia="Arial" w:hAnsi="Arial"/>
          <w:sz w:val="17"/>
          <w:szCs w:val="17"/>
          <w:color w:val="0000FF"/>
        </w:rPr>
        <w:t>and the Securities Laws</w:t>
      </w:r>
      <w:r>
        <w:rPr>
          <w:rFonts w:ascii="Arial" w:cs="Arial" w:eastAsia="Arial" w:hAnsi="Arial"/>
          <w:sz w:val="17"/>
          <w:szCs w:val="17"/>
          <w:color w:val="000000"/>
        </w:rPr>
        <w:t>, the company may</w:t>
      </w:r>
      <w:r>
        <w:rPr>
          <w:rFonts w:ascii="Arial" w:cs="Arial" w:eastAsia="Arial" w:hAnsi="Arial"/>
          <w:sz w:val="17"/>
          <w:szCs w:val="17"/>
          <w:color w:val="003551"/>
        </w:rPr>
        <w:t xml:space="preserve"> </w:t>
      </w:r>
      <w:r>
        <w:rPr>
          <w:rFonts w:ascii="Arial" w:cs="Arial" w:eastAsia="Arial" w:hAnsi="Arial"/>
          <w:sz w:val="17"/>
          <w:szCs w:val="17"/>
          <w:color w:val="000000"/>
        </w:rPr>
        <w:t>establish and maintain any share, option or other incentive scheme for the benefit of directors or in which directors are permitted to participate, and may grant to the directors benefits under any such scheme.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2573020</wp:posOffset>
            </wp:positionH>
            <wp:positionV relativeFrom="paragraph">
              <wp:posOffset>-457835</wp:posOffset>
            </wp:positionV>
            <wp:extent cx="21590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15900" cy="8255"/>
                    </a:xfrm>
                    <a:prstGeom prst="rect">
                      <a:avLst/>
                    </a:prstGeom>
                    <a:noFill/>
                  </pic:spPr>
                </pic:pic>
              </a:graphicData>
            </a:graphic>
          </wp:anchor>
        </w:drawing>
        <w:drawing>
          <wp:anchor simplePos="0" relativeHeight="251657728" behindDoc="1" locked="0" layoutInCell="0" allowOverlap="1">
            <wp:simplePos x="0" y="0"/>
            <wp:positionH relativeFrom="column">
              <wp:posOffset>3672840</wp:posOffset>
            </wp:positionH>
            <wp:positionV relativeFrom="paragraph">
              <wp:posOffset>-391160</wp:posOffset>
            </wp:positionV>
            <wp:extent cx="120586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05865" cy="8255"/>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-408305</wp:posOffset>
            </wp:positionV>
            <wp:extent cx="120777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07770" cy="8255"/>
                    </a:xfrm>
                    <a:prstGeom prst="rect">
                      <a:avLst/>
                    </a:prstGeom>
                    <a:noFill/>
                  </pic:spPr>
                </pic:pic>
              </a:graphicData>
            </a:graphic>
          </wp:anchor>
        </w:drawing>
      </w:r>
    </w:p>
    <w:p>
      <w:pPr>
        <w:spacing w:after="0" w:line="38"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5.8</w:t>
      </w:r>
      <w:r>
        <w:rPr>
          <w:sz w:val="20"/>
          <w:szCs w:val="20"/>
          <w:color w:val="auto"/>
        </w:rPr>
        <w:tab/>
      </w:r>
      <w:r>
        <w:rPr>
          <w:rFonts w:ascii="Arial" w:cs="Arial" w:eastAsia="Arial" w:hAnsi="Arial"/>
          <w:sz w:val="17"/>
          <w:szCs w:val="17"/>
          <w:b w:val="1"/>
          <w:bCs w:val="1"/>
          <w:color w:val="003551"/>
        </w:rPr>
        <w:t>Remuneration and expenses of alternate directors</w:t>
      </w:r>
    </w:p>
    <w:p>
      <w:pPr>
        <w:spacing w:after="0" w:line="108" w:lineRule="exact"/>
        <w:rPr>
          <w:sz w:val="20"/>
          <w:szCs w:val="20"/>
          <w:color w:val="auto"/>
        </w:rPr>
      </w:pPr>
    </w:p>
    <w:p>
      <w:pPr>
        <w:ind w:left="1640" w:right="499"/>
        <w:spacing w:after="0" w:line="255" w:lineRule="auto"/>
        <w:rPr>
          <w:sz w:val="20"/>
          <w:szCs w:val="20"/>
          <w:color w:val="auto"/>
        </w:rPr>
      </w:pPr>
      <w:r>
        <w:rPr>
          <w:rFonts w:ascii="Arial" w:cs="Arial" w:eastAsia="Arial" w:hAnsi="Arial"/>
          <w:sz w:val="17"/>
          <w:szCs w:val="17"/>
          <w:color w:val="003551"/>
        </w:rPr>
        <w:t>An alternate director is not entitled to receive any remuneration from the company but is entitled to such reasonable travelling, accommodation and other expenses as the alternate director may properly incur in travelling to, attending and returning from board meetings or meetings of a committee of the board at which the appointor is not present.</w:t>
      </w:r>
    </w:p>
    <w:p>
      <w:pPr>
        <w:spacing w:after="0" w:line="165"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119380</wp:posOffset>
            </wp:positionV>
            <wp:extent cx="6786880" cy="1651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640" w:hanging="703"/>
        <w:spacing w:after="0"/>
        <w:tabs>
          <w:tab w:leader="none" w:pos="1640" w:val="left"/>
        </w:tabs>
        <w:numPr>
          <w:ilvl w:val="0"/>
          <w:numId w:val="93"/>
        </w:numPr>
        <w:rPr>
          <w:rFonts w:ascii="Arial" w:cs="Arial" w:eastAsia="Arial" w:hAnsi="Arial"/>
          <w:sz w:val="17"/>
          <w:szCs w:val="17"/>
          <w:b w:val="1"/>
          <w:bCs w:val="1"/>
          <w:color w:val="003551"/>
        </w:rPr>
      </w:pPr>
      <w:r>
        <w:rPr>
          <w:rFonts w:ascii="Arial" w:cs="Arial" w:eastAsia="Arial" w:hAnsi="Arial"/>
          <w:sz w:val="17"/>
          <w:szCs w:val="17"/>
          <w:b w:val="1"/>
          <w:bCs w:val="1"/>
          <w:color w:val="003551"/>
        </w:rPr>
        <w:t>INTERESTS OF DIRECTORS</w:t>
      </w:r>
    </w:p>
    <w:p>
      <w:pPr>
        <w:spacing w:after="0" w:line="105" w:lineRule="exact"/>
        <w:rPr>
          <w:rFonts w:ascii="Arial" w:cs="Arial" w:eastAsia="Arial" w:hAnsi="Arial"/>
          <w:sz w:val="17"/>
          <w:szCs w:val="17"/>
          <w:b w:val="1"/>
          <w:bCs w:val="1"/>
          <w:color w:val="003551"/>
        </w:rPr>
      </w:pPr>
    </w:p>
    <w:p>
      <w:pPr>
        <w:ind w:left="940"/>
        <w:spacing w:after="0"/>
        <w:rPr>
          <w:rFonts w:ascii="Arial" w:cs="Arial" w:eastAsia="Arial" w:hAnsi="Arial"/>
          <w:sz w:val="17"/>
          <w:szCs w:val="17"/>
          <w:b w:val="1"/>
          <w:bCs w:val="1"/>
          <w:color w:val="003551"/>
        </w:rPr>
      </w:pPr>
      <w:r>
        <w:rPr>
          <w:rFonts w:ascii="Arial" w:cs="Arial" w:eastAsia="Arial" w:hAnsi="Arial"/>
          <w:sz w:val="17"/>
          <w:szCs w:val="17"/>
          <w:b w:val="1"/>
          <w:bCs w:val="1"/>
          <w:color w:val="003551"/>
        </w:rPr>
        <w:t>6.1Disclosure of interests</w:t>
      </w:r>
    </w:p>
    <w:p>
      <w:pPr>
        <w:spacing w:after="0" w:line="107" w:lineRule="exact"/>
        <w:rPr>
          <w:rFonts w:ascii="Arial" w:cs="Arial" w:eastAsia="Arial" w:hAnsi="Arial"/>
          <w:sz w:val="17"/>
          <w:szCs w:val="17"/>
          <w:b w:val="1"/>
          <w:bCs w:val="1"/>
          <w:color w:val="003551"/>
        </w:rPr>
      </w:pPr>
    </w:p>
    <w:p>
      <w:pPr>
        <w:ind w:left="1980" w:right="599" w:hanging="344"/>
        <w:spacing w:after="0" w:line="283" w:lineRule="auto"/>
        <w:tabs>
          <w:tab w:leader="none" w:pos="1980" w:val="left"/>
        </w:tabs>
        <w:numPr>
          <w:ilvl w:val="1"/>
          <w:numId w:val="93"/>
        </w:numPr>
        <w:rPr>
          <w:rFonts w:ascii="Arial" w:cs="Arial" w:eastAsia="Arial" w:hAnsi="Arial"/>
          <w:sz w:val="17"/>
          <w:szCs w:val="17"/>
          <w:color w:val="003551"/>
        </w:rPr>
      </w:pPr>
      <w:r>
        <w:rPr>
          <w:rFonts w:ascii="Arial" w:cs="Arial" w:eastAsia="Arial" w:hAnsi="Arial"/>
          <w:sz w:val="17"/>
          <w:szCs w:val="17"/>
          <w:color w:val="003551"/>
        </w:rPr>
        <w:t>Each director must disclose that director’s interests to the company in accordance with the Corporations Act.</w:t>
      </w:r>
    </w:p>
    <w:p>
      <w:pPr>
        <w:spacing w:after="0" w:line="36" w:lineRule="exact"/>
        <w:rPr>
          <w:rFonts w:ascii="Arial" w:cs="Arial" w:eastAsia="Arial" w:hAnsi="Arial"/>
          <w:sz w:val="17"/>
          <w:szCs w:val="17"/>
          <w:color w:val="003551"/>
        </w:rPr>
      </w:pPr>
    </w:p>
    <w:p>
      <w:pPr>
        <w:ind w:left="1980" w:right="399" w:hanging="344"/>
        <w:spacing w:after="0" w:line="255" w:lineRule="auto"/>
        <w:tabs>
          <w:tab w:leader="none" w:pos="1980" w:val="left"/>
        </w:tabs>
        <w:numPr>
          <w:ilvl w:val="1"/>
          <w:numId w:val="93"/>
        </w:numPr>
        <w:rPr>
          <w:rFonts w:ascii="Arial" w:cs="Arial" w:eastAsia="Arial" w:hAnsi="Arial"/>
          <w:sz w:val="17"/>
          <w:szCs w:val="17"/>
          <w:color w:val="003551"/>
        </w:rPr>
      </w:pPr>
      <w:r>
        <w:rPr>
          <w:rFonts w:ascii="Arial" w:cs="Arial" w:eastAsia="Arial" w:hAnsi="Arial"/>
          <w:sz w:val="17"/>
          <w:szCs w:val="17"/>
          <w:color w:val="003551"/>
        </w:rPr>
        <w:t>The board may make regulations requiring the disclosure of interests that a director, and any person deemed by the board to be related to or associated with the director, may have in any matter concerning the company or a related body corporate. Any regulations made under this constitution bind all directors.</w:t>
      </w:r>
    </w:p>
    <w:p>
      <w:pPr>
        <w:spacing w:after="0" w:line="59" w:lineRule="exact"/>
        <w:rPr>
          <w:rFonts w:ascii="Arial" w:cs="Arial" w:eastAsia="Arial" w:hAnsi="Arial"/>
          <w:sz w:val="17"/>
          <w:szCs w:val="17"/>
          <w:color w:val="003551"/>
        </w:rPr>
      </w:pPr>
    </w:p>
    <w:p>
      <w:pPr>
        <w:ind w:left="1980" w:right="719" w:hanging="344"/>
        <w:spacing w:after="0" w:line="283" w:lineRule="auto"/>
        <w:tabs>
          <w:tab w:leader="none" w:pos="1980" w:val="left"/>
        </w:tabs>
        <w:numPr>
          <w:ilvl w:val="1"/>
          <w:numId w:val="93"/>
        </w:numPr>
        <w:rPr>
          <w:rFonts w:ascii="Arial" w:cs="Arial" w:eastAsia="Arial" w:hAnsi="Arial"/>
          <w:sz w:val="17"/>
          <w:szCs w:val="17"/>
          <w:color w:val="003551"/>
        </w:rPr>
      </w:pPr>
      <w:r>
        <w:rPr>
          <w:rFonts w:ascii="Arial" w:cs="Arial" w:eastAsia="Arial" w:hAnsi="Arial"/>
          <w:sz w:val="17"/>
          <w:szCs w:val="17"/>
          <w:color w:val="003551"/>
        </w:rPr>
        <w:t xml:space="preserve">No act, transaction, agreement, instrument, resolution or other thing is invalid or voidable only because a person fails to comply with any regulation made under </w:t>
      </w:r>
      <w:r>
        <w:rPr>
          <w:rFonts w:ascii="Arial" w:cs="Arial" w:eastAsia="Arial" w:hAnsi="Arial"/>
          <w:sz w:val="17"/>
          <w:szCs w:val="17"/>
          <w:u w:val="single" w:color="auto"/>
          <w:color w:val="003551"/>
        </w:rPr>
        <w:t>rule 6.1(b)</w:t>
      </w:r>
      <w:r>
        <w:rPr>
          <w:rFonts w:ascii="Arial" w:cs="Arial" w:eastAsia="Arial" w:hAnsi="Arial"/>
          <w:sz w:val="17"/>
          <w:szCs w:val="17"/>
          <w:color w:val="003551"/>
        </w:rPr>
        <w:t>.</w:t>
      </w:r>
    </w:p>
    <w:p>
      <w:pPr>
        <w:spacing w:after="0" w:line="35"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6.2</w:t>
      </w:r>
      <w:r>
        <w:rPr>
          <w:sz w:val="20"/>
          <w:szCs w:val="20"/>
          <w:color w:val="auto"/>
        </w:rPr>
        <w:tab/>
      </w:r>
      <w:r>
        <w:rPr>
          <w:rFonts w:ascii="Arial" w:cs="Arial" w:eastAsia="Arial" w:hAnsi="Arial"/>
          <w:sz w:val="17"/>
          <w:szCs w:val="17"/>
          <w:b w:val="1"/>
          <w:bCs w:val="1"/>
          <w:color w:val="003551"/>
        </w:rPr>
        <w:t>Permitted interests</w:t>
      </w:r>
    </w:p>
    <w:p>
      <w:pPr>
        <w:spacing w:after="0" w:line="108" w:lineRule="exact"/>
        <w:rPr>
          <w:sz w:val="20"/>
          <w:szCs w:val="20"/>
          <w:color w:val="auto"/>
        </w:rPr>
      </w:pPr>
    </w:p>
    <w:p>
      <w:pPr>
        <w:ind w:left="1640" w:right="639"/>
        <w:spacing w:after="0" w:line="251" w:lineRule="auto"/>
        <w:rPr>
          <w:sz w:val="20"/>
          <w:szCs w:val="20"/>
          <w:color w:val="auto"/>
        </w:rPr>
      </w:pPr>
      <w:r>
        <w:rPr>
          <w:rFonts w:ascii="Arial" w:cs="Arial" w:eastAsia="Arial" w:hAnsi="Arial"/>
          <w:sz w:val="17"/>
          <w:szCs w:val="17"/>
          <w:color w:val="003551"/>
        </w:rPr>
        <w:t xml:space="preserve">Subject to complying with </w:t>
      </w:r>
      <w:r>
        <w:rPr>
          <w:rFonts w:ascii="Arial" w:cs="Arial" w:eastAsia="Arial" w:hAnsi="Arial"/>
          <w:sz w:val="17"/>
          <w:szCs w:val="17"/>
          <w:u w:val="single" w:color="auto"/>
          <w:color w:val="003551"/>
        </w:rPr>
        <w:t>rule 6.1</w:t>
      </w:r>
      <w:r>
        <w:rPr>
          <w:rFonts w:ascii="Arial" w:cs="Arial" w:eastAsia="Arial" w:hAnsi="Arial"/>
          <w:sz w:val="17"/>
          <w:szCs w:val="17"/>
          <w:color w:val="003551"/>
        </w:rPr>
        <w:t>, a director may, despite holding the office of director and despite the fiduciary obligations arising from that office, do any of the following without any liability to account to the company or a related body corporate of the company for any direct or indirect benefit accruing to the director and without affecting the validity of any contract or arrangement:</w:t>
      </w:r>
    </w:p>
    <w:p>
      <w:pPr>
        <w:spacing w:after="0" w:line="65" w:lineRule="exact"/>
        <w:rPr>
          <w:sz w:val="20"/>
          <w:szCs w:val="20"/>
          <w:color w:val="auto"/>
        </w:rPr>
      </w:pPr>
    </w:p>
    <w:p>
      <w:pPr>
        <w:ind w:left="1980" w:hanging="344"/>
        <w:spacing w:after="0"/>
        <w:tabs>
          <w:tab w:leader="none" w:pos="1980" w:val="left"/>
        </w:tabs>
        <w:numPr>
          <w:ilvl w:val="0"/>
          <w:numId w:val="94"/>
        </w:numPr>
        <w:rPr>
          <w:rFonts w:ascii="Arial" w:cs="Arial" w:eastAsia="Arial" w:hAnsi="Arial"/>
          <w:sz w:val="17"/>
          <w:szCs w:val="17"/>
          <w:color w:val="003551"/>
        </w:rPr>
      </w:pPr>
      <w:r>
        <w:rPr>
          <w:rFonts w:ascii="Arial" w:cs="Arial" w:eastAsia="Arial" w:hAnsi="Arial"/>
          <w:sz w:val="17"/>
          <w:szCs w:val="17"/>
          <w:color w:val="003551"/>
        </w:rPr>
        <w:t>hold any office or position (except that of auditor) in any of the following:</w:t>
      </w:r>
    </w:p>
    <w:p>
      <w:pPr>
        <w:spacing w:after="0" w:line="105" w:lineRule="exact"/>
        <w:rPr>
          <w:rFonts w:ascii="Arial" w:cs="Arial" w:eastAsia="Arial" w:hAnsi="Arial"/>
          <w:sz w:val="17"/>
          <w:szCs w:val="17"/>
          <w:color w:val="003551"/>
        </w:rPr>
      </w:pPr>
    </w:p>
    <w:p>
      <w:pPr>
        <w:ind w:left="2320" w:hanging="335"/>
        <w:spacing w:after="0"/>
        <w:tabs>
          <w:tab w:leader="none" w:pos="2320" w:val="left"/>
        </w:tabs>
        <w:numPr>
          <w:ilvl w:val="1"/>
          <w:numId w:val="94"/>
        </w:numPr>
        <w:rPr>
          <w:rFonts w:ascii="Arial" w:cs="Arial" w:eastAsia="Arial" w:hAnsi="Arial"/>
          <w:sz w:val="17"/>
          <w:szCs w:val="17"/>
          <w:color w:val="003551"/>
        </w:rPr>
      </w:pPr>
      <w:r>
        <w:rPr>
          <w:rFonts w:ascii="Arial" w:cs="Arial" w:eastAsia="Arial" w:hAnsi="Arial"/>
          <w:sz w:val="17"/>
          <w:szCs w:val="17"/>
          <w:color w:val="003551"/>
        </w:rPr>
        <w:t>the company;</w:t>
      </w:r>
    </w:p>
    <w:p>
      <w:pPr>
        <w:spacing w:after="0" w:line="105" w:lineRule="exact"/>
        <w:rPr>
          <w:rFonts w:ascii="Arial" w:cs="Arial" w:eastAsia="Arial" w:hAnsi="Arial"/>
          <w:sz w:val="17"/>
          <w:szCs w:val="17"/>
          <w:color w:val="003551"/>
        </w:rPr>
      </w:pPr>
    </w:p>
    <w:p>
      <w:pPr>
        <w:ind w:left="2320" w:hanging="335"/>
        <w:spacing w:after="0"/>
        <w:tabs>
          <w:tab w:leader="none" w:pos="2320" w:val="left"/>
        </w:tabs>
        <w:numPr>
          <w:ilvl w:val="1"/>
          <w:numId w:val="94"/>
        </w:numPr>
        <w:rPr>
          <w:rFonts w:ascii="Arial" w:cs="Arial" w:eastAsia="Arial" w:hAnsi="Arial"/>
          <w:sz w:val="17"/>
          <w:szCs w:val="17"/>
          <w:color w:val="003551"/>
        </w:rPr>
      </w:pPr>
      <w:r>
        <w:rPr>
          <w:rFonts w:ascii="Arial" w:cs="Arial" w:eastAsia="Arial" w:hAnsi="Arial"/>
          <w:sz w:val="17"/>
          <w:szCs w:val="17"/>
          <w:color w:val="003551"/>
        </w:rPr>
        <w:t>a related body corporate of the company; or</w:t>
      </w:r>
    </w:p>
    <w:p>
      <w:pPr>
        <w:spacing w:after="0" w:line="105" w:lineRule="exact"/>
        <w:rPr>
          <w:rFonts w:ascii="Arial" w:cs="Arial" w:eastAsia="Arial" w:hAnsi="Arial"/>
          <w:sz w:val="17"/>
          <w:szCs w:val="17"/>
          <w:color w:val="003551"/>
        </w:rPr>
      </w:pPr>
    </w:p>
    <w:p>
      <w:pPr>
        <w:jc w:val="both"/>
        <w:ind w:left="2320" w:right="939" w:hanging="335"/>
        <w:spacing w:after="0" w:line="262" w:lineRule="auto"/>
        <w:tabs>
          <w:tab w:leader="none" w:pos="2320" w:val="left"/>
        </w:tabs>
        <w:numPr>
          <w:ilvl w:val="1"/>
          <w:numId w:val="94"/>
        </w:numPr>
        <w:rPr>
          <w:rFonts w:ascii="Arial" w:cs="Arial" w:eastAsia="Arial" w:hAnsi="Arial"/>
          <w:sz w:val="17"/>
          <w:szCs w:val="17"/>
          <w:color w:val="003551"/>
        </w:rPr>
      </w:pPr>
      <w:r>
        <w:rPr>
          <w:rFonts w:ascii="Arial" w:cs="Arial" w:eastAsia="Arial" w:hAnsi="Arial"/>
          <w:sz w:val="17"/>
          <w:szCs w:val="17"/>
          <w:color w:val="003551"/>
        </w:rPr>
        <w:t>any other company, body corporate, trust or entity promoted by the company or a related body corporate of the company or in which the company or a related body corporate of the company has an interest of any kind;</w:t>
      </w:r>
    </w:p>
    <w:p>
      <w:pPr>
        <w:spacing w:after="0" w:line="54" w:lineRule="exact"/>
        <w:rPr>
          <w:rFonts w:ascii="Arial" w:cs="Arial" w:eastAsia="Arial" w:hAnsi="Arial"/>
          <w:sz w:val="17"/>
          <w:szCs w:val="17"/>
          <w:color w:val="003551"/>
        </w:rPr>
      </w:pPr>
    </w:p>
    <w:p>
      <w:pPr>
        <w:ind w:left="1980" w:right="539" w:hanging="344"/>
        <w:spacing w:after="0" w:line="283" w:lineRule="auto"/>
        <w:tabs>
          <w:tab w:leader="none" w:pos="1980" w:val="left"/>
        </w:tabs>
        <w:numPr>
          <w:ilvl w:val="0"/>
          <w:numId w:val="94"/>
        </w:numPr>
        <w:rPr>
          <w:rFonts w:ascii="Arial" w:cs="Arial" w:eastAsia="Arial" w:hAnsi="Arial"/>
          <w:sz w:val="17"/>
          <w:szCs w:val="17"/>
          <w:color w:val="003551"/>
        </w:rPr>
      </w:pPr>
      <w:r>
        <w:rPr>
          <w:rFonts w:ascii="Arial" w:cs="Arial" w:eastAsia="Arial" w:hAnsi="Arial"/>
          <w:sz w:val="17"/>
          <w:szCs w:val="17"/>
          <w:color w:val="003551"/>
        </w:rPr>
        <w:t xml:space="preserve">enter into any contract or arrangement with any entity referred to in </w:t>
      </w:r>
      <w:r>
        <w:rPr>
          <w:rFonts w:ascii="Arial" w:cs="Arial" w:eastAsia="Arial" w:hAnsi="Arial"/>
          <w:sz w:val="17"/>
          <w:szCs w:val="17"/>
          <w:u w:val="single" w:color="auto"/>
          <w:color w:val="003551"/>
        </w:rPr>
        <w:t>paragraphs (a)(i)</w:t>
      </w:r>
      <w:r>
        <w:rPr>
          <w:rFonts w:ascii="Arial" w:cs="Arial" w:eastAsia="Arial" w:hAnsi="Arial"/>
          <w:sz w:val="17"/>
          <w:szCs w:val="17"/>
          <w:color w:val="003551"/>
        </w:rPr>
        <w:t xml:space="preserve">, </w:t>
      </w:r>
      <w:r>
        <w:rPr>
          <w:rFonts w:ascii="Arial" w:cs="Arial" w:eastAsia="Arial" w:hAnsi="Arial"/>
          <w:sz w:val="17"/>
          <w:szCs w:val="17"/>
          <w:u w:val="single" w:color="auto"/>
          <w:color w:val="003551"/>
        </w:rPr>
        <w:t>(a)(ii)</w:t>
      </w:r>
      <w:r>
        <w:rPr>
          <w:rFonts w:ascii="Arial" w:cs="Arial" w:eastAsia="Arial" w:hAnsi="Arial"/>
          <w:sz w:val="17"/>
          <w:szCs w:val="17"/>
          <w:color w:val="003551"/>
        </w:rPr>
        <w:t xml:space="preserve"> or </w:t>
      </w:r>
      <w:r>
        <w:rPr>
          <w:rFonts w:ascii="Arial" w:cs="Arial" w:eastAsia="Arial" w:hAnsi="Arial"/>
          <w:sz w:val="17"/>
          <w:szCs w:val="17"/>
          <w:u w:val="single" w:color="auto"/>
          <w:color w:val="003551"/>
        </w:rPr>
        <w:t>(a)(iii)</w:t>
      </w:r>
      <w:r>
        <w:rPr>
          <w:rFonts w:ascii="Arial" w:cs="Arial" w:eastAsia="Arial" w:hAnsi="Arial"/>
          <w:sz w:val="17"/>
          <w:szCs w:val="17"/>
          <w:color w:val="003551"/>
        </w:rPr>
        <w:t xml:space="preserve"> above;</w:t>
      </w:r>
    </w:p>
    <w:p>
      <w:pPr>
        <w:spacing w:after="0" w:line="36" w:lineRule="exact"/>
        <w:rPr>
          <w:rFonts w:ascii="Arial" w:cs="Arial" w:eastAsia="Arial" w:hAnsi="Arial"/>
          <w:sz w:val="17"/>
          <w:szCs w:val="17"/>
          <w:color w:val="003551"/>
        </w:rPr>
      </w:pPr>
    </w:p>
    <w:p>
      <w:pPr>
        <w:ind w:left="1980" w:right="399" w:hanging="344"/>
        <w:spacing w:after="0" w:line="262" w:lineRule="auto"/>
        <w:tabs>
          <w:tab w:leader="none" w:pos="1980" w:val="left"/>
        </w:tabs>
        <w:numPr>
          <w:ilvl w:val="0"/>
          <w:numId w:val="94"/>
        </w:numPr>
        <w:rPr>
          <w:rFonts w:ascii="Arial" w:cs="Arial" w:eastAsia="Arial" w:hAnsi="Arial"/>
          <w:sz w:val="17"/>
          <w:szCs w:val="17"/>
          <w:color w:val="003551"/>
        </w:rPr>
      </w:pPr>
      <w:r>
        <w:rPr>
          <w:rFonts w:ascii="Arial" w:cs="Arial" w:eastAsia="Arial" w:hAnsi="Arial"/>
          <w:sz w:val="17"/>
          <w:szCs w:val="17"/>
          <w:color w:val="003551"/>
        </w:rPr>
        <w:t>participate in any association, institution, fund, trust or scheme for past or present employees or directors of the company or a related body corporate of the company or persons dependent on or connected with them; or</w:t>
      </w:r>
    </w:p>
    <w:p>
      <w:pPr>
        <w:spacing w:after="0" w:line="54" w:lineRule="exact"/>
        <w:rPr>
          <w:rFonts w:ascii="Arial" w:cs="Arial" w:eastAsia="Arial" w:hAnsi="Arial"/>
          <w:sz w:val="17"/>
          <w:szCs w:val="17"/>
          <w:color w:val="003551"/>
        </w:rPr>
      </w:pPr>
    </w:p>
    <w:p>
      <w:pPr>
        <w:ind w:left="1980" w:right="719" w:hanging="344"/>
        <w:spacing w:after="0" w:line="283" w:lineRule="auto"/>
        <w:tabs>
          <w:tab w:leader="none" w:pos="1980" w:val="left"/>
        </w:tabs>
        <w:numPr>
          <w:ilvl w:val="0"/>
          <w:numId w:val="94"/>
        </w:numPr>
        <w:rPr>
          <w:rFonts w:ascii="Arial" w:cs="Arial" w:eastAsia="Arial" w:hAnsi="Arial"/>
          <w:sz w:val="17"/>
          <w:szCs w:val="17"/>
          <w:color w:val="003551"/>
        </w:rPr>
      </w:pPr>
      <w:r>
        <w:rPr>
          <w:rFonts w:ascii="Arial" w:cs="Arial" w:eastAsia="Arial" w:hAnsi="Arial"/>
          <w:sz w:val="17"/>
          <w:szCs w:val="17"/>
          <w:color w:val="003551"/>
        </w:rPr>
        <w:t>act in a professional capacity (or be a member of a firm which acts in a professional capacity) for the company or a related body corporate of the company, except as auditor.</w:t>
      </w:r>
    </w:p>
    <w:p>
      <w:pPr>
        <w:spacing w:after="0" w:line="35"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6.3</w:t>
      </w:r>
      <w:r>
        <w:rPr>
          <w:sz w:val="20"/>
          <w:szCs w:val="20"/>
          <w:color w:val="auto"/>
        </w:rPr>
        <w:tab/>
      </w:r>
      <w:r>
        <w:rPr>
          <w:rFonts w:ascii="Arial" w:cs="Arial" w:eastAsia="Arial" w:hAnsi="Arial"/>
          <w:sz w:val="17"/>
          <w:szCs w:val="17"/>
          <w:b w:val="1"/>
          <w:bCs w:val="1"/>
          <w:color w:val="003551"/>
        </w:rPr>
        <w:t>Exercise of voting rights held by the company</w:t>
      </w:r>
    </w:p>
    <w:p>
      <w:pPr>
        <w:spacing w:after="0" w:line="108" w:lineRule="exact"/>
        <w:rPr>
          <w:sz w:val="20"/>
          <w:szCs w:val="20"/>
          <w:color w:val="auto"/>
        </w:rPr>
      </w:pPr>
    </w:p>
    <w:p>
      <w:pPr>
        <w:jc w:val="both"/>
        <w:ind w:left="1980" w:right="719" w:hanging="344"/>
        <w:spacing w:after="0" w:line="283" w:lineRule="auto"/>
        <w:tabs>
          <w:tab w:leader="none" w:pos="1980" w:val="left"/>
        </w:tabs>
        <w:numPr>
          <w:ilvl w:val="0"/>
          <w:numId w:val="95"/>
        </w:numPr>
        <w:rPr>
          <w:rFonts w:ascii="Arial" w:cs="Arial" w:eastAsia="Arial" w:hAnsi="Arial"/>
          <w:sz w:val="17"/>
          <w:szCs w:val="17"/>
          <w:color w:val="003551"/>
        </w:rPr>
      </w:pPr>
      <w:r>
        <w:rPr>
          <w:rFonts w:ascii="Arial" w:cs="Arial" w:eastAsia="Arial" w:hAnsi="Arial"/>
          <w:sz w:val="17"/>
          <w:szCs w:val="17"/>
          <w:color w:val="003551"/>
        </w:rPr>
        <w:t>The board may exercise the voting rights attaching to any shares held by the company in any other company or body corporate in any way the board decides, including voting for:</w:t>
      </w:r>
    </w:p>
    <w:p>
      <w:pPr>
        <w:spacing w:after="0" w:line="36" w:lineRule="exact"/>
        <w:rPr>
          <w:rFonts w:ascii="Arial" w:cs="Arial" w:eastAsia="Arial" w:hAnsi="Arial"/>
          <w:sz w:val="17"/>
          <w:szCs w:val="17"/>
          <w:color w:val="003551"/>
        </w:rPr>
      </w:pPr>
    </w:p>
    <w:p>
      <w:pPr>
        <w:ind w:left="2320" w:right="539" w:hanging="335"/>
        <w:spacing w:after="0" w:line="283" w:lineRule="auto"/>
        <w:tabs>
          <w:tab w:leader="none" w:pos="2320" w:val="left"/>
        </w:tabs>
        <w:numPr>
          <w:ilvl w:val="1"/>
          <w:numId w:val="95"/>
        </w:numPr>
        <w:rPr>
          <w:rFonts w:ascii="Arial" w:cs="Arial" w:eastAsia="Arial" w:hAnsi="Arial"/>
          <w:sz w:val="17"/>
          <w:szCs w:val="17"/>
          <w:color w:val="003551"/>
        </w:rPr>
      </w:pPr>
      <w:r>
        <w:rPr>
          <w:rFonts w:ascii="Arial" w:cs="Arial" w:eastAsia="Arial" w:hAnsi="Arial"/>
          <w:sz w:val="17"/>
          <w:szCs w:val="17"/>
          <w:color w:val="003551"/>
        </w:rPr>
        <w:t>any resolution appointing a director of the company as a director or other officer of that company or body corporate; and</w:t>
      </w:r>
    </w:p>
    <w:p>
      <w:pPr>
        <w:spacing w:after="0" w:line="142"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119380</wp:posOffset>
            </wp:positionV>
            <wp:extent cx="6786880" cy="1651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320" w:right="599" w:hanging="335"/>
        <w:spacing w:after="0" w:line="283" w:lineRule="auto"/>
        <w:tabs>
          <w:tab w:leader="none" w:pos="2320" w:val="left"/>
        </w:tabs>
        <w:numPr>
          <w:ilvl w:val="1"/>
          <w:numId w:val="96"/>
        </w:numPr>
        <w:rPr>
          <w:rFonts w:ascii="Arial" w:cs="Arial" w:eastAsia="Arial" w:hAnsi="Arial"/>
          <w:sz w:val="17"/>
          <w:szCs w:val="17"/>
          <w:color w:val="003551"/>
        </w:rPr>
      </w:pPr>
      <w:r>
        <w:rPr>
          <w:rFonts w:ascii="Arial" w:cs="Arial" w:eastAsia="Arial" w:hAnsi="Arial"/>
          <w:sz w:val="17"/>
          <w:szCs w:val="17"/>
          <w:color w:val="003551"/>
        </w:rPr>
        <w:t>the payment of remuneration to the directors or other officers of that company or body corporate.</w:t>
      </w:r>
    </w:p>
    <w:p>
      <w:pPr>
        <w:spacing w:after="0" w:line="36" w:lineRule="exact"/>
        <w:rPr>
          <w:rFonts w:ascii="Arial" w:cs="Arial" w:eastAsia="Arial" w:hAnsi="Arial"/>
          <w:sz w:val="17"/>
          <w:szCs w:val="17"/>
          <w:color w:val="003551"/>
        </w:rPr>
      </w:pPr>
    </w:p>
    <w:p>
      <w:pPr>
        <w:ind w:left="1980" w:right="419" w:hanging="344"/>
        <w:spacing w:after="0" w:line="255" w:lineRule="auto"/>
        <w:tabs>
          <w:tab w:leader="none" w:pos="1980" w:val="left"/>
        </w:tabs>
        <w:numPr>
          <w:ilvl w:val="0"/>
          <w:numId w:val="97"/>
        </w:numPr>
        <w:rPr>
          <w:rFonts w:ascii="Arial" w:cs="Arial" w:eastAsia="Arial" w:hAnsi="Arial"/>
          <w:sz w:val="17"/>
          <w:szCs w:val="17"/>
          <w:color w:val="003551"/>
        </w:rPr>
      </w:pPr>
      <w:r>
        <w:rPr>
          <w:rFonts w:ascii="Arial" w:cs="Arial" w:eastAsia="Arial" w:hAnsi="Arial"/>
          <w:sz w:val="17"/>
          <w:szCs w:val="17"/>
          <w:color w:val="003551"/>
        </w:rPr>
        <w:t xml:space="preserve">A director may, if the law permits, vote for the exercise of the voting rights referred to in </w:t>
      </w:r>
      <w:r>
        <w:rPr>
          <w:rFonts w:ascii="Arial" w:cs="Arial" w:eastAsia="Arial" w:hAnsi="Arial"/>
          <w:sz w:val="17"/>
          <w:szCs w:val="17"/>
          <w:u w:val="single" w:color="auto"/>
          <w:color w:val="003551"/>
        </w:rPr>
        <w:t>paragraph (a)</w:t>
      </w:r>
      <w:r>
        <w:rPr>
          <w:rFonts w:ascii="Arial" w:cs="Arial" w:eastAsia="Arial" w:hAnsi="Arial"/>
          <w:sz w:val="17"/>
          <w:szCs w:val="17"/>
          <w:color w:val="003551"/>
        </w:rPr>
        <w:t xml:space="preserve"> above even though they are, or may be about to be appointed, a director or other officer of that other company or body corporate and, in that capacity, may be interested in the exercise of those voting rights.</w:t>
      </w:r>
    </w:p>
    <w:p>
      <w:pPr>
        <w:spacing w:after="0" w:line="58"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6.4</w:t>
      </w:r>
      <w:r>
        <w:rPr>
          <w:sz w:val="20"/>
          <w:szCs w:val="20"/>
          <w:color w:val="auto"/>
        </w:rPr>
        <w:tab/>
      </w:r>
      <w:r>
        <w:rPr>
          <w:rFonts w:ascii="Arial" w:cs="Arial" w:eastAsia="Arial" w:hAnsi="Arial"/>
          <w:sz w:val="17"/>
          <w:szCs w:val="17"/>
          <w:b w:val="1"/>
          <w:bCs w:val="1"/>
          <w:color w:val="003551"/>
        </w:rPr>
        <w:t>Director with material personal interest</w:t>
      </w:r>
    </w:p>
    <w:p>
      <w:pPr>
        <w:spacing w:after="0" w:line="108" w:lineRule="exact"/>
        <w:rPr>
          <w:sz w:val="20"/>
          <w:szCs w:val="20"/>
          <w:color w:val="auto"/>
        </w:rPr>
      </w:pPr>
    </w:p>
    <w:p>
      <w:pPr>
        <w:ind w:left="1640" w:right="539"/>
        <w:spacing w:after="0" w:line="262" w:lineRule="auto"/>
        <w:rPr>
          <w:sz w:val="20"/>
          <w:szCs w:val="20"/>
          <w:color w:val="auto"/>
        </w:rPr>
      </w:pPr>
      <w:r>
        <w:rPr>
          <w:rFonts w:ascii="Arial" w:cs="Arial" w:eastAsia="Arial" w:hAnsi="Arial"/>
          <w:sz w:val="17"/>
          <w:szCs w:val="17"/>
          <w:color w:val="003551"/>
        </w:rPr>
        <w:t>A director who has a material personal interest in a matter that is being considered at a board meeting must not be present while the matter is being considered at the meeting or vote on that matter except where permitted by the Corporations Act.</w:t>
      </w:r>
    </w:p>
    <w:p>
      <w:pPr>
        <w:spacing w:after="0" w:line="52"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6.5</w:t>
      </w:r>
      <w:r>
        <w:rPr>
          <w:sz w:val="20"/>
          <w:szCs w:val="20"/>
          <w:color w:val="auto"/>
        </w:rPr>
        <w:tab/>
      </w:r>
      <w:r>
        <w:rPr>
          <w:rFonts w:ascii="Arial" w:cs="Arial" w:eastAsia="Arial" w:hAnsi="Arial"/>
          <w:sz w:val="17"/>
          <w:szCs w:val="17"/>
          <w:b w:val="1"/>
          <w:bCs w:val="1"/>
          <w:color w:val="003551"/>
        </w:rPr>
        <w:t>Participation despite interest</w:t>
      </w:r>
    </w:p>
    <w:p>
      <w:pPr>
        <w:spacing w:after="0" w:line="134"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 xml:space="preserve">Subject to </w:t>
      </w:r>
      <w:r>
        <w:rPr>
          <w:rFonts w:ascii="Arial" w:cs="Arial" w:eastAsia="Arial" w:hAnsi="Arial"/>
          <w:sz w:val="17"/>
          <w:szCs w:val="17"/>
          <w:u w:val="single" w:color="auto"/>
          <w:color w:val="003551"/>
        </w:rPr>
        <w:t>rule 6.4</w:t>
      </w:r>
      <w:r>
        <w:rPr>
          <w:rFonts w:ascii="Arial" w:cs="Arial" w:eastAsia="Arial" w:hAnsi="Arial"/>
          <w:sz w:val="17"/>
          <w:szCs w:val="17"/>
          <w:color w:val="003551"/>
        </w:rPr>
        <w:t>, if a director has an interest in a matter then, despite that interest, the director:</w:t>
      </w:r>
    </w:p>
    <w:p>
      <w:pPr>
        <w:spacing w:after="0" w:line="106" w:lineRule="exact"/>
        <w:rPr>
          <w:sz w:val="20"/>
          <w:szCs w:val="20"/>
          <w:color w:val="auto"/>
        </w:rPr>
      </w:pPr>
    </w:p>
    <w:p>
      <w:pPr>
        <w:ind w:left="2320" w:right="619" w:hanging="335"/>
        <w:spacing w:after="0" w:line="283" w:lineRule="auto"/>
        <w:tabs>
          <w:tab w:leader="none" w:pos="2320" w:val="left"/>
        </w:tabs>
        <w:numPr>
          <w:ilvl w:val="0"/>
          <w:numId w:val="98"/>
        </w:numPr>
        <w:rPr>
          <w:rFonts w:ascii="Arial" w:cs="Arial" w:eastAsia="Arial" w:hAnsi="Arial"/>
          <w:sz w:val="17"/>
          <w:szCs w:val="17"/>
          <w:color w:val="003551"/>
        </w:rPr>
      </w:pPr>
      <w:r>
        <w:rPr>
          <w:rFonts w:ascii="Arial" w:cs="Arial" w:eastAsia="Arial" w:hAnsi="Arial"/>
          <w:sz w:val="17"/>
          <w:szCs w:val="17"/>
          <w:color w:val="003551"/>
        </w:rPr>
        <w:t>may be counted in the quorum at the board meeting that considers matters relating to that interest and may participate in and vote on matters relating to that interest; and</w:t>
      </w:r>
    </w:p>
    <w:p>
      <w:pPr>
        <w:spacing w:after="0" w:line="36" w:lineRule="exact"/>
        <w:rPr>
          <w:rFonts w:ascii="Arial" w:cs="Arial" w:eastAsia="Arial" w:hAnsi="Arial"/>
          <w:sz w:val="17"/>
          <w:szCs w:val="17"/>
          <w:color w:val="003551"/>
        </w:rPr>
      </w:pPr>
    </w:p>
    <w:p>
      <w:pPr>
        <w:ind w:left="2320" w:right="459" w:hanging="335"/>
        <w:spacing w:after="0" w:line="283" w:lineRule="auto"/>
        <w:tabs>
          <w:tab w:leader="none" w:pos="2320" w:val="left"/>
        </w:tabs>
        <w:numPr>
          <w:ilvl w:val="0"/>
          <w:numId w:val="98"/>
        </w:numPr>
        <w:rPr>
          <w:rFonts w:ascii="Arial" w:cs="Arial" w:eastAsia="Arial" w:hAnsi="Arial"/>
          <w:sz w:val="17"/>
          <w:szCs w:val="17"/>
          <w:color w:val="003551"/>
        </w:rPr>
      </w:pPr>
      <w:r>
        <w:rPr>
          <w:rFonts w:ascii="Arial" w:cs="Arial" w:eastAsia="Arial" w:hAnsi="Arial"/>
          <w:sz w:val="17"/>
          <w:szCs w:val="17"/>
          <w:color w:val="003551"/>
        </w:rPr>
        <w:t>may sign or participate in the execution of any document relating to that matter by or on behalf of the company or a related body corporate of the company.</w:t>
      </w:r>
    </w:p>
    <w:p>
      <w:pPr>
        <w:spacing w:after="0" w:line="35" w:lineRule="exact"/>
        <w:rPr>
          <w:sz w:val="20"/>
          <w:szCs w:val="20"/>
          <w:color w:val="auto"/>
        </w:rPr>
      </w:pPr>
    </w:p>
    <w:p>
      <w:pPr>
        <w:ind w:left="1640" w:hanging="703"/>
        <w:spacing w:after="0"/>
        <w:tabs>
          <w:tab w:leader="none" w:pos="1640" w:val="left"/>
        </w:tabs>
        <w:numPr>
          <w:ilvl w:val="0"/>
          <w:numId w:val="99"/>
        </w:numPr>
        <w:rPr>
          <w:rFonts w:ascii="Arial" w:cs="Arial" w:eastAsia="Arial" w:hAnsi="Arial"/>
          <w:sz w:val="17"/>
          <w:szCs w:val="17"/>
          <w:b w:val="1"/>
          <w:bCs w:val="1"/>
          <w:color w:val="003551"/>
        </w:rPr>
      </w:pPr>
      <w:r>
        <w:rPr>
          <w:rFonts w:ascii="Arial" w:cs="Arial" w:eastAsia="Arial" w:hAnsi="Arial"/>
          <w:sz w:val="17"/>
          <w:szCs w:val="17"/>
          <w:b w:val="1"/>
          <w:bCs w:val="1"/>
          <w:color w:val="003551"/>
        </w:rPr>
        <w:t>EXECUTIVE OFFICERS</w:t>
      </w:r>
    </w:p>
    <w:p>
      <w:pPr>
        <w:spacing w:after="0" w:line="106"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7.1</w:t>
      </w:r>
      <w:r>
        <w:rPr>
          <w:sz w:val="20"/>
          <w:szCs w:val="20"/>
          <w:color w:val="auto"/>
        </w:rPr>
        <w:tab/>
      </w:r>
      <w:r>
        <w:rPr>
          <w:rFonts w:ascii="Arial" w:cs="Arial" w:eastAsia="Arial" w:hAnsi="Arial"/>
          <w:sz w:val="17"/>
          <w:szCs w:val="17"/>
          <w:b w:val="1"/>
          <w:bCs w:val="1"/>
          <w:color w:val="003551"/>
        </w:rPr>
        <w:t>Appointment of managing directors and executive directors</w:t>
      </w:r>
    </w:p>
    <w:p>
      <w:pPr>
        <w:spacing w:after="0" w:line="108" w:lineRule="exact"/>
        <w:rPr>
          <w:sz w:val="20"/>
          <w:szCs w:val="20"/>
          <w:color w:val="auto"/>
        </w:rPr>
      </w:pPr>
    </w:p>
    <w:p>
      <w:pPr>
        <w:ind w:left="1980" w:right="459" w:hanging="344"/>
        <w:spacing w:after="0" w:line="249" w:lineRule="auto"/>
        <w:tabs>
          <w:tab w:leader="none" w:pos="1980" w:val="left"/>
        </w:tabs>
        <w:numPr>
          <w:ilvl w:val="0"/>
          <w:numId w:val="100"/>
        </w:numPr>
        <w:rPr>
          <w:rFonts w:ascii="Arial" w:cs="Arial" w:eastAsia="Arial" w:hAnsi="Arial"/>
          <w:sz w:val="17"/>
          <w:szCs w:val="17"/>
          <w:color w:val="003551"/>
        </w:rPr>
      </w:pPr>
      <w:r>
        <w:rPr>
          <w:rFonts w:ascii="Arial" w:cs="Arial" w:eastAsia="Arial" w:hAnsi="Arial"/>
          <w:sz w:val="17"/>
          <w:szCs w:val="17"/>
          <w:color w:val="003551"/>
        </w:rPr>
        <w:t>Subject to the rights of the holder of a B class share and any other rights or restrictions attached to other classes of shares, the board may appoint one or more of the directors to the office of managing director</w:t>
      </w:r>
      <w:r>
        <w:rPr>
          <w:rFonts w:ascii="Arial" w:cs="Arial" w:eastAsia="Arial" w:hAnsi="Arial"/>
          <w:sz w:val="17"/>
          <w:szCs w:val="17"/>
          <w:u w:val="single" w:color="auto"/>
          <w:color w:val="0000FF"/>
        </w:rPr>
        <w:t>, executive director</w:t>
      </w:r>
      <w:r>
        <w:rPr>
          <w:rFonts w:ascii="Arial" w:cs="Arial" w:eastAsia="Arial" w:hAnsi="Arial"/>
          <w:sz w:val="17"/>
          <w:szCs w:val="17"/>
          <w:color w:val="003551"/>
        </w:rPr>
        <w:t xml:space="preserve"> </w:t>
      </w:r>
      <w:r>
        <w:rPr>
          <w:rFonts w:ascii="Arial" w:cs="Arial" w:eastAsia="Arial" w:hAnsi="Arial"/>
          <w:sz w:val="17"/>
          <w:szCs w:val="17"/>
          <w:color w:val="000000"/>
        </w:rPr>
        <w:t>or other executive office of the company</w:t>
      </w:r>
      <w:r>
        <w:rPr>
          <w:rFonts w:ascii="Arial" w:cs="Arial" w:eastAsia="Arial" w:hAnsi="Arial"/>
          <w:sz w:val="17"/>
          <w:szCs w:val="17"/>
          <w:color w:val="003551"/>
        </w:rPr>
        <w:t xml:space="preserve"> </w:t>
      </w:r>
      <w:r>
        <w:rPr>
          <w:rFonts w:ascii="Arial" w:cs="Arial" w:eastAsia="Arial" w:hAnsi="Arial"/>
          <w:sz w:val="17"/>
          <w:szCs w:val="17"/>
          <w:color w:val="000000"/>
        </w:rPr>
        <w:t>for such period and on such terms as the directors think fit and, subject to the terms of any employment or service contract between the relevant director and the company, may revoke or terminate any appointment so made.</w:t>
      </w:r>
    </w:p>
    <w:p>
      <w:pPr>
        <w:spacing w:after="0" w:line="66" w:lineRule="exact"/>
        <w:rPr>
          <w:rFonts w:ascii="Arial" w:cs="Arial" w:eastAsia="Arial" w:hAnsi="Arial"/>
          <w:sz w:val="17"/>
          <w:szCs w:val="17"/>
          <w:color w:val="003551"/>
        </w:rPr>
      </w:pPr>
    </w:p>
    <w:p>
      <w:pPr>
        <w:ind w:left="1980" w:right="519" w:hanging="344"/>
        <w:spacing w:after="0" w:line="283" w:lineRule="auto"/>
        <w:tabs>
          <w:tab w:leader="none" w:pos="1980" w:val="left"/>
        </w:tabs>
        <w:numPr>
          <w:ilvl w:val="0"/>
          <w:numId w:val="100"/>
        </w:numPr>
        <w:rPr>
          <w:rFonts w:ascii="Arial" w:cs="Arial" w:eastAsia="Arial" w:hAnsi="Arial"/>
          <w:sz w:val="17"/>
          <w:szCs w:val="17"/>
          <w:color w:val="003551"/>
        </w:rPr>
      </w:pPr>
      <w:r>
        <w:rPr>
          <w:rFonts w:ascii="Arial" w:cs="Arial" w:eastAsia="Arial" w:hAnsi="Arial"/>
          <w:sz w:val="17"/>
          <w:szCs w:val="17"/>
          <w:color w:val="003551"/>
        </w:rPr>
        <w:t>A managing director or other executive director so appointed may be referred to by any title that the directors think fit.</w:t>
      </w:r>
    </w:p>
    <w:p>
      <w:pPr>
        <w:spacing w:after="0" w:line="35"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7.2</w:t>
      </w:r>
      <w:r>
        <w:rPr>
          <w:sz w:val="20"/>
          <w:szCs w:val="20"/>
          <w:color w:val="auto"/>
        </w:rPr>
        <w:tab/>
      </w:r>
      <w:r>
        <w:rPr>
          <w:rFonts w:ascii="Arial" w:cs="Arial" w:eastAsia="Arial" w:hAnsi="Arial"/>
          <w:sz w:val="17"/>
          <w:szCs w:val="17"/>
          <w:b w:val="1"/>
          <w:bCs w:val="1"/>
          <w:color w:val="003551"/>
        </w:rPr>
        <w:t>Powers of managing directors and executive directors</w:t>
      </w:r>
    </w:p>
    <w:p>
      <w:pPr>
        <w:spacing w:after="0" w:line="108" w:lineRule="exact"/>
        <w:rPr>
          <w:sz w:val="20"/>
          <w:szCs w:val="20"/>
          <w:color w:val="auto"/>
        </w:rPr>
      </w:pPr>
    </w:p>
    <w:p>
      <w:pPr>
        <w:ind w:left="1640" w:right="479"/>
        <w:spacing w:after="0" w:line="251" w:lineRule="auto"/>
        <w:rPr>
          <w:sz w:val="20"/>
          <w:szCs w:val="20"/>
          <w:color w:val="auto"/>
        </w:rPr>
      </w:pPr>
      <w:r>
        <w:rPr>
          <w:rFonts w:ascii="Arial" w:cs="Arial" w:eastAsia="Arial" w:hAnsi="Arial"/>
          <w:sz w:val="17"/>
          <w:szCs w:val="17"/>
          <w:color w:val="003551"/>
        </w:rPr>
        <w:t>The board may confer on a managing director or an executive director such of the powers, authorities and discretions exercisable by the board as the directors think fit (including the power to delegate such powers, authorities and discretions), on such terms and conditions and with such restrictions as the directors think fit, and may withdraw, suspend or vary any of the powers, authorities or discretions conferred on a managing director or an executive director.</w:t>
      </w:r>
    </w:p>
    <w:p>
      <w:pPr>
        <w:spacing w:after="0" w:line="63"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7.3</w:t>
      </w:r>
      <w:r>
        <w:rPr>
          <w:sz w:val="20"/>
          <w:szCs w:val="20"/>
          <w:color w:val="auto"/>
        </w:rPr>
        <w:tab/>
      </w:r>
      <w:r>
        <w:rPr>
          <w:rFonts w:ascii="Arial" w:cs="Arial" w:eastAsia="Arial" w:hAnsi="Arial"/>
          <w:sz w:val="17"/>
          <w:szCs w:val="17"/>
          <w:b w:val="1"/>
          <w:bCs w:val="1"/>
          <w:color w:val="003551"/>
        </w:rPr>
        <w:t>Remuneration of managing directors and executive directors</w:t>
      </w:r>
    </w:p>
    <w:p>
      <w:pPr>
        <w:spacing w:after="0" w:line="108" w:lineRule="exact"/>
        <w:rPr>
          <w:sz w:val="20"/>
          <w:szCs w:val="20"/>
          <w:color w:val="auto"/>
        </w:rPr>
      </w:pPr>
    </w:p>
    <w:p>
      <w:pPr>
        <w:ind w:left="1640" w:right="479"/>
        <w:spacing w:after="0" w:line="262" w:lineRule="auto"/>
        <w:rPr>
          <w:sz w:val="20"/>
          <w:szCs w:val="20"/>
          <w:color w:val="auto"/>
        </w:rPr>
      </w:pPr>
      <w:r>
        <w:rPr>
          <w:rFonts w:ascii="Arial" w:cs="Arial" w:eastAsia="Arial" w:hAnsi="Arial"/>
          <w:sz w:val="17"/>
          <w:szCs w:val="17"/>
          <w:color w:val="003551"/>
        </w:rPr>
        <w:t>The remuneration of a managing director or an executive director may be fixed by the board and may be by way of salary or commission, participation in incentive schemes, bonuses or other participation in profits or all of these.</w:t>
      </w:r>
    </w:p>
    <w:p>
      <w:pPr>
        <w:spacing w:after="0" w:line="15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127635</wp:posOffset>
            </wp:positionV>
            <wp:extent cx="6786880" cy="1651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7.4</w:t>
      </w:r>
      <w:r>
        <w:rPr>
          <w:sz w:val="20"/>
          <w:szCs w:val="20"/>
          <w:color w:val="auto"/>
        </w:rPr>
        <w:tab/>
      </w:r>
      <w:r>
        <w:rPr>
          <w:rFonts w:ascii="Arial" w:cs="Arial" w:eastAsia="Arial" w:hAnsi="Arial"/>
          <w:sz w:val="17"/>
          <w:szCs w:val="17"/>
          <w:b w:val="1"/>
          <w:bCs w:val="1"/>
          <w:color w:val="003551"/>
        </w:rPr>
        <w:t>Where managing director ceases to be a director</w:t>
      </w:r>
    </w:p>
    <w:p>
      <w:pPr>
        <w:spacing w:after="0" w:line="134"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Subject to the terms of any employment or service contract between:</w:t>
      </w:r>
    </w:p>
    <w:p>
      <w:pPr>
        <w:spacing w:after="0" w:line="106" w:lineRule="exact"/>
        <w:rPr>
          <w:sz w:val="20"/>
          <w:szCs w:val="20"/>
          <w:color w:val="auto"/>
        </w:rPr>
      </w:pPr>
    </w:p>
    <w:p>
      <w:pPr>
        <w:ind w:left="2320" w:right="639" w:hanging="335"/>
        <w:spacing w:after="0" w:line="283" w:lineRule="auto"/>
        <w:tabs>
          <w:tab w:leader="none" w:pos="2320" w:val="left"/>
        </w:tabs>
        <w:numPr>
          <w:ilvl w:val="0"/>
          <w:numId w:val="101"/>
        </w:numPr>
        <w:rPr>
          <w:rFonts w:ascii="Arial" w:cs="Arial" w:eastAsia="Arial" w:hAnsi="Arial"/>
          <w:sz w:val="17"/>
          <w:szCs w:val="17"/>
          <w:color w:val="003551"/>
        </w:rPr>
      </w:pPr>
      <w:r>
        <w:rPr>
          <w:rFonts w:ascii="Arial" w:cs="Arial" w:eastAsia="Arial" w:hAnsi="Arial"/>
          <w:sz w:val="17"/>
          <w:szCs w:val="17"/>
          <w:color w:val="003551"/>
        </w:rPr>
        <w:t>the managing director (or an affiliate) and the company or a related body corporate of the company; or</w:t>
      </w:r>
    </w:p>
    <w:p>
      <w:pPr>
        <w:spacing w:after="0" w:line="36" w:lineRule="exact"/>
        <w:rPr>
          <w:rFonts w:ascii="Arial" w:cs="Arial" w:eastAsia="Arial" w:hAnsi="Arial"/>
          <w:sz w:val="17"/>
          <w:szCs w:val="17"/>
          <w:color w:val="003551"/>
        </w:rPr>
      </w:pPr>
    </w:p>
    <w:p>
      <w:pPr>
        <w:ind w:left="2320" w:right="419" w:hanging="335"/>
        <w:spacing w:after="0" w:line="283" w:lineRule="auto"/>
        <w:tabs>
          <w:tab w:leader="none" w:pos="2320" w:val="left"/>
        </w:tabs>
        <w:numPr>
          <w:ilvl w:val="0"/>
          <w:numId w:val="101"/>
        </w:numPr>
        <w:rPr>
          <w:rFonts w:ascii="Arial" w:cs="Arial" w:eastAsia="Arial" w:hAnsi="Arial"/>
          <w:sz w:val="17"/>
          <w:szCs w:val="17"/>
          <w:color w:val="003551"/>
        </w:rPr>
      </w:pPr>
      <w:r>
        <w:rPr>
          <w:rFonts w:ascii="Arial" w:cs="Arial" w:eastAsia="Arial" w:hAnsi="Arial"/>
          <w:sz w:val="17"/>
          <w:szCs w:val="17"/>
          <w:color w:val="003551"/>
        </w:rPr>
        <w:t>an executive director (or an affiliate) and the company or a related body corporate of the company,</w:t>
      </w:r>
    </w:p>
    <w:p>
      <w:pPr>
        <w:spacing w:after="0" w:line="37" w:lineRule="exact"/>
        <w:rPr>
          <w:sz w:val="20"/>
          <w:szCs w:val="20"/>
          <w:color w:val="auto"/>
        </w:rPr>
      </w:pPr>
    </w:p>
    <w:p>
      <w:pPr>
        <w:ind w:left="1640" w:right="499"/>
        <w:spacing w:after="0" w:line="283" w:lineRule="auto"/>
        <w:rPr>
          <w:sz w:val="20"/>
          <w:szCs w:val="20"/>
          <w:color w:val="auto"/>
        </w:rPr>
      </w:pPr>
      <w:r>
        <w:rPr>
          <w:rFonts w:ascii="Arial" w:cs="Arial" w:eastAsia="Arial" w:hAnsi="Arial"/>
          <w:sz w:val="17"/>
          <w:szCs w:val="17"/>
          <w:color w:val="003551"/>
        </w:rPr>
        <w:t>a managing director or executive director (or affiliate), as the case may be, automatically ceases to hold that office if he or she ceases to be a director.</w:t>
      </w:r>
    </w:p>
    <w:p>
      <w:pPr>
        <w:spacing w:after="0" w:line="35"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7.5</w:t>
      </w:r>
      <w:r>
        <w:rPr>
          <w:sz w:val="20"/>
          <w:szCs w:val="20"/>
          <w:color w:val="auto"/>
        </w:rPr>
        <w:tab/>
      </w:r>
      <w:r>
        <w:rPr>
          <w:rFonts w:ascii="Arial" w:cs="Arial" w:eastAsia="Arial" w:hAnsi="Arial"/>
          <w:sz w:val="17"/>
          <w:szCs w:val="17"/>
          <w:b w:val="1"/>
          <w:bCs w:val="1"/>
          <w:color w:val="003551"/>
        </w:rPr>
        <w:t>Where managing director or executive director ceases to be an employee or contractor</w:t>
      </w:r>
    </w:p>
    <w:p>
      <w:pPr>
        <w:spacing w:after="0" w:line="108" w:lineRule="exact"/>
        <w:rPr>
          <w:sz w:val="20"/>
          <w:szCs w:val="20"/>
          <w:color w:val="auto"/>
        </w:rPr>
      </w:pPr>
    </w:p>
    <w:p>
      <w:pPr>
        <w:ind w:left="1640" w:right="499"/>
        <w:spacing w:after="0" w:line="255" w:lineRule="auto"/>
        <w:rPr>
          <w:sz w:val="20"/>
          <w:szCs w:val="20"/>
          <w:color w:val="auto"/>
        </w:rPr>
      </w:pPr>
      <w:r>
        <w:rPr>
          <w:rFonts w:ascii="Arial" w:cs="Arial" w:eastAsia="Arial" w:hAnsi="Arial"/>
          <w:sz w:val="17"/>
          <w:szCs w:val="17"/>
          <w:color w:val="003551"/>
        </w:rPr>
        <w:t xml:space="preserve">Unless the board determines otherwise, a managing director or executive director appointed under </w:t>
      </w:r>
      <w:r>
        <w:rPr>
          <w:rFonts w:ascii="Arial" w:cs="Arial" w:eastAsia="Arial" w:hAnsi="Arial"/>
          <w:sz w:val="17"/>
          <w:szCs w:val="17"/>
          <w:u w:val="single" w:color="auto"/>
          <w:color w:val="003551"/>
        </w:rPr>
        <w:t>rule 7.1</w:t>
      </w:r>
      <w:r>
        <w:rPr>
          <w:rFonts w:ascii="Arial" w:cs="Arial" w:eastAsia="Arial" w:hAnsi="Arial"/>
          <w:sz w:val="17"/>
          <w:szCs w:val="17"/>
          <w:color w:val="003551"/>
        </w:rPr>
        <w:t xml:space="preserve"> who is employed or contracted by the company or a related body corporate of the company does not automatically cease to hold office as a director if that employment or service contract is terminated for any reason.</w:t>
      </w:r>
    </w:p>
    <w:p>
      <w:pPr>
        <w:spacing w:after="0" w:line="58"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7.6</w:t>
      </w:r>
      <w:r>
        <w:rPr>
          <w:sz w:val="20"/>
          <w:szCs w:val="20"/>
          <w:color w:val="auto"/>
        </w:rPr>
        <w:tab/>
      </w:r>
      <w:r>
        <w:rPr>
          <w:rFonts w:ascii="Arial" w:cs="Arial" w:eastAsia="Arial" w:hAnsi="Arial"/>
          <w:sz w:val="17"/>
          <w:szCs w:val="17"/>
          <w:b w:val="1"/>
          <w:bCs w:val="1"/>
          <w:color w:val="003551"/>
        </w:rPr>
        <w:t>Secretaries</w:t>
      </w:r>
    </w:p>
    <w:p>
      <w:pPr>
        <w:spacing w:after="0" w:line="108" w:lineRule="exact"/>
        <w:rPr>
          <w:sz w:val="20"/>
          <w:szCs w:val="20"/>
          <w:color w:val="auto"/>
        </w:rPr>
      </w:pPr>
    </w:p>
    <w:p>
      <w:pPr>
        <w:ind w:left="1640" w:right="499"/>
        <w:spacing w:after="0" w:line="251" w:lineRule="auto"/>
        <w:rPr>
          <w:sz w:val="20"/>
          <w:szCs w:val="20"/>
          <w:color w:val="auto"/>
        </w:rPr>
      </w:pPr>
      <w:r>
        <w:rPr>
          <w:rFonts w:ascii="Arial" w:cs="Arial" w:eastAsia="Arial" w:hAnsi="Arial"/>
          <w:sz w:val="17"/>
          <w:szCs w:val="17"/>
          <w:color w:val="003551"/>
        </w:rPr>
        <w:t>The company must have at least one secretary who is to be appointed by the board. The board may appoint more than one secretary and may appoint one or more assistant secretaries. A secretary or assistant secretary holds office on such terms and conditions and with such powers and duties as the board decides and may be paid such remuneration as the board decides. The board may at any time terminate the appointment of a secretary or assistant secretary.</w:t>
      </w:r>
    </w:p>
    <w:p>
      <w:pPr>
        <w:spacing w:after="0" w:line="63"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7.7</w:t>
      </w:r>
      <w:r>
        <w:rPr>
          <w:sz w:val="20"/>
          <w:szCs w:val="20"/>
          <w:color w:val="auto"/>
        </w:rPr>
        <w:tab/>
      </w:r>
      <w:r>
        <w:rPr>
          <w:rFonts w:ascii="Arial" w:cs="Arial" w:eastAsia="Arial" w:hAnsi="Arial"/>
          <w:sz w:val="17"/>
          <w:szCs w:val="17"/>
          <w:b w:val="1"/>
          <w:bCs w:val="1"/>
          <w:color w:val="003551"/>
        </w:rPr>
        <w:t>Validity of acts done by executive officers</w:t>
      </w:r>
    </w:p>
    <w:p>
      <w:pPr>
        <w:spacing w:after="0" w:line="147"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An act done by a person acting as an executive officer is not invalidated by:</w:t>
      </w:r>
    </w:p>
    <w:p>
      <w:pPr>
        <w:spacing w:after="0" w:line="106" w:lineRule="exact"/>
        <w:rPr>
          <w:sz w:val="20"/>
          <w:szCs w:val="20"/>
          <w:color w:val="auto"/>
        </w:rPr>
      </w:pPr>
    </w:p>
    <w:p>
      <w:pPr>
        <w:ind w:left="2320" w:hanging="335"/>
        <w:spacing w:after="0"/>
        <w:tabs>
          <w:tab w:leader="none" w:pos="2320" w:val="left"/>
        </w:tabs>
        <w:numPr>
          <w:ilvl w:val="0"/>
          <w:numId w:val="102"/>
        </w:numPr>
        <w:rPr>
          <w:rFonts w:ascii="Arial" w:cs="Arial" w:eastAsia="Arial" w:hAnsi="Arial"/>
          <w:sz w:val="17"/>
          <w:szCs w:val="17"/>
          <w:color w:val="003551"/>
        </w:rPr>
      </w:pPr>
      <w:r>
        <w:rPr>
          <w:rFonts w:ascii="Arial" w:cs="Arial" w:eastAsia="Arial" w:hAnsi="Arial"/>
          <w:sz w:val="17"/>
          <w:szCs w:val="17"/>
          <w:color w:val="003551"/>
        </w:rPr>
        <w:t>a defect in the person’s appointment as an executive officer;</w:t>
      </w:r>
    </w:p>
    <w:p>
      <w:pPr>
        <w:spacing w:after="0" w:line="105" w:lineRule="exact"/>
        <w:rPr>
          <w:rFonts w:ascii="Arial" w:cs="Arial" w:eastAsia="Arial" w:hAnsi="Arial"/>
          <w:sz w:val="17"/>
          <w:szCs w:val="17"/>
          <w:color w:val="003551"/>
        </w:rPr>
      </w:pPr>
    </w:p>
    <w:p>
      <w:pPr>
        <w:ind w:left="2320" w:hanging="335"/>
        <w:spacing w:after="0"/>
        <w:tabs>
          <w:tab w:leader="none" w:pos="2320" w:val="left"/>
        </w:tabs>
        <w:numPr>
          <w:ilvl w:val="0"/>
          <w:numId w:val="102"/>
        </w:numPr>
        <w:rPr>
          <w:rFonts w:ascii="Arial" w:cs="Arial" w:eastAsia="Arial" w:hAnsi="Arial"/>
          <w:sz w:val="17"/>
          <w:szCs w:val="17"/>
          <w:color w:val="003551"/>
        </w:rPr>
      </w:pPr>
      <w:r>
        <w:rPr>
          <w:rFonts w:ascii="Arial" w:cs="Arial" w:eastAsia="Arial" w:hAnsi="Arial"/>
          <w:sz w:val="17"/>
          <w:szCs w:val="17"/>
          <w:color w:val="003551"/>
        </w:rPr>
        <w:t>the person being disqualified from acting as an executive officer; or</w:t>
      </w:r>
    </w:p>
    <w:p>
      <w:pPr>
        <w:spacing w:after="0" w:line="105" w:lineRule="exact"/>
        <w:rPr>
          <w:rFonts w:ascii="Arial" w:cs="Arial" w:eastAsia="Arial" w:hAnsi="Arial"/>
          <w:sz w:val="17"/>
          <w:szCs w:val="17"/>
          <w:color w:val="003551"/>
        </w:rPr>
      </w:pPr>
    </w:p>
    <w:p>
      <w:pPr>
        <w:ind w:left="2320" w:hanging="335"/>
        <w:spacing w:after="0"/>
        <w:tabs>
          <w:tab w:leader="none" w:pos="2320" w:val="left"/>
        </w:tabs>
        <w:numPr>
          <w:ilvl w:val="0"/>
          <w:numId w:val="102"/>
        </w:numPr>
        <w:rPr>
          <w:rFonts w:ascii="Arial" w:cs="Arial" w:eastAsia="Arial" w:hAnsi="Arial"/>
          <w:sz w:val="17"/>
          <w:szCs w:val="17"/>
          <w:color w:val="003551"/>
        </w:rPr>
      </w:pPr>
      <w:r>
        <w:rPr>
          <w:rFonts w:ascii="Arial" w:cs="Arial" w:eastAsia="Arial" w:hAnsi="Arial"/>
          <w:sz w:val="17"/>
          <w:szCs w:val="17"/>
          <w:color w:val="003551"/>
        </w:rPr>
        <w:t>the person having vacated office,</w:t>
      </w:r>
    </w:p>
    <w:p>
      <w:pPr>
        <w:spacing w:after="0" w:line="145"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if the person did not know that circumstance when the act was done.</w:t>
      </w:r>
    </w:p>
    <w:p>
      <w:pPr>
        <w:spacing w:after="0" w:line="104" w:lineRule="exact"/>
        <w:rPr>
          <w:sz w:val="20"/>
          <w:szCs w:val="20"/>
          <w:color w:val="auto"/>
        </w:rPr>
      </w:pPr>
    </w:p>
    <w:p>
      <w:pPr>
        <w:ind w:left="1640" w:hanging="703"/>
        <w:spacing w:after="0"/>
        <w:tabs>
          <w:tab w:leader="none" w:pos="1640" w:val="left"/>
        </w:tabs>
        <w:numPr>
          <w:ilvl w:val="0"/>
          <w:numId w:val="103"/>
        </w:numPr>
        <w:rPr>
          <w:rFonts w:ascii="Arial" w:cs="Arial" w:eastAsia="Arial" w:hAnsi="Arial"/>
          <w:sz w:val="17"/>
          <w:szCs w:val="17"/>
          <w:b w:val="1"/>
          <w:bCs w:val="1"/>
          <w:color w:val="003551"/>
        </w:rPr>
      </w:pPr>
      <w:r>
        <w:rPr>
          <w:rFonts w:ascii="Arial" w:cs="Arial" w:eastAsia="Arial" w:hAnsi="Arial"/>
          <w:sz w:val="17"/>
          <w:szCs w:val="17"/>
          <w:b w:val="1"/>
          <w:bCs w:val="1"/>
          <w:color w:val="003551"/>
        </w:rPr>
        <w:t>CONVENING GENERAL MEETINGS</w:t>
      </w:r>
    </w:p>
    <w:p>
      <w:pPr>
        <w:spacing w:after="0" w:line="105" w:lineRule="exact"/>
        <w:rPr>
          <w:rFonts w:ascii="Arial" w:cs="Arial" w:eastAsia="Arial" w:hAnsi="Arial"/>
          <w:sz w:val="17"/>
          <w:szCs w:val="17"/>
          <w:b w:val="1"/>
          <w:bCs w:val="1"/>
          <w:color w:val="003551"/>
        </w:rPr>
      </w:pPr>
    </w:p>
    <w:p>
      <w:pPr>
        <w:ind w:left="940"/>
        <w:spacing w:after="0"/>
        <w:rPr>
          <w:rFonts w:ascii="Arial" w:cs="Arial" w:eastAsia="Arial" w:hAnsi="Arial"/>
          <w:sz w:val="17"/>
          <w:szCs w:val="17"/>
          <w:b w:val="1"/>
          <w:bCs w:val="1"/>
          <w:color w:val="003551"/>
        </w:rPr>
      </w:pPr>
      <w:r>
        <w:rPr>
          <w:rFonts w:ascii="Arial" w:cs="Arial" w:eastAsia="Arial" w:hAnsi="Arial"/>
          <w:sz w:val="17"/>
          <w:szCs w:val="17"/>
          <w:b w:val="1"/>
          <w:bCs w:val="1"/>
          <w:color w:val="003551"/>
        </w:rPr>
        <w:t>8.1General meetings</w:t>
      </w:r>
    </w:p>
    <w:p>
      <w:pPr>
        <w:spacing w:after="0" w:line="107" w:lineRule="exact"/>
        <w:rPr>
          <w:rFonts w:ascii="Arial" w:cs="Arial" w:eastAsia="Arial" w:hAnsi="Arial"/>
          <w:sz w:val="17"/>
          <w:szCs w:val="17"/>
          <w:b w:val="1"/>
          <w:bCs w:val="1"/>
          <w:color w:val="003551"/>
        </w:rPr>
      </w:pPr>
    </w:p>
    <w:p>
      <w:pPr>
        <w:ind w:left="1980" w:right="519" w:hanging="344"/>
        <w:spacing w:after="0" w:line="262" w:lineRule="auto"/>
        <w:tabs>
          <w:tab w:leader="none" w:pos="1980" w:val="left"/>
        </w:tabs>
        <w:numPr>
          <w:ilvl w:val="1"/>
          <w:numId w:val="103"/>
        </w:numPr>
        <w:rPr>
          <w:rFonts w:ascii="Arial" w:cs="Arial" w:eastAsia="Arial" w:hAnsi="Arial"/>
          <w:sz w:val="17"/>
          <w:szCs w:val="17"/>
          <w:color w:val="003551"/>
        </w:rPr>
      </w:pPr>
      <w:r>
        <w:rPr>
          <w:rFonts w:ascii="Arial" w:cs="Arial" w:eastAsia="Arial" w:hAnsi="Arial"/>
          <w:sz w:val="17"/>
          <w:szCs w:val="17"/>
          <w:color w:val="003551"/>
        </w:rPr>
        <w:t>The board may conduct general meetings in the manner that the board considers fit (including by also holding the meeting via an online platform or other electronic facility used to facilitate a general meeting) provided that:</w:t>
      </w:r>
    </w:p>
    <w:p>
      <w:pPr>
        <w:spacing w:after="0" w:line="54" w:lineRule="exact"/>
        <w:rPr>
          <w:rFonts w:ascii="Arial" w:cs="Arial" w:eastAsia="Arial" w:hAnsi="Arial"/>
          <w:sz w:val="17"/>
          <w:szCs w:val="17"/>
          <w:color w:val="003551"/>
        </w:rPr>
      </w:pPr>
    </w:p>
    <w:p>
      <w:pPr>
        <w:ind w:left="2320" w:hanging="335"/>
        <w:spacing w:after="0"/>
        <w:tabs>
          <w:tab w:leader="none" w:pos="2320" w:val="left"/>
        </w:tabs>
        <w:numPr>
          <w:ilvl w:val="2"/>
          <w:numId w:val="103"/>
        </w:numPr>
        <w:rPr>
          <w:rFonts w:ascii="Arial" w:cs="Arial" w:eastAsia="Arial" w:hAnsi="Arial"/>
          <w:sz w:val="17"/>
          <w:szCs w:val="17"/>
          <w:color w:val="003551"/>
        </w:rPr>
      </w:pPr>
      <w:r>
        <w:rPr>
          <w:rFonts w:ascii="Arial" w:cs="Arial" w:eastAsia="Arial" w:hAnsi="Arial"/>
          <w:sz w:val="17"/>
          <w:szCs w:val="17"/>
          <w:color w:val="003551"/>
        </w:rPr>
        <w:t>those entitled to do so to can participate in the meeting;</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119380</wp:posOffset>
            </wp:positionV>
            <wp:extent cx="6786880" cy="1651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320" w:right="719" w:hanging="335"/>
        <w:spacing w:after="0" w:line="262" w:lineRule="auto"/>
        <w:tabs>
          <w:tab w:leader="none" w:pos="2320" w:val="left"/>
        </w:tabs>
        <w:numPr>
          <w:ilvl w:val="0"/>
          <w:numId w:val="104"/>
        </w:numPr>
        <w:rPr>
          <w:rFonts w:ascii="Arial" w:cs="Arial" w:eastAsia="Arial" w:hAnsi="Arial"/>
          <w:sz w:val="17"/>
          <w:szCs w:val="17"/>
          <w:color w:val="003551"/>
        </w:rPr>
      </w:pPr>
      <w:r>
        <w:rPr>
          <w:rFonts w:ascii="Arial" w:cs="Arial" w:eastAsia="Arial" w:hAnsi="Arial"/>
          <w:sz w:val="17"/>
          <w:szCs w:val="17"/>
          <w:color w:val="003551"/>
        </w:rPr>
        <w:t>any technology used to enable members to participate in the meeting is reasonably secure and provides reasonable measures for the verification of members entitled to attend the meeting and for voting at the meeting; and</w:t>
      </w:r>
    </w:p>
    <w:p>
      <w:pPr>
        <w:spacing w:after="0" w:line="54" w:lineRule="exact"/>
        <w:rPr>
          <w:rFonts w:ascii="Arial" w:cs="Arial" w:eastAsia="Arial" w:hAnsi="Arial"/>
          <w:sz w:val="17"/>
          <w:szCs w:val="17"/>
          <w:color w:val="003551"/>
        </w:rPr>
      </w:pPr>
    </w:p>
    <w:p>
      <w:pPr>
        <w:ind w:left="2320" w:right="459" w:hanging="335"/>
        <w:spacing w:after="0" w:line="283" w:lineRule="auto"/>
        <w:tabs>
          <w:tab w:leader="none" w:pos="2320" w:val="left"/>
        </w:tabs>
        <w:numPr>
          <w:ilvl w:val="0"/>
          <w:numId w:val="104"/>
        </w:numPr>
        <w:rPr>
          <w:rFonts w:ascii="Arial" w:cs="Arial" w:eastAsia="Arial" w:hAnsi="Arial"/>
          <w:sz w:val="17"/>
          <w:szCs w:val="17"/>
          <w:color w:val="003551"/>
        </w:rPr>
      </w:pPr>
      <w:r>
        <w:rPr>
          <w:rFonts w:ascii="Arial" w:cs="Arial" w:eastAsia="Arial" w:hAnsi="Arial"/>
          <w:sz w:val="17"/>
          <w:szCs w:val="17"/>
          <w:color w:val="003551"/>
        </w:rPr>
        <w:t>the conduct of the meeting reasonably facilitates the participation of members in the meeting, including but not limited to the ability to ask questions and vote at the meeting.</w:t>
      </w:r>
    </w:p>
    <w:p>
      <w:pPr>
        <w:spacing w:after="0" w:line="37" w:lineRule="exact"/>
        <w:rPr>
          <w:sz w:val="20"/>
          <w:szCs w:val="20"/>
          <w:color w:val="auto"/>
        </w:rPr>
      </w:pPr>
    </w:p>
    <w:p>
      <w:pPr>
        <w:ind w:left="1640" w:right="879"/>
        <w:spacing w:after="0" w:line="283" w:lineRule="auto"/>
        <w:rPr>
          <w:sz w:val="20"/>
          <w:szCs w:val="20"/>
          <w:color w:val="auto"/>
        </w:rPr>
      </w:pPr>
      <w:r>
        <w:rPr>
          <w:rFonts w:ascii="Arial" w:cs="Arial" w:eastAsia="Arial" w:hAnsi="Arial"/>
          <w:sz w:val="17"/>
          <w:szCs w:val="17"/>
          <w:color w:val="003551"/>
        </w:rPr>
        <w:t xml:space="preserve">For the purposes of this </w:t>
      </w:r>
      <w:r>
        <w:rPr>
          <w:rFonts w:ascii="Arial" w:cs="Arial" w:eastAsia="Arial" w:hAnsi="Arial"/>
          <w:sz w:val="17"/>
          <w:szCs w:val="17"/>
          <w:u w:val="single" w:color="auto"/>
          <w:color w:val="003551"/>
        </w:rPr>
        <w:t>rule 8.1</w:t>
      </w:r>
      <w:r>
        <w:rPr>
          <w:rFonts w:ascii="Arial" w:cs="Arial" w:eastAsia="Arial" w:hAnsi="Arial"/>
          <w:sz w:val="17"/>
          <w:szCs w:val="17"/>
          <w:color w:val="003551"/>
        </w:rPr>
        <w:t>, the place of the general meeting will be the physical place where the chair of the meeting is located.</w:t>
      </w:r>
    </w:p>
    <w:p>
      <w:pPr>
        <w:spacing w:after="0" w:line="35"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8.2</w:t>
      </w:r>
      <w:r>
        <w:rPr>
          <w:sz w:val="20"/>
          <w:szCs w:val="20"/>
          <w:color w:val="auto"/>
        </w:rPr>
        <w:tab/>
      </w:r>
      <w:r>
        <w:rPr>
          <w:rFonts w:ascii="Arial" w:cs="Arial" w:eastAsia="Arial" w:hAnsi="Arial"/>
          <w:sz w:val="17"/>
          <w:szCs w:val="17"/>
          <w:b w:val="1"/>
          <w:bCs w:val="1"/>
          <w:color w:val="003551"/>
        </w:rPr>
        <w:t>Annual general meetings</w:t>
      </w:r>
    </w:p>
    <w:p>
      <w:pPr>
        <w:spacing w:after="0" w:line="108" w:lineRule="exact"/>
        <w:rPr>
          <w:sz w:val="20"/>
          <w:szCs w:val="20"/>
          <w:color w:val="auto"/>
        </w:rPr>
      </w:pPr>
    </w:p>
    <w:p>
      <w:pPr>
        <w:ind w:left="1640" w:right="539"/>
        <w:spacing w:after="0" w:line="283" w:lineRule="auto"/>
        <w:rPr>
          <w:sz w:val="20"/>
          <w:szCs w:val="20"/>
          <w:color w:val="auto"/>
        </w:rPr>
      </w:pPr>
      <w:r>
        <w:rPr>
          <w:rFonts w:ascii="Arial" w:cs="Arial" w:eastAsia="Arial" w:hAnsi="Arial"/>
          <w:sz w:val="17"/>
          <w:szCs w:val="17"/>
          <w:color w:val="003551"/>
        </w:rPr>
        <w:t xml:space="preserve">Annual general meetings of the company must be held in accordance with the Corporations Act </w:t>
      </w:r>
      <w:r>
        <w:rPr>
          <w:rFonts w:ascii="Arial" w:cs="Arial" w:eastAsia="Arial" w:hAnsi="Arial"/>
          <w:sz w:val="17"/>
          <w:szCs w:val="17"/>
          <w:color w:val="FF0000"/>
          <w:strike w:val="1"/>
        </w:rPr>
        <w:t>and</w:t>
      </w:r>
      <w:r>
        <w:rPr>
          <w:rFonts w:ascii="Arial" w:cs="Arial" w:eastAsia="Arial" w:hAnsi="Arial"/>
          <w:sz w:val="17"/>
          <w:szCs w:val="17"/>
          <w:u w:val="single" w:color="auto"/>
          <w:color w:val="0000FF"/>
        </w:rPr>
        <w:t>,</w:t>
      </w:r>
      <w:r>
        <w:rPr>
          <w:rFonts w:ascii="Arial" w:cs="Arial" w:eastAsia="Arial" w:hAnsi="Arial"/>
          <w:sz w:val="17"/>
          <w:szCs w:val="17"/>
          <w:color w:val="FF0000"/>
        </w:rPr>
        <w:t xml:space="preserve"> </w:t>
      </w:r>
      <w:r>
        <w:rPr>
          <w:rFonts w:ascii="Arial" w:cs="Arial" w:eastAsia="Arial" w:hAnsi="Arial"/>
          <w:sz w:val="17"/>
          <w:szCs w:val="17"/>
          <w:color w:val="000000"/>
        </w:rPr>
        <w:t>the Listing Rules</w:t>
      </w:r>
      <w:r>
        <w:rPr>
          <w:rFonts w:ascii="Arial" w:cs="Arial" w:eastAsia="Arial" w:hAnsi="Arial"/>
          <w:sz w:val="17"/>
          <w:szCs w:val="17"/>
          <w:color w:val="FF0000"/>
        </w:rPr>
        <w:t xml:space="preserve"> </w:t>
      </w:r>
      <w:r>
        <w:rPr>
          <w:rFonts w:ascii="Arial" w:cs="Arial" w:eastAsia="Arial" w:hAnsi="Arial"/>
          <w:sz w:val="17"/>
          <w:szCs w:val="17"/>
          <w:color w:val="0000FF"/>
        </w:rPr>
        <w:t>and the Securities Laws</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2100580</wp:posOffset>
            </wp:positionH>
            <wp:positionV relativeFrom="paragraph">
              <wp:posOffset>-31750</wp:posOffset>
            </wp:positionV>
            <wp:extent cx="121412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14120" cy="8255"/>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-48260</wp:posOffset>
            </wp:positionV>
            <wp:extent cx="120777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07770" cy="8255"/>
                    </a:xfrm>
                    <a:prstGeom prst="rect">
                      <a:avLst/>
                    </a:prstGeom>
                    <a:noFill/>
                  </pic:spPr>
                </pic:pic>
              </a:graphicData>
            </a:graphic>
          </wp:anchor>
        </w:drawing>
      </w:r>
    </w:p>
    <w:p>
      <w:pPr>
        <w:spacing w:after="0" w:line="15"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8.3</w:t>
      </w:r>
      <w:r>
        <w:rPr>
          <w:sz w:val="20"/>
          <w:szCs w:val="20"/>
          <w:color w:val="auto"/>
        </w:rPr>
        <w:tab/>
      </w:r>
      <w:r>
        <w:rPr>
          <w:rFonts w:ascii="Arial" w:cs="Arial" w:eastAsia="Arial" w:hAnsi="Arial"/>
          <w:sz w:val="17"/>
          <w:szCs w:val="17"/>
          <w:b w:val="1"/>
          <w:bCs w:val="1"/>
          <w:color w:val="003551"/>
        </w:rPr>
        <w:t>Convening a general meeting</w:t>
      </w:r>
    </w:p>
    <w:p>
      <w:pPr>
        <w:spacing w:after="0" w:line="108" w:lineRule="exact"/>
        <w:rPr>
          <w:sz w:val="20"/>
          <w:szCs w:val="20"/>
          <w:color w:val="auto"/>
        </w:rPr>
      </w:pPr>
    </w:p>
    <w:p>
      <w:pPr>
        <w:jc w:val="both"/>
        <w:ind w:left="1640" w:right="479"/>
        <w:spacing w:after="0" w:line="255" w:lineRule="auto"/>
        <w:rPr>
          <w:sz w:val="20"/>
          <w:szCs w:val="20"/>
          <w:color w:val="auto"/>
        </w:rPr>
      </w:pPr>
      <w:r>
        <w:rPr>
          <w:rFonts w:ascii="Arial" w:cs="Arial" w:eastAsia="Arial" w:hAnsi="Arial"/>
          <w:sz w:val="17"/>
          <w:szCs w:val="17"/>
          <w:color w:val="003551"/>
        </w:rPr>
        <w:t xml:space="preserve">The board may convene and arrange for a general meeting of the company to be held whenever the directors think fit and must do so if required to under the Corporations Act. No member may convene a general meeting except where permitted by the Corporations Act </w:t>
      </w:r>
      <w:r>
        <w:rPr>
          <w:rFonts w:ascii="Arial" w:cs="Arial" w:eastAsia="Arial" w:hAnsi="Arial"/>
          <w:sz w:val="17"/>
          <w:szCs w:val="17"/>
          <w:color w:val="FF0000"/>
        </w:rPr>
        <w:t>or</w:t>
      </w:r>
      <w:r>
        <w:rPr>
          <w:rFonts w:ascii="Arial" w:cs="Arial" w:eastAsia="Arial" w:hAnsi="Arial"/>
          <w:sz w:val="17"/>
          <w:szCs w:val="17"/>
          <w:u w:val="single" w:color="auto"/>
          <w:color w:val="0000FF"/>
        </w:rPr>
        <w:t>,</w:t>
      </w:r>
      <w:r>
        <w:rPr>
          <w:rFonts w:ascii="Arial" w:cs="Arial" w:eastAsia="Arial" w:hAnsi="Arial"/>
          <w:sz w:val="17"/>
          <w:szCs w:val="17"/>
          <w:color w:val="003551"/>
        </w:rPr>
        <w:t xml:space="preserve"> </w:t>
      </w:r>
      <w:r>
        <w:rPr>
          <w:rFonts w:ascii="Arial" w:cs="Arial" w:eastAsia="Arial" w:hAnsi="Arial"/>
          <w:sz w:val="17"/>
          <w:szCs w:val="17"/>
          <w:color w:val="000000"/>
        </w:rPr>
        <w:t>the Listing Rules</w:t>
      </w:r>
      <w:r>
        <w:rPr>
          <w:rFonts w:ascii="Arial" w:cs="Arial" w:eastAsia="Arial" w:hAnsi="Arial"/>
          <w:sz w:val="17"/>
          <w:szCs w:val="17"/>
          <w:color w:val="003551"/>
        </w:rPr>
        <w:t xml:space="preserve"> </w:t>
      </w:r>
      <w:r>
        <w:rPr>
          <w:rFonts w:ascii="Arial" w:cs="Arial" w:eastAsia="Arial" w:hAnsi="Arial"/>
          <w:sz w:val="17"/>
          <w:szCs w:val="17"/>
          <w:u w:val="single" w:color="auto"/>
          <w:color w:val="0000FF"/>
        </w:rPr>
        <w:t>or the Securities Laws</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4748530</wp:posOffset>
            </wp:positionH>
            <wp:positionV relativeFrom="paragraph">
              <wp:posOffset>-208280</wp:posOffset>
            </wp:positionV>
            <wp:extent cx="12954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9540" cy="8255"/>
                    </a:xfrm>
                    <a:prstGeom prst="rect">
                      <a:avLst/>
                    </a:prstGeom>
                    <a:noFill/>
                  </pic:spPr>
                </pic:pic>
              </a:graphicData>
            </a:graphic>
          </wp:anchor>
        </w:drawing>
      </w:r>
    </w:p>
    <w:p>
      <w:pPr>
        <w:spacing w:after="0" w:line="38"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8.4</w:t>
      </w:r>
      <w:r>
        <w:rPr>
          <w:sz w:val="20"/>
          <w:szCs w:val="20"/>
          <w:color w:val="auto"/>
        </w:rPr>
        <w:tab/>
      </w:r>
      <w:r>
        <w:rPr>
          <w:rFonts w:ascii="Arial" w:cs="Arial" w:eastAsia="Arial" w:hAnsi="Arial"/>
          <w:sz w:val="17"/>
          <w:szCs w:val="17"/>
          <w:b w:val="1"/>
          <w:bCs w:val="1"/>
          <w:color w:val="003551"/>
        </w:rPr>
        <w:t>Length, form and content of notice</w:t>
      </w:r>
    </w:p>
    <w:p>
      <w:pPr>
        <w:spacing w:after="0" w:line="108" w:lineRule="exact"/>
        <w:rPr>
          <w:sz w:val="20"/>
          <w:szCs w:val="20"/>
          <w:color w:val="auto"/>
        </w:rPr>
      </w:pPr>
    </w:p>
    <w:p>
      <w:pPr>
        <w:ind w:left="1640" w:right="619"/>
        <w:spacing w:after="0" w:line="251" w:lineRule="auto"/>
        <w:rPr>
          <w:sz w:val="20"/>
          <w:szCs w:val="20"/>
          <w:color w:val="auto"/>
        </w:rPr>
      </w:pPr>
      <w:r>
        <w:rPr>
          <w:rFonts w:ascii="Arial" w:cs="Arial" w:eastAsia="Arial" w:hAnsi="Arial"/>
          <w:sz w:val="17"/>
          <w:szCs w:val="17"/>
          <w:color w:val="003551"/>
        </w:rPr>
        <w:t>Notice of a general meeting must be given in accordance with the requirements of the Corporations Act and this constitution and otherwise in such form and manner as the directors think fit. In calculating the number of days’ notice required to be given for any general meeting, both the day on which the notice is given or taken to be given and the day of the meeting convened by it are to be disregarded.</w:t>
      </w:r>
    </w:p>
    <w:p>
      <w:pPr>
        <w:spacing w:after="0" w:line="63"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8.5</w:t>
      </w:r>
      <w:r>
        <w:rPr>
          <w:sz w:val="20"/>
          <w:szCs w:val="20"/>
          <w:color w:val="auto"/>
        </w:rPr>
        <w:tab/>
      </w:r>
      <w:r>
        <w:rPr>
          <w:rFonts w:ascii="Arial" w:cs="Arial" w:eastAsia="Arial" w:hAnsi="Arial"/>
          <w:sz w:val="17"/>
          <w:szCs w:val="17"/>
          <w:b w:val="1"/>
          <w:bCs w:val="1"/>
          <w:color w:val="003551"/>
        </w:rPr>
        <w:t>Persons to whom notice must be given</w:t>
      </w:r>
    </w:p>
    <w:p>
      <w:pPr>
        <w:spacing w:after="0" w:line="108" w:lineRule="exact"/>
        <w:rPr>
          <w:sz w:val="20"/>
          <w:szCs w:val="20"/>
          <w:color w:val="auto"/>
        </w:rPr>
      </w:pPr>
    </w:p>
    <w:p>
      <w:pPr>
        <w:ind w:left="1640" w:right="479"/>
        <w:spacing w:after="0" w:line="249" w:lineRule="auto"/>
        <w:rPr>
          <w:sz w:val="20"/>
          <w:szCs w:val="20"/>
          <w:color w:val="auto"/>
        </w:rPr>
      </w:pPr>
      <w:r>
        <w:rPr>
          <w:rFonts w:ascii="Arial" w:cs="Arial" w:eastAsia="Arial" w:hAnsi="Arial"/>
          <w:sz w:val="17"/>
          <w:szCs w:val="17"/>
          <w:color w:val="003551"/>
        </w:rPr>
        <w:t>Notice of a general meeting must be given to each person who, at the time that the notice is given, is a member registered in the Register, director or auditor of the company or is entitled to attend and vote at the general meeting as a result of a Transmission Event, unless that person waives the right to receive notice by written notice to the company, and while the company is listed on an Exchange, notice must be given to the Exchange within the time limits prescribed by the Listing Rules.</w:t>
      </w:r>
    </w:p>
    <w:p>
      <w:pPr>
        <w:spacing w:after="0" w:line="65"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8.6</w:t>
      </w:r>
      <w:r>
        <w:rPr>
          <w:sz w:val="20"/>
          <w:szCs w:val="20"/>
          <w:color w:val="auto"/>
        </w:rPr>
        <w:tab/>
      </w:r>
      <w:r>
        <w:rPr>
          <w:rFonts w:ascii="Arial" w:cs="Arial" w:eastAsia="Arial" w:hAnsi="Arial"/>
          <w:sz w:val="17"/>
          <w:szCs w:val="17"/>
          <w:b w:val="1"/>
          <w:bCs w:val="1"/>
          <w:color w:val="003551"/>
        </w:rPr>
        <w:t>Irregularities in giving notice</w:t>
      </w:r>
    </w:p>
    <w:p>
      <w:pPr>
        <w:spacing w:after="0" w:line="108" w:lineRule="exact"/>
        <w:rPr>
          <w:sz w:val="20"/>
          <w:szCs w:val="20"/>
          <w:color w:val="auto"/>
        </w:rPr>
      </w:pPr>
    </w:p>
    <w:p>
      <w:pPr>
        <w:ind w:left="1640" w:right="379"/>
        <w:spacing w:after="0" w:line="249" w:lineRule="auto"/>
        <w:rPr>
          <w:sz w:val="20"/>
          <w:szCs w:val="20"/>
          <w:color w:val="auto"/>
        </w:rPr>
      </w:pPr>
      <w:r>
        <w:rPr>
          <w:rFonts w:ascii="Arial" w:cs="Arial" w:eastAsia="Arial" w:hAnsi="Arial"/>
          <w:sz w:val="17"/>
          <w:szCs w:val="17"/>
          <w:color w:val="003551"/>
        </w:rPr>
        <w:t>A person who attends any general meeting waives any objection that the person may have to any failure to give notice or any other irregularity in the notice of that meeting unless that person objects to the holding of the meeting at the start of the meeting. The accidental failure to give notice of a general meeting to, or the non-receipt of notice by, any person entitled to receive notice of that meeting does not invalidate the proceedings at that meeting or any resolution passed at that meeting.</w:t>
      </w:r>
    </w:p>
    <w:p>
      <w:pPr>
        <w:spacing w:after="0" w:line="65"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8.7</w:t>
      </w:r>
      <w:r>
        <w:rPr>
          <w:sz w:val="20"/>
          <w:szCs w:val="20"/>
          <w:color w:val="auto"/>
        </w:rPr>
        <w:tab/>
      </w:r>
      <w:r>
        <w:rPr>
          <w:rFonts w:ascii="Arial" w:cs="Arial" w:eastAsia="Arial" w:hAnsi="Arial"/>
          <w:sz w:val="17"/>
          <w:szCs w:val="17"/>
          <w:b w:val="1"/>
          <w:bCs w:val="1"/>
          <w:color w:val="003551"/>
        </w:rPr>
        <w:t>Change of place, postponement or cancellation before date of meeting</w:t>
      </w:r>
    </w:p>
    <w:p>
      <w:pPr>
        <w:spacing w:after="0" w:line="108" w:lineRule="exact"/>
        <w:rPr>
          <w:sz w:val="20"/>
          <w:szCs w:val="20"/>
          <w:color w:val="auto"/>
        </w:rPr>
      </w:pPr>
    </w:p>
    <w:p>
      <w:pPr>
        <w:ind w:left="1640" w:right="539"/>
        <w:spacing w:after="0" w:line="249" w:lineRule="auto"/>
        <w:rPr>
          <w:sz w:val="20"/>
          <w:szCs w:val="20"/>
          <w:color w:val="auto"/>
        </w:rPr>
      </w:pPr>
      <w:r>
        <w:rPr>
          <w:rFonts w:ascii="Arial" w:cs="Arial" w:eastAsia="Arial" w:hAnsi="Arial"/>
          <w:sz w:val="17"/>
          <w:szCs w:val="17"/>
          <w:color w:val="003551"/>
        </w:rPr>
        <w:t xml:space="preserve">Subject to </w:t>
      </w:r>
      <w:r>
        <w:rPr>
          <w:rFonts w:ascii="Arial" w:cs="Arial" w:eastAsia="Arial" w:hAnsi="Arial"/>
          <w:sz w:val="17"/>
          <w:szCs w:val="17"/>
          <w:u w:val="single" w:color="auto"/>
          <w:color w:val="003551"/>
        </w:rPr>
        <w:t>rule</w:t>
      </w:r>
      <w:r>
        <w:rPr>
          <w:rFonts w:ascii="Arial" w:cs="Arial" w:eastAsia="Arial" w:hAnsi="Arial"/>
          <w:sz w:val="17"/>
          <w:szCs w:val="17"/>
          <w:color w:val="003551"/>
        </w:rPr>
        <w:t xml:space="preserve"> 8‎.8, the Corporations Act </w:t>
      </w:r>
      <w:r>
        <w:rPr>
          <w:rFonts w:ascii="Arial" w:cs="Arial" w:eastAsia="Arial" w:hAnsi="Arial"/>
          <w:sz w:val="17"/>
          <w:szCs w:val="17"/>
          <w:color w:val="FF0000"/>
        </w:rPr>
        <w:t>and</w:t>
      </w:r>
      <w:r>
        <w:rPr>
          <w:rFonts w:ascii="Arial" w:cs="Arial" w:eastAsia="Arial" w:hAnsi="Arial"/>
          <w:sz w:val="17"/>
          <w:szCs w:val="17"/>
          <w:u w:val="single" w:color="auto"/>
          <w:color w:val="0000FF"/>
        </w:rPr>
        <w:t>,</w:t>
      </w:r>
      <w:r>
        <w:rPr>
          <w:rFonts w:ascii="Arial" w:cs="Arial" w:eastAsia="Arial" w:hAnsi="Arial"/>
          <w:sz w:val="17"/>
          <w:szCs w:val="17"/>
          <w:color w:val="003551"/>
        </w:rPr>
        <w:t xml:space="preserve"> </w:t>
      </w:r>
      <w:r>
        <w:rPr>
          <w:rFonts w:ascii="Arial" w:cs="Arial" w:eastAsia="Arial" w:hAnsi="Arial"/>
          <w:sz w:val="17"/>
          <w:szCs w:val="17"/>
          <w:color w:val="000000"/>
        </w:rPr>
        <w:t>the Listing Rules</w:t>
      </w:r>
      <w:r>
        <w:rPr>
          <w:rFonts w:ascii="Arial" w:cs="Arial" w:eastAsia="Arial" w:hAnsi="Arial"/>
          <w:sz w:val="17"/>
          <w:szCs w:val="17"/>
          <w:color w:val="003551"/>
        </w:rPr>
        <w:t xml:space="preserve"> </w:t>
      </w:r>
      <w:r>
        <w:rPr>
          <w:rFonts w:ascii="Arial" w:cs="Arial" w:eastAsia="Arial" w:hAnsi="Arial"/>
          <w:sz w:val="17"/>
          <w:szCs w:val="17"/>
          <w:u w:val="single" w:color="auto"/>
          <w:color w:val="0000FF"/>
        </w:rPr>
        <w:t>and the Securities Laws</w:t>
      </w:r>
      <w:r>
        <w:rPr>
          <w:rFonts w:ascii="Arial" w:cs="Arial" w:eastAsia="Arial" w:hAnsi="Arial"/>
          <w:sz w:val="17"/>
          <w:szCs w:val="17"/>
          <w:color w:val="000000"/>
        </w:rPr>
        <w:t>, the</w:t>
      </w:r>
      <w:r>
        <w:rPr>
          <w:rFonts w:ascii="Arial" w:cs="Arial" w:eastAsia="Arial" w:hAnsi="Arial"/>
          <w:sz w:val="17"/>
          <w:szCs w:val="17"/>
          <w:color w:val="003551"/>
        </w:rPr>
        <w:t xml:space="preserve"> </w:t>
      </w:r>
      <w:r>
        <w:rPr>
          <w:rFonts w:ascii="Arial" w:cs="Arial" w:eastAsia="Arial" w:hAnsi="Arial"/>
          <w:sz w:val="17"/>
          <w:szCs w:val="17"/>
          <w:color w:val="000000"/>
        </w:rPr>
        <w:t xml:space="preserve">board may change the place or places for, postpone or cancel (or may change the place or places for and postpone) a general meeting at any time before the date on which the meeting is due to be held by publishing in a daily newspaper circulating in Australia, or subject to the Corporations Act </w:t>
      </w:r>
      <w:r>
        <w:rPr>
          <w:rFonts w:ascii="Arial" w:cs="Arial" w:eastAsia="Arial" w:hAnsi="Arial"/>
          <w:sz w:val="17"/>
          <w:szCs w:val="17"/>
          <w:color w:val="FF0000"/>
        </w:rPr>
        <w:t>and</w:t>
      </w:r>
      <w:r>
        <w:rPr>
          <w:rFonts w:ascii="Arial" w:cs="Arial" w:eastAsia="Arial" w:hAnsi="Arial"/>
          <w:sz w:val="17"/>
          <w:szCs w:val="17"/>
          <w:u w:val="single" w:color="auto"/>
          <w:color w:val="0000FF"/>
        </w:rPr>
        <w:t>,</w:t>
      </w:r>
      <w:r>
        <w:rPr>
          <w:rFonts w:ascii="Arial" w:cs="Arial" w:eastAsia="Arial" w:hAnsi="Arial"/>
          <w:sz w:val="17"/>
          <w:szCs w:val="17"/>
          <w:color w:val="000000"/>
        </w:rPr>
        <w:t xml:space="preserve"> the Listing Rules </w:t>
      </w:r>
      <w:r>
        <w:rPr>
          <w:rFonts w:ascii="Arial" w:cs="Arial" w:eastAsia="Arial" w:hAnsi="Arial"/>
          <w:sz w:val="17"/>
          <w:szCs w:val="17"/>
          <w:color w:val="0000FF"/>
        </w:rPr>
        <w:t>and the Securities Laws</w:t>
      </w:r>
      <w:r>
        <w:rPr>
          <w:rFonts w:ascii="Arial" w:cs="Arial" w:eastAsia="Arial" w:hAnsi="Arial"/>
          <w:sz w:val="17"/>
          <w:szCs w:val="17"/>
          <w:color w:val="000000"/>
        </w:rPr>
        <w:t>, making available in any other manner as the board thinks fit the following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-702945</wp:posOffset>
            </wp:positionV>
            <wp:extent cx="21590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15900" cy="8255"/>
                    </a:xfrm>
                    <a:prstGeom prst="rect">
                      <a:avLst/>
                    </a:prstGeom>
                    <a:noFill/>
                  </pic:spPr>
                </pic:pic>
              </a:graphicData>
            </a:graphic>
          </wp:anchor>
        </w:drawing>
        <w:drawing>
          <wp:anchor simplePos="0" relativeHeight="251657728" behindDoc="1" locked="0" layoutInCell="0" allowOverlap="1">
            <wp:simplePos x="0" y="0"/>
            <wp:positionH relativeFrom="column">
              <wp:posOffset>4100830</wp:posOffset>
            </wp:positionH>
            <wp:positionV relativeFrom="paragraph">
              <wp:posOffset>-653415</wp:posOffset>
            </wp:positionV>
            <wp:extent cx="120777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07770" cy="8255"/>
                    </a:xfrm>
                    <a:prstGeom prst="rect">
                      <a:avLst/>
                    </a:prstGeom>
                    <a:noFill/>
                  </pic:spPr>
                </pic:pic>
              </a:graphicData>
            </a:graphic>
          </wp:anchor>
        </w:drawing>
        <w:drawing>
          <wp:anchor simplePos="0" relativeHeight="251657728" behindDoc="1" locked="0" layoutInCell="0" allowOverlap="1">
            <wp:simplePos x="0" y="0"/>
            <wp:positionH relativeFrom="column">
              <wp:posOffset>1864360</wp:posOffset>
            </wp:positionH>
            <wp:positionV relativeFrom="paragraph">
              <wp:posOffset>-203835</wp:posOffset>
            </wp:positionV>
            <wp:extent cx="21590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15900" cy="8255"/>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-137795</wp:posOffset>
            </wp:positionV>
            <wp:extent cx="121412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14120" cy="8255"/>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-154305</wp:posOffset>
            </wp:positionV>
            <wp:extent cx="120777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07770" cy="8255"/>
                    </a:xfrm>
                    <a:prstGeom prst="rect">
                      <a:avLst/>
                    </a:prstGeom>
                    <a:noFill/>
                  </pic:spPr>
                </pic:pic>
              </a:graphicData>
            </a:graphic>
          </wp:anchor>
        </w:drawing>
      </w:r>
    </w:p>
    <w:p>
      <w:pPr>
        <w:spacing w:after="0" w:line="47" w:lineRule="exact"/>
        <w:rPr>
          <w:sz w:val="20"/>
          <w:szCs w:val="20"/>
          <w:color w:val="auto"/>
        </w:rPr>
      </w:pPr>
    </w:p>
    <w:p>
      <w:pPr>
        <w:ind w:left="2320" w:right="879" w:hanging="335"/>
        <w:spacing w:after="0" w:line="283" w:lineRule="auto"/>
        <w:tabs>
          <w:tab w:leader="none" w:pos="2320" w:val="left"/>
        </w:tabs>
        <w:numPr>
          <w:ilvl w:val="0"/>
          <w:numId w:val="105"/>
        </w:numPr>
        <w:rPr>
          <w:rFonts w:ascii="Arial" w:cs="Arial" w:eastAsia="Arial" w:hAnsi="Arial"/>
          <w:sz w:val="17"/>
          <w:szCs w:val="17"/>
          <w:color w:val="003551"/>
        </w:rPr>
      </w:pPr>
      <w:r>
        <w:rPr>
          <w:rFonts w:ascii="Arial" w:cs="Arial" w:eastAsia="Arial" w:hAnsi="Arial"/>
          <w:sz w:val="17"/>
          <w:szCs w:val="17"/>
          <w:color w:val="003551"/>
        </w:rPr>
        <w:t>the reason for the change of place or places, postponement or cancellation (or the change of place or places and postponement);</w:t>
      </w:r>
    </w:p>
    <w:p>
      <w:pPr>
        <w:spacing w:after="0" w:line="142"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119380</wp:posOffset>
            </wp:positionV>
            <wp:extent cx="6786880" cy="1651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320" w:right="559" w:hanging="335"/>
        <w:spacing w:after="0" w:line="262" w:lineRule="auto"/>
        <w:tabs>
          <w:tab w:leader="none" w:pos="2320" w:val="left"/>
        </w:tabs>
        <w:numPr>
          <w:ilvl w:val="0"/>
          <w:numId w:val="106"/>
        </w:numPr>
        <w:rPr>
          <w:rFonts w:ascii="Arial" w:cs="Arial" w:eastAsia="Arial" w:hAnsi="Arial"/>
          <w:sz w:val="17"/>
          <w:szCs w:val="17"/>
          <w:color w:val="003551"/>
        </w:rPr>
      </w:pPr>
      <w:r>
        <w:rPr>
          <w:rFonts w:ascii="Arial" w:cs="Arial" w:eastAsia="Arial" w:hAnsi="Arial"/>
          <w:sz w:val="17"/>
          <w:szCs w:val="17"/>
          <w:color w:val="003551"/>
        </w:rPr>
        <w:t>if the place or places for the meeting is being changed, the new place or places for the holding of the meeting and, if the meeting is to be held in two or more places, the technology that will be used to facilitate the holding of the meeting in that manner; and</w:t>
      </w:r>
    </w:p>
    <w:p>
      <w:pPr>
        <w:spacing w:after="0" w:line="54" w:lineRule="exact"/>
        <w:rPr>
          <w:rFonts w:ascii="Arial" w:cs="Arial" w:eastAsia="Arial" w:hAnsi="Arial"/>
          <w:sz w:val="17"/>
          <w:szCs w:val="17"/>
          <w:color w:val="003551"/>
        </w:rPr>
      </w:pPr>
    </w:p>
    <w:p>
      <w:pPr>
        <w:ind w:left="2320" w:hanging="335"/>
        <w:spacing w:after="0"/>
        <w:tabs>
          <w:tab w:leader="none" w:pos="2320" w:val="left"/>
        </w:tabs>
        <w:numPr>
          <w:ilvl w:val="0"/>
          <w:numId w:val="106"/>
        </w:numPr>
        <w:rPr>
          <w:rFonts w:ascii="Arial" w:cs="Arial" w:eastAsia="Arial" w:hAnsi="Arial"/>
          <w:sz w:val="17"/>
          <w:szCs w:val="17"/>
          <w:color w:val="003551"/>
        </w:rPr>
      </w:pPr>
      <w:r>
        <w:rPr>
          <w:rFonts w:ascii="Arial" w:cs="Arial" w:eastAsia="Arial" w:hAnsi="Arial"/>
          <w:sz w:val="17"/>
          <w:szCs w:val="17"/>
          <w:color w:val="003551"/>
        </w:rPr>
        <w:t>if the meeting is being postponed, the new date and time for the holding of the meeting.</w:t>
      </w:r>
    </w:p>
    <w:p>
      <w:pPr>
        <w:spacing w:after="0" w:line="103" w:lineRule="exact"/>
        <w:rPr>
          <w:rFonts w:ascii="Arial" w:cs="Arial" w:eastAsia="Arial" w:hAnsi="Arial"/>
          <w:sz w:val="17"/>
          <w:szCs w:val="17"/>
          <w:color w:val="003551"/>
        </w:rPr>
      </w:pPr>
    </w:p>
    <w:p>
      <w:pPr>
        <w:ind w:left="940"/>
        <w:spacing w:after="0"/>
        <w:rPr>
          <w:rFonts w:ascii="Arial" w:cs="Arial" w:eastAsia="Arial" w:hAnsi="Arial"/>
          <w:sz w:val="17"/>
          <w:szCs w:val="17"/>
          <w:color w:val="003551"/>
        </w:rPr>
      </w:pPr>
      <w:r>
        <w:rPr>
          <w:rFonts w:ascii="Arial" w:cs="Arial" w:eastAsia="Arial" w:hAnsi="Arial"/>
          <w:sz w:val="17"/>
          <w:szCs w:val="17"/>
          <w:b w:val="1"/>
          <w:bCs w:val="1"/>
          <w:color w:val="003551"/>
        </w:rPr>
        <w:t>8.8Consent required for postponement or cancellation</w:t>
      </w:r>
    </w:p>
    <w:p>
      <w:pPr>
        <w:spacing w:after="0" w:line="134"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 xml:space="preserve">Neither rule 8‎.7 nor </w:t>
      </w:r>
      <w:r>
        <w:rPr>
          <w:rFonts w:ascii="Arial" w:cs="Arial" w:eastAsia="Arial" w:hAnsi="Arial"/>
          <w:sz w:val="17"/>
          <w:szCs w:val="17"/>
          <w:u w:val="single" w:color="auto"/>
          <w:color w:val="003551"/>
        </w:rPr>
        <w:t>rule 9.6</w:t>
      </w:r>
      <w:r>
        <w:rPr>
          <w:rFonts w:ascii="Arial" w:cs="Arial" w:eastAsia="Arial" w:hAnsi="Arial"/>
          <w:sz w:val="17"/>
          <w:szCs w:val="17"/>
          <w:color w:val="003551"/>
        </w:rPr>
        <w:t xml:space="preserve"> permits the board to postpone or cancel a meeting convened: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1426845</wp:posOffset>
            </wp:positionH>
            <wp:positionV relativeFrom="paragraph">
              <wp:posOffset>-4445</wp:posOffset>
            </wp:positionV>
            <wp:extent cx="36957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69570" cy="8255"/>
                    </a:xfrm>
                    <a:prstGeom prst="rect">
                      <a:avLst/>
                    </a:prstGeom>
                    <a:noFill/>
                  </pic:spPr>
                </pic:pic>
              </a:graphicData>
            </a:graphic>
          </wp:anchor>
        </w:drawing>
      </w:r>
    </w:p>
    <w:p>
      <w:pPr>
        <w:spacing w:after="0" w:line="86" w:lineRule="exact"/>
        <w:rPr>
          <w:sz w:val="20"/>
          <w:szCs w:val="20"/>
          <w:color w:val="auto"/>
        </w:rPr>
      </w:pPr>
    </w:p>
    <w:p>
      <w:pPr>
        <w:ind w:left="2320" w:right="539" w:hanging="335"/>
        <w:spacing w:after="0" w:line="283" w:lineRule="auto"/>
        <w:tabs>
          <w:tab w:leader="none" w:pos="2320" w:val="left"/>
        </w:tabs>
        <w:numPr>
          <w:ilvl w:val="0"/>
          <w:numId w:val="107"/>
        </w:numPr>
        <w:rPr>
          <w:rFonts w:ascii="Arial" w:cs="Arial" w:eastAsia="Arial" w:hAnsi="Arial"/>
          <w:sz w:val="17"/>
          <w:szCs w:val="17"/>
          <w:color w:val="003551"/>
        </w:rPr>
      </w:pPr>
      <w:r>
        <w:rPr>
          <w:rFonts w:ascii="Arial" w:cs="Arial" w:eastAsia="Arial" w:hAnsi="Arial"/>
          <w:sz w:val="17"/>
          <w:szCs w:val="17"/>
          <w:color w:val="003551"/>
        </w:rPr>
        <w:t>in accordance with the Corporations Act by members or by the board on the request of members; or</w:t>
      </w:r>
    </w:p>
    <w:p>
      <w:pPr>
        <w:spacing w:after="0" w:line="36" w:lineRule="exact"/>
        <w:rPr>
          <w:rFonts w:ascii="Arial" w:cs="Arial" w:eastAsia="Arial" w:hAnsi="Arial"/>
          <w:sz w:val="17"/>
          <w:szCs w:val="17"/>
          <w:color w:val="003551"/>
        </w:rPr>
      </w:pPr>
    </w:p>
    <w:p>
      <w:pPr>
        <w:ind w:left="2320" w:hanging="335"/>
        <w:spacing w:after="0"/>
        <w:tabs>
          <w:tab w:leader="none" w:pos="2320" w:val="left"/>
        </w:tabs>
        <w:numPr>
          <w:ilvl w:val="0"/>
          <w:numId w:val="107"/>
        </w:numPr>
        <w:rPr>
          <w:rFonts w:ascii="Arial" w:cs="Arial" w:eastAsia="Arial" w:hAnsi="Arial"/>
          <w:sz w:val="17"/>
          <w:szCs w:val="17"/>
          <w:color w:val="003551"/>
        </w:rPr>
      </w:pPr>
      <w:r>
        <w:rPr>
          <w:rFonts w:ascii="Arial" w:cs="Arial" w:eastAsia="Arial" w:hAnsi="Arial"/>
          <w:sz w:val="17"/>
          <w:szCs w:val="17"/>
          <w:color w:val="003551"/>
        </w:rPr>
        <w:t>by a court,</w:t>
      </w:r>
    </w:p>
    <w:p>
      <w:pPr>
        <w:spacing w:after="0" w:line="106" w:lineRule="exact"/>
        <w:rPr>
          <w:sz w:val="20"/>
          <w:szCs w:val="20"/>
          <w:color w:val="auto"/>
        </w:rPr>
      </w:pPr>
    </w:p>
    <w:p>
      <w:pPr>
        <w:ind w:left="1640" w:right="519"/>
        <w:spacing w:after="0" w:line="283" w:lineRule="auto"/>
        <w:rPr>
          <w:sz w:val="20"/>
          <w:szCs w:val="20"/>
          <w:color w:val="auto"/>
        </w:rPr>
      </w:pPr>
      <w:r>
        <w:rPr>
          <w:rFonts w:ascii="Arial" w:cs="Arial" w:eastAsia="Arial" w:hAnsi="Arial"/>
          <w:sz w:val="17"/>
          <w:szCs w:val="17"/>
          <w:color w:val="003551"/>
        </w:rPr>
        <w:t>unless those members or the court, as the case may be, has or have consented in writing to the postponement or cancellation.</w:t>
      </w:r>
    </w:p>
    <w:p>
      <w:pPr>
        <w:spacing w:after="0" w:line="35"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8.9</w:t>
      </w:r>
      <w:r>
        <w:rPr>
          <w:sz w:val="20"/>
          <w:szCs w:val="20"/>
          <w:color w:val="auto"/>
        </w:rPr>
        <w:tab/>
      </w:r>
      <w:r>
        <w:rPr>
          <w:rFonts w:ascii="Arial" w:cs="Arial" w:eastAsia="Arial" w:hAnsi="Arial"/>
          <w:sz w:val="17"/>
          <w:szCs w:val="17"/>
          <w:b w:val="1"/>
          <w:bCs w:val="1"/>
          <w:color w:val="003551"/>
        </w:rPr>
        <w:t>Business at a general meeting</w:t>
      </w:r>
    </w:p>
    <w:p>
      <w:pPr>
        <w:spacing w:after="0" w:line="108" w:lineRule="exact"/>
        <w:rPr>
          <w:sz w:val="20"/>
          <w:szCs w:val="20"/>
          <w:color w:val="auto"/>
        </w:rPr>
      </w:pPr>
    </w:p>
    <w:p>
      <w:pPr>
        <w:ind w:left="1640" w:right="619"/>
        <w:spacing w:after="0" w:line="262" w:lineRule="auto"/>
        <w:rPr>
          <w:sz w:val="20"/>
          <w:szCs w:val="20"/>
          <w:color w:val="auto"/>
        </w:rPr>
      </w:pPr>
      <w:r>
        <w:rPr>
          <w:rFonts w:ascii="Arial" w:cs="Arial" w:eastAsia="Arial" w:hAnsi="Arial"/>
          <w:sz w:val="17"/>
          <w:szCs w:val="17"/>
          <w:color w:val="003551"/>
        </w:rPr>
        <w:t xml:space="preserve">Unless the Corporations Act provides otherwise, the only business that may be transacted at a general meeting, including a postponed meeting, is the </w:t>
      </w:r>
      <w:r>
        <w:rPr>
          <w:rFonts w:ascii="Arial" w:cs="Arial" w:eastAsia="Arial" w:hAnsi="Arial"/>
          <w:sz w:val="17"/>
          <w:szCs w:val="17"/>
          <w:u w:val="single" w:color="auto"/>
          <w:color w:val="0000FF"/>
        </w:rPr>
        <w:t>election of directors and any other</w:t>
      </w:r>
      <w:r>
        <w:rPr>
          <w:rFonts w:ascii="Arial" w:cs="Arial" w:eastAsia="Arial" w:hAnsi="Arial"/>
          <w:sz w:val="17"/>
          <w:szCs w:val="17"/>
          <w:color w:val="003551"/>
        </w:rPr>
        <w:t xml:space="preserve"> </w:t>
      </w:r>
      <w:r>
        <w:rPr>
          <w:rFonts w:ascii="Arial" w:cs="Arial" w:eastAsia="Arial" w:hAnsi="Arial"/>
          <w:sz w:val="17"/>
          <w:szCs w:val="17"/>
          <w:color w:val="000000"/>
        </w:rPr>
        <w:t>business the general nature of which is specified in the original notice calling the meeting.</w:t>
      </w:r>
    </w:p>
    <w:p>
      <w:pPr>
        <w:spacing w:after="0" w:line="52" w:lineRule="exact"/>
        <w:rPr>
          <w:sz w:val="20"/>
          <w:szCs w:val="20"/>
          <w:color w:val="auto"/>
        </w:rPr>
      </w:pPr>
    </w:p>
    <w:p>
      <w:pPr>
        <w:ind w:left="1640" w:hanging="703"/>
        <w:spacing w:after="0"/>
        <w:tabs>
          <w:tab w:leader="none" w:pos="1640" w:val="left"/>
        </w:tabs>
        <w:numPr>
          <w:ilvl w:val="0"/>
          <w:numId w:val="108"/>
        </w:numPr>
        <w:rPr>
          <w:rFonts w:ascii="Arial" w:cs="Arial" w:eastAsia="Arial" w:hAnsi="Arial"/>
          <w:sz w:val="17"/>
          <w:szCs w:val="17"/>
          <w:b w:val="1"/>
          <w:bCs w:val="1"/>
          <w:color w:val="003551"/>
        </w:rPr>
      </w:pPr>
      <w:r>
        <w:rPr>
          <w:rFonts w:ascii="Arial" w:cs="Arial" w:eastAsia="Arial" w:hAnsi="Arial"/>
          <w:sz w:val="17"/>
          <w:szCs w:val="17"/>
          <w:b w:val="1"/>
          <w:bCs w:val="1"/>
          <w:color w:val="003551"/>
        </w:rPr>
        <w:t>PROCEEDINGS AT GENERAL MEETINGS</w:t>
      </w:r>
    </w:p>
    <w:p>
      <w:pPr>
        <w:spacing w:after="0" w:line="105" w:lineRule="exact"/>
        <w:rPr>
          <w:rFonts w:ascii="Arial" w:cs="Arial" w:eastAsia="Arial" w:hAnsi="Arial"/>
          <w:sz w:val="17"/>
          <w:szCs w:val="17"/>
          <w:b w:val="1"/>
          <w:bCs w:val="1"/>
          <w:color w:val="003551"/>
        </w:rPr>
      </w:pPr>
    </w:p>
    <w:p>
      <w:pPr>
        <w:ind w:left="940"/>
        <w:spacing w:after="0"/>
        <w:rPr>
          <w:rFonts w:ascii="Arial" w:cs="Arial" w:eastAsia="Arial" w:hAnsi="Arial"/>
          <w:sz w:val="17"/>
          <w:szCs w:val="17"/>
          <w:b w:val="1"/>
          <w:bCs w:val="1"/>
          <w:color w:val="003551"/>
        </w:rPr>
      </w:pPr>
      <w:r>
        <w:rPr>
          <w:rFonts w:ascii="Arial" w:cs="Arial" w:eastAsia="Arial" w:hAnsi="Arial"/>
          <w:sz w:val="17"/>
          <w:szCs w:val="17"/>
          <w:b w:val="1"/>
          <w:bCs w:val="1"/>
          <w:color w:val="003551"/>
        </w:rPr>
        <w:t>9.1Admission to general meetings</w:t>
      </w:r>
    </w:p>
    <w:p>
      <w:pPr>
        <w:spacing w:after="0" w:line="107" w:lineRule="exact"/>
        <w:rPr>
          <w:rFonts w:ascii="Arial" w:cs="Arial" w:eastAsia="Arial" w:hAnsi="Arial"/>
          <w:sz w:val="17"/>
          <w:szCs w:val="17"/>
          <w:b w:val="1"/>
          <w:bCs w:val="1"/>
          <w:color w:val="003551"/>
        </w:rPr>
      </w:pPr>
    </w:p>
    <w:p>
      <w:pPr>
        <w:jc w:val="both"/>
        <w:ind w:left="1980" w:right="579" w:hanging="344"/>
        <w:spacing w:after="0" w:line="262" w:lineRule="auto"/>
        <w:tabs>
          <w:tab w:leader="none" w:pos="1980" w:val="left"/>
        </w:tabs>
        <w:numPr>
          <w:ilvl w:val="1"/>
          <w:numId w:val="108"/>
        </w:numPr>
        <w:rPr>
          <w:rFonts w:ascii="Arial" w:cs="Arial" w:eastAsia="Arial" w:hAnsi="Arial"/>
          <w:sz w:val="17"/>
          <w:szCs w:val="17"/>
          <w:color w:val="003551"/>
        </w:rPr>
      </w:pPr>
      <w:r>
        <w:rPr>
          <w:rFonts w:ascii="Arial" w:cs="Arial" w:eastAsia="Arial" w:hAnsi="Arial"/>
          <w:sz w:val="17"/>
          <w:szCs w:val="17"/>
          <w:color w:val="003551"/>
        </w:rPr>
        <w:t>The chair of a general meeting may take any action the chair considers appropriate for the proper and orderly conduct of the meeting and the safety of persons attending the meeting including:</w:t>
      </w:r>
    </w:p>
    <w:p>
      <w:pPr>
        <w:spacing w:after="0" w:line="54" w:lineRule="exact"/>
        <w:rPr>
          <w:rFonts w:ascii="Arial" w:cs="Arial" w:eastAsia="Arial" w:hAnsi="Arial"/>
          <w:sz w:val="17"/>
          <w:szCs w:val="17"/>
          <w:color w:val="003551"/>
        </w:rPr>
      </w:pPr>
    </w:p>
    <w:p>
      <w:pPr>
        <w:ind w:left="2320" w:right="459" w:hanging="335"/>
        <w:spacing w:after="0" w:line="283" w:lineRule="auto"/>
        <w:tabs>
          <w:tab w:leader="none" w:pos="2320" w:val="left"/>
        </w:tabs>
        <w:numPr>
          <w:ilvl w:val="2"/>
          <w:numId w:val="108"/>
        </w:numPr>
        <w:rPr>
          <w:rFonts w:ascii="Arial" w:cs="Arial" w:eastAsia="Arial" w:hAnsi="Arial"/>
          <w:sz w:val="17"/>
          <w:szCs w:val="17"/>
          <w:color w:val="003551"/>
        </w:rPr>
      </w:pPr>
      <w:r>
        <w:rPr>
          <w:rFonts w:ascii="Arial" w:cs="Arial" w:eastAsia="Arial" w:hAnsi="Arial"/>
          <w:sz w:val="17"/>
          <w:szCs w:val="17"/>
          <w:color w:val="003551"/>
        </w:rPr>
        <w:t>requesting any person who is not a member to attend the meeting and inviting any such person to speak at the meeting;</w:t>
      </w:r>
    </w:p>
    <w:p>
      <w:pPr>
        <w:spacing w:after="0" w:line="36" w:lineRule="exact"/>
        <w:rPr>
          <w:rFonts w:ascii="Arial" w:cs="Arial" w:eastAsia="Arial" w:hAnsi="Arial"/>
          <w:sz w:val="17"/>
          <w:szCs w:val="17"/>
          <w:color w:val="003551"/>
        </w:rPr>
      </w:pPr>
    </w:p>
    <w:p>
      <w:pPr>
        <w:ind w:left="2320" w:right="639" w:hanging="335"/>
        <w:spacing w:after="0" w:line="283" w:lineRule="auto"/>
        <w:tabs>
          <w:tab w:leader="none" w:pos="2320" w:val="left"/>
        </w:tabs>
        <w:numPr>
          <w:ilvl w:val="2"/>
          <w:numId w:val="108"/>
        </w:numPr>
        <w:rPr>
          <w:rFonts w:ascii="Arial" w:cs="Arial" w:eastAsia="Arial" w:hAnsi="Arial"/>
          <w:sz w:val="17"/>
          <w:szCs w:val="17"/>
          <w:color w:val="003551"/>
        </w:rPr>
      </w:pPr>
      <w:r>
        <w:rPr>
          <w:rFonts w:ascii="Arial" w:cs="Arial" w:eastAsia="Arial" w:hAnsi="Arial"/>
          <w:sz w:val="17"/>
          <w:szCs w:val="17"/>
          <w:color w:val="003551"/>
        </w:rPr>
        <w:t>refusing admission to, or requiring to leave and remain out of the meeting any person who:</w:t>
      </w:r>
    </w:p>
    <w:p>
      <w:pPr>
        <w:spacing w:after="0" w:line="36" w:lineRule="exact"/>
        <w:rPr>
          <w:rFonts w:ascii="Arial" w:cs="Arial" w:eastAsia="Arial" w:hAnsi="Arial"/>
          <w:sz w:val="17"/>
          <w:szCs w:val="17"/>
          <w:color w:val="003551"/>
        </w:rPr>
      </w:pPr>
    </w:p>
    <w:p>
      <w:pPr>
        <w:ind w:left="2680" w:hanging="346"/>
        <w:spacing w:after="0"/>
        <w:tabs>
          <w:tab w:leader="none" w:pos="2680" w:val="left"/>
        </w:tabs>
        <w:numPr>
          <w:ilvl w:val="3"/>
          <w:numId w:val="108"/>
        </w:numPr>
        <w:rPr>
          <w:rFonts w:ascii="Arial" w:cs="Arial" w:eastAsia="Arial" w:hAnsi="Arial"/>
          <w:sz w:val="17"/>
          <w:szCs w:val="17"/>
          <w:color w:val="003551"/>
        </w:rPr>
      </w:pPr>
      <w:r>
        <w:rPr>
          <w:rFonts w:ascii="Arial" w:cs="Arial" w:eastAsia="Arial" w:hAnsi="Arial"/>
          <w:sz w:val="17"/>
          <w:szCs w:val="17"/>
          <w:color w:val="003551"/>
        </w:rPr>
        <w:t>is not entitled to attend the meeting under the Corporations Act or this constitution;</w:t>
      </w:r>
    </w:p>
    <w:p>
      <w:pPr>
        <w:spacing w:after="0" w:line="105" w:lineRule="exact"/>
        <w:rPr>
          <w:rFonts w:ascii="Arial" w:cs="Arial" w:eastAsia="Arial" w:hAnsi="Arial"/>
          <w:sz w:val="17"/>
          <w:szCs w:val="17"/>
          <w:color w:val="003551"/>
        </w:rPr>
      </w:pPr>
    </w:p>
    <w:p>
      <w:pPr>
        <w:ind w:left="2680" w:right="439" w:hanging="346"/>
        <w:spacing w:after="0" w:line="283" w:lineRule="auto"/>
        <w:tabs>
          <w:tab w:leader="none" w:pos="2680" w:val="left"/>
        </w:tabs>
        <w:numPr>
          <w:ilvl w:val="3"/>
          <w:numId w:val="108"/>
        </w:numPr>
        <w:rPr>
          <w:rFonts w:ascii="Arial" w:cs="Arial" w:eastAsia="Arial" w:hAnsi="Arial"/>
          <w:sz w:val="17"/>
          <w:szCs w:val="17"/>
          <w:color w:val="003551"/>
        </w:rPr>
      </w:pPr>
      <w:r>
        <w:rPr>
          <w:rFonts w:ascii="Arial" w:cs="Arial" w:eastAsia="Arial" w:hAnsi="Arial"/>
          <w:sz w:val="17"/>
          <w:szCs w:val="17"/>
          <w:color w:val="003551"/>
        </w:rPr>
        <w:t>has an audio or visual recording or broadcasting device, a placard or banner or any rule that the chair considers dangerous, offensive or liable to cause disruption;</w:t>
      </w:r>
    </w:p>
    <w:p>
      <w:pPr>
        <w:spacing w:after="0" w:line="36" w:lineRule="exact"/>
        <w:rPr>
          <w:rFonts w:ascii="Arial" w:cs="Arial" w:eastAsia="Arial" w:hAnsi="Arial"/>
          <w:sz w:val="17"/>
          <w:szCs w:val="17"/>
          <w:color w:val="003551"/>
        </w:rPr>
      </w:pPr>
    </w:p>
    <w:p>
      <w:pPr>
        <w:ind w:left="2680" w:right="1279" w:hanging="346"/>
        <w:spacing w:after="0" w:line="283" w:lineRule="auto"/>
        <w:tabs>
          <w:tab w:leader="none" w:pos="2680" w:val="left"/>
        </w:tabs>
        <w:numPr>
          <w:ilvl w:val="3"/>
          <w:numId w:val="108"/>
        </w:numPr>
        <w:rPr>
          <w:rFonts w:ascii="Arial" w:cs="Arial" w:eastAsia="Arial" w:hAnsi="Arial"/>
          <w:sz w:val="17"/>
          <w:szCs w:val="17"/>
          <w:color w:val="003551"/>
        </w:rPr>
      </w:pPr>
      <w:r>
        <w:rPr>
          <w:rFonts w:ascii="Arial" w:cs="Arial" w:eastAsia="Arial" w:hAnsi="Arial"/>
          <w:sz w:val="17"/>
          <w:szCs w:val="17"/>
          <w:color w:val="003551"/>
        </w:rPr>
        <w:t>refuses to comply with a request to turn off a mobile telephone, personal communication device or similar device;</w:t>
      </w:r>
    </w:p>
    <w:p>
      <w:pPr>
        <w:spacing w:after="0" w:line="142"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127635</wp:posOffset>
            </wp:positionV>
            <wp:extent cx="6786880" cy="1651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680" w:right="739" w:hanging="346"/>
        <w:spacing w:after="0" w:line="283" w:lineRule="auto"/>
        <w:tabs>
          <w:tab w:leader="none" w:pos="2680" w:val="left"/>
        </w:tabs>
        <w:numPr>
          <w:ilvl w:val="2"/>
          <w:numId w:val="109"/>
        </w:numPr>
        <w:rPr>
          <w:rFonts w:ascii="Arial" w:cs="Arial" w:eastAsia="Arial" w:hAnsi="Arial"/>
          <w:sz w:val="17"/>
          <w:szCs w:val="17"/>
          <w:color w:val="003551"/>
        </w:rPr>
      </w:pPr>
      <w:r>
        <w:rPr>
          <w:rFonts w:ascii="Arial" w:cs="Arial" w:eastAsia="Arial" w:hAnsi="Arial"/>
          <w:sz w:val="17"/>
          <w:szCs w:val="17"/>
          <w:color w:val="003551"/>
        </w:rPr>
        <w:t>refuses to produce or permit the inspection of any article, or the contents of any article in the person’s possession;</w:t>
      </w:r>
    </w:p>
    <w:p>
      <w:pPr>
        <w:spacing w:after="0" w:line="36" w:lineRule="exact"/>
        <w:rPr>
          <w:rFonts w:ascii="Arial" w:cs="Arial" w:eastAsia="Arial" w:hAnsi="Arial"/>
          <w:sz w:val="17"/>
          <w:szCs w:val="17"/>
          <w:color w:val="003551"/>
        </w:rPr>
      </w:pPr>
    </w:p>
    <w:p>
      <w:pPr>
        <w:ind w:left="2680" w:right="1139" w:hanging="346"/>
        <w:spacing w:after="0" w:line="283" w:lineRule="auto"/>
        <w:tabs>
          <w:tab w:leader="none" w:pos="2680" w:val="left"/>
        </w:tabs>
        <w:numPr>
          <w:ilvl w:val="2"/>
          <w:numId w:val="109"/>
        </w:numPr>
        <w:rPr>
          <w:rFonts w:ascii="Arial" w:cs="Arial" w:eastAsia="Arial" w:hAnsi="Arial"/>
          <w:sz w:val="17"/>
          <w:szCs w:val="17"/>
          <w:color w:val="003551"/>
        </w:rPr>
      </w:pPr>
      <w:r>
        <w:rPr>
          <w:rFonts w:ascii="Arial" w:cs="Arial" w:eastAsia="Arial" w:hAnsi="Arial"/>
          <w:sz w:val="17"/>
          <w:szCs w:val="17"/>
          <w:color w:val="003551"/>
        </w:rPr>
        <w:t>behaves, threatens to behave or who the chair considers may behave in a dangerous, offensive or disruptive way; or</w:t>
      </w:r>
    </w:p>
    <w:p>
      <w:pPr>
        <w:spacing w:after="0" w:line="36" w:lineRule="exact"/>
        <w:rPr>
          <w:rFonts w:ascii="Arial" w:cs="Arial" w:eastAsia="Arial" w:hAnsi="Arial"/>
          <w:sz w:val="17"/>
          <w:szCs w:val="17"/>
          <w:color w:val="003551"/>
        </w:rPr>
      </w:pPr>
    </w:p>
    <w:p>
      <w:pPr>
        <w:ind w:left="2680" w:hanging="346"/>
        <w:spacing w:after="0"/>
        <w:tabs>
          <w:tab w:leader="none" w:pos="2680" w:val="left"/>
        </w:tabs>
        <w:numPr>
          <w:ilvl w:val="2"/>
          <w:numId w:val="109"/>
        </w:numPr>
        <w:rPr>
          <w:rFonts w:ascii="Arial" w:cs="Arial" w:eastAsia="Arial" w:hAnsi="Arial"/>
          <w:sz w:val="17"/>
          <w:szCs w:val="17"/>
          <w:color w:val="003551"/>
        </w:rPr>
      </w:pPr>
      <w:r>
        <w:rPr>
          <w:rFonts w:ascii="Arial" w:cs="Arial" w:eastAsia="Arial" w:hAnsi="Arial"/>
          <w:sz w:val="17"/>
          <w:szCs w:val="17"/>
          <w:color w:val="003551"/>
        </w:rPr>
        <w:t>does not comply with the reasonable directions of the chair; or</w:t>
      </w:r>
    </w:p>
    <w:p>
      <w:pPr>
        <w:spacing w:after="0" w:line="105" w:lineRule="exact"/>
        <w:rPr>
          <w:rFonts w:ascii="Arial" w:cs="Arial" w:eastAsia="Arial" w:hAnsi="Arial"/>
          <w:sz w:val="17"/>
          <w:szCs w:val="17"/>
          <w:color w:val="003551"/>
        </w:rPr>
      </w:pPr>
    </w:p>
    <w:p>
      <w:pPr>
        <w:ind w:left="2320" w:right="379" w:hanging="335"/>
        <w:spacing w:after="0" w:line="255" w:lineRule="auto"/>
        <w:tabs>
          <w:tab w:leader="none" w:pos="2320" w:val="left"/>
        </w:tabs>
        <w:numPr>
          <w:ilvl w:val="0"/>
          <w:numId w:val="110"/>
        </w:numPr>
        <w:rPr>
          <w:rFonts w:ascii="Arial" w:cs="Arial" w:eastAsia="Arial" w:hAnsi="Arial"/>
          <w:sz w:val="17"/>
          <w:szCs w:val="17"/>
          <w:color w:val="003551"/>
        </w:rPr>
      </w:pPr>
      <w:r>
        <w:rPr>
          <w:rFonts w:ascii="Arial" w:cs="Arial" w:eastAsia="Arial" w:hAnsi="Arial"/>
          <w:sz w:val="17"/>
          <w:szCs w:val="17"/>
          <w:color w:val="003551"/>
        </w:rPr>
        <w:t>arranging for any persons attending the meeting who the chair considers cannot reasonably be accommodated in the place where the meeting is to take place to attend or participate the meeting from a separate place using any technology that complies with the requirements of this constitution; or</w:t>
      </w:r>
    </w:p>
    <w:p>
      <w:pPr>
        <w:spacing w:after="0" w:line="59" w:lineRule="exact"/>
        <w:rPr>
          <w:rFonts w:ascii="Arial" w:cs="Arial" w:eastAsia="Arial" w:hAnsi="Arial"/>
          <w:sz w:val="17"/>
          <w:szCs w:val="17"/>
          <w:color w:val="003551"/>
        </w:rPr>
      </w:pPr>
    </w:p>
    <w:p>
      <w:pPr>
        <w:ind w:left="2320" w:hanging="335"/>
        <w:spacing w:after="0"/>
        <w:tabs>
          <w:tab w:leader="none" w:pos="2320" w:val="left"/>
        </w:tabs>
        <w:numPr>
          <w:ilvl w:val="0"/>
          <w:numId w:val="110"/>
        </w:numPr>
        <w:rPr>
          <w:rFonts w:ascii="Arial" w:cs="Arial" w:eastAsia="Arial" w:hAnsi="Arial"/>
          <w:sz w:val="17"/>
          <w:szCs w:val="17"/>
          <w:color w:val="003551"/>
        </w:rPr>
      </w:pPr>
      <w:r>
        <w:rPr>
          <w:rFonts w:ascii="Arial" w:cs="Arial" w:eastAsia="Arial" w:hAnsi="Arial"/>
          <w:sz w:val="17"/>
          <w:szCs w:val="17"/>
          <w:color w:val="003551"/>
        </w:rPr>
        <w:t xml:space="preserve">if, before or during the meeting, any technical difficulty occurs and </w:t>
      </w:r>
      <w:r>
        <w:rPr>
          <w:rFonts w:ascii="Arial" w:cs="Arial" w:eastAsia="Arial" w:hAnsi="Arial"/>
          <w:sz w:val="17"/>
          <w:szCs w:val="17"/>
          <w:color w:val="FF0000"/>
          <w:strike w:val="1"/>
        </w:rPr>
        <w:t>paragraph</w:t>
      </w:r>
      <w:r>
        <w:rPr>
          <w:rFonts w:ascii="Arial" w:cs="Arial" w:eastAsia="Arial" w:hAnsi="Arial"/>
          <w:sz w:val="17"/>
          <w:szCs w:val="17"/>
          <w:color w:val="003551"/>
        </w:rPr>
        <w:t xml:space="preserve"> </w:t>
      </w:r>
      <w:r>
        <w:rPr>
          <w:rFonts w:ascii="Arial" w:cs="Arial" w:eastAsia="Arial" w:hAnsi="Arial"/>
          <w:sz w:val="17"/>
          <w:szCs w:val="17"/>
          <w:u w:val="single" w:color="auto"/>
          <w:color w:val="0000FF"/>
        </w:rPr>
        <w:t>rule 9.1</w:t>
      </w:r>
      <w:r>
        <w:rPr>
          <w:rFonts w:ascii="Arial" w:cs="Arial" w:eastAsia="Arial" w:hAnsi="Arial"/>
          <w:sz w:val="17"/>
          <w:szCs w:val="17"/>
          <w:color w:val="000000"/>
        </w:rPr>
        <w:t>(a)</w:t>
      </w:r>
    </w:p>
    <w:p>
      <w:pPr>
        <w:spacing w:after="0" w:line="17" w:lineRule="exact"/>
        <w:rPr>
          <w:rFonts w:ascii="Arial" w:cs="Arial" w:eastAsia="Arial" w:hAnsi="Arial"/>
          <w:sz w:val="17"/>
          <w:szCs w:val="17"/>
          <w:color w:val="003551"/>
        </w:rPr>
      </w:pPr>
    </w:p>
    <w:p>
      <w:pPr>
        <w:ind w:left="2600" w:hanging="274"/>
        <w:spacing w:after="0"/>
        <w:tabs>
          <w:tab w:leader="none" w:pos="260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above is not satisfied:</w:t>
      </w:r>
    </w:p>
    <w:p>
      <w:pPr>
        <w:spacing w:after="0" w:line="89" w:lineRule="exact"/>
        <w:rPr>
          <w:rFonts w:ascii="Arial" w:cs="Arial" w:eastAsia="Arial" w:hAnsi="Arial"/>
          <w:sz w:val="17"/>
          <w:szCs w:val="17"/>
          <w:color w:val="auto"/>
        </w:rPr>
      </w:pPr>
    </w:p>
    <w:p>
      <w:pPr>
        <w:ind w:left="2680" w:hanging="346"/>
        <w:spacing w:after="0"/>
        <w:tabs>
          <w:tab w:leader="none" w:pos="2680" w:val="left"/>
        </w:tabs>
        <w:numPr>
          <w:ilvl w:val="2"/>
          <w:numId w:val="110"/>
        </w:numPr>
        <w:rPr>
          <w:rFonts w:ascii="Arial" w:cs="Arial" w:eastAsia="Arial" w:hAnsi="Arial"/>
          <w:sz w:val="17"/>
          <w:szCs w:val="17"/>
          <w:color w:val="003551"/>
        </w:rPr>
      </w:pPr>
      <w:r>
        <w:rPr>
          <w:rFonts w:ascii="Arial" w:cs="Arial" w:eastAsia="Arial" w:hAnsi="Arial"/>
          <w:sz w:val="17"/>
          <w:szCs w:val="17"/>
          <w:color w:val="003551"/>
        </w:rPr>
        <w:t>adjourning the meeting until the difficulty is remedied; or</w:t>
      </w:r>
    </w:p>
    <w:p>
      <w:pPr>
        <w:spacing w:after="0" w:line="105" w:lineRule="exact"/>
        <w:rPr>
          <w:rFonts w:ascii="Arial" w:cs="Arial" w:eastAsia="Arial" w:hAnsi="Arial"/>
          <w:sz w:val="17"/>
          <w:szCs w:val="17"/>
          <w:color w:val="003551"/>
        </w:rPr>
      </w:pPr>
    </w:p>
    <w:p>
      <w:pPr>
        <w:ind w:left="2680" w:right="479" w:hanging="346"/>
        <w:spacing w:after="0" w:line="262" w:lineRule="auto"/>
        <w:tabs>
          <w:tab w:leader="none" w:pos="2680" w:val="left"/>
        </w:tabs>
        <w:numPr>
          <w:ilvl w:val="2"/>
          <w:numId w:val="110"/>
        </w:numPr>
        <w:rPr>
          <w:rFonts w:ascii="Arial" w:cs="Arial" w:eastAsia="Arial" w:hAnsi="Arial"/>
          <w:sz w:val="17"/>
          <w:szCs w:val="17"/>
          <w:color w:val="003551"/>
        </w:rPr>
      </w:pPr>
      <w:r>
        <w:rPr>
          <w:rFonts w:ascii="Arial" w:cs="Arial" w:eastAsia="Arial" w:hAnsi="Arial"/>
          <w:sz w:val="17"/>
          <w:szCs w:val="17"/>
          <w:color w:val="003551"/>
        </w:rPr>
        <w:t xml:space="preserve">continuing to hold the meeting in the main place (and any other place which is linked under </w:t>
      </w:r>
      <w:r>
        <w:rPr>
          <w:rFonts w:ascii="Arial" w:cs="Arial" w:eastAsia="Arial" w:hAnsi="Arial"/>
          <w:sz w:val="17"/>
          <w:szCs w:val="17"/>
          <w:color w:val="FF0000"/>
          <w:strike w:val="1"/>
        </w:rPr>
        <w:t>rule 9.1</w:t>
      </w:r>
      <w:r>
        <w:rPr>
          <w:rFonts w:ascii="Arial" w:cs="Arial" w:eastAsia="Arial" w:hAnsi="Arial"/>
          <w:sz w:val="17"/>
          <w:szCs w:val="17"/>
          <w:u w:val="single" w:color="auto"/>
          <w:color w:val="0000FF"/>
        </w:rPr>
        <w:t>paragraph (a)(iii))</w:t>
      </w:r>
      <w:r>
        <w:rPr>
          <w:rFonts w:ascii="Arial" w:cs="Arial" w:eastAsia="Arial" w:hAnsi="Arial"/>
          <w:sz w:val="17"/>
          <w:szCs w:val="17"/>
          <w:color w:val="003551"/>
        </w:rPr>
        <w:t xml:space="preserve"> </w:t>
      </w:r>
      <w:r>
        <w:rPr>
          <w:rFonts w:ascii="Arial" w:cs="Arial" w:eastAsia="Arial" w:hAnsi="Arial"/>
          <w:sz w:val="17"/>
          <w:szCs w:val="17"/>
          <w:color w:val="000000"/>
        </w:rPr>
        <w:t>and transact business, and no member may</w:t>
      </w:r>
      <w:r>
        <w:rPr>
          <w:rFonts w:ascii="Arial" w:cs="Arial" w:eastAsia="Arial" w:hAnsi="Arial"/>
          <w:sz w:val="17"/>
          <w:szCs w:val="17"/>
          <w:color w:val="003551"/>
        </w:rPr>
        <w:t xml:space="preserve"> </w:t>
      </w:r>
      <w:r>
        <w:rPr>
          <w:rFonts w:ascii="Arial" w:cs="Arial" w:eastAsia="Arial" w:hAnsi="Arial"/>
          <w:sz w:val="17"/>
          <w:szCs w:val="17"/>
          <w:color w:val="000000"/>
        </w:rPr>
        <w:t>object to the meeting continuing,</w:t>
      </w:r>
    </w:p>
    <w:p>
      <w:pPr>
        <w:spacing w:after="0" w:line="54" w:lineRule="exact"/>
        <w:rPr>
          <w:sz w:val="20"/>
          <w:szCs w:val="20"/>
          <w:color w:val="auto"/>
        </w:rPr>
      </w:pPr>
    </w:p>
    <w:p>
      <w:pPr>
        <w:ind w:left="1980" w:right="779"/>
        <w:spacing w:after="0" w:line="283" w:lineRule="auto"/>
        <w:rPr>
          <w:sz w:val="20"/>
          <w:szCs w:val="20"/>
          <w:color w:val="auto"/>
        </w:rPr>
      </w:pPr>
      <w:r>
        <w:rPr>
          <w:rFonts w:ascii="Arial" w:cs="Arial" w:eastAsia="Arial" w:hAnsi="Arial"/>
          <w:sz w:val="17"/>
          <w:szCs w:val="17"/>
          <w:color w:val="003551"/>
        </w:rPr>
        <w:t xml:space="preserve">and may delegate any of the powers given by this rule 9‎.1 to any person. Nothing in this </w:t>
      </w:r>
      <w:r>
        <w:rPr>
          <w:rFonts w:ascii="Arial" w:cs="Arial" w:eastAsia="Arial" w:hAnsi="Arial"/>
          <w:sz w:val="17"/>
          <w:szCs w:val="17"/>
          <w:u w:val="single" w:color="auto"/>
          <w:color w:val="003551"/>
        </w:rPr>
        <w:t>rule 9.1</w:t>
      </w:r>
      <w:r>
        <w:rPr>
          <w:rFonts w:ascii="Arial" w:cs="Arial" w:eastAsia="Arial" w:hAnsi="Arial"/>
          <w:sz w:val="17"/>
          <w:szCs w:val="17"/>
          <w:color w:val="003551"/>
        </w:rPr>
        <w:t xml:space="preserve"> limits the powers conferred on the chair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-173355</wp:posOffset>
            </wp:positionV>
            <wp:extent cx="36957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69570" cy="8255"/>
                    </a:xfrm>
                    <a:prstGeom prst="rect">
                      <a:avLst/>
                    </a:prstGeom>
                    <a:noFill/>
                  </pic:spPr>
                </pic:pic>
              </a:graphicData>
            </a:graphic>
          </wp:anchor>
        </w:drawing>
      </w:r>
    </w:p>
    <w:p>
      <w:pPr>
        <w:spacing w:after="0" w:line="17" w:lineRule="exact"/>
        <w:rPr>
          <w:sz w:val="20"/>
          <w:szCs w:val="20"/>
          <w:color w:val="auto"/>
        </w:rPr>
      </w:pPr>
    </w:p>
    <w:p>
      <w:pPr>
        <w:ind w:left="1980" w:right="479" w:hanging="344"/>
        <w:spacing w:after="0" w:line="251" w:lineRule="auto"/>
        <w:tabs>
          <w:tab w:leader="none" w:pos="1980" w:val="left"/>
        </w:tabs>
        <w:numPr>
          <w:ilvl w:val="0"/>
          <w:numId w:val="111"/>
        </w:numPr>
        <w:rPr>
          <w:rFonts w:ascii="Arial" w:cs="Arial" w:eastAsia="Arial" w:hAnsi="Arial"/>
          <w:sz w:val="17"/>
          <w:szCs w:val="17"/>
          <w:color w:val="003551"/>
        </w:rPr>
      </w:pPr>
      <w:r>
        <w:rPr>
          <w:rFonts w:ascii="Arial" w:cs="Arial" w:eastAsia="Arial" w:hAnsi="Arial"/>
          <w:sz w:val="17"/>
          <w:szCs w:val="17"/>
          <w:color w:val="003551"/>
        </w:rPr>
        <w:t>All persons seeking to attend or participate in a general meeting electronically shall be responsible for maintaining adequate facilities to enable them to do so. Any inability of a person or persons to attend or participate in a general meeting electronically shall not invalidate the proceedings of that meeting, provided a quorum is present in accordance with this constitution.</w:t>
      </w:r>
    </w:p>
    <w:p>
      <w:pPr>
        <w:spacing w:after="0" w:line="63"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9.2</w:t>
      </w:r>
      <w:r>
        <w:rPr>
          <w:sz w:val="20"/>
          <w:szCs w:val="20"/>
          <w:color w:val="auto"/>
        </w:rPr>
        <w:tab/>
      </w:r>
      <w:r>
        <w:rPr>
          <w:rFonts w:ascii="Arial" w:cs="Arial" w:eastAsia="Arial" w:hAnsi="Arial"/>
          <w:sz w:val="17"/>
          <w:szCs w:val="17"/>
          <w:b w:val="1"/>
          <w:bCs w:val="1"/>
          <w:color w:val="003551"/>
        </w:rPr>
        <w:t>Requirement for a quorum</w:t>
      </w:r>
    </w:p>
    <w:p>
      <w:pPr>
        <w:spacing w:after="0" w:line="108" w:lineRule="exact"/>
        <w:rPr>
          <w:sz w:val="20"/>
          <w:szCs w:val="20"/>
          <w:color w:val="auto"/>
        </w:rPr>
      </w:pPr>
    </w:p>
    <w:p>
      <w:pPr>
        <w:ind w:left="1640" w:right="379"/>
        <w:spacing w:after="0" w:line="249" w:lineRule="auto"/>
        <w:rPr>
          <w:sz w:val="20"/>
          <w:szCs w:val="20"/>
          <w:color w:val="auto"/>
        </w:rPr>
      </w:pPr>
      <w:r>
        <w:rPr>
          <w:rFonts w:ascii="Arial" w:cs="Arial" w:eastAsia="Arial" w:hAnsi="Arial"/>
          <w:sz w:val="17"/>
          <w:szCs w:val="17"/>
          <w:color w:val="003551"/>
        </w:rPr>
        <w:t>No item of business may be transacted at a general meeting except for the election of a chair and the adjournment of the meeting unless a quorum is present when the meeting proceeds to consider it. If a quorum is present at the time when the first item of business is considered, a quorum is taken to be present when the meeting proceeds to consider each subsequent item of business unless the chair of the meeting (on the chair’s own motion or at the request of a member present) declares otherwise.</w:t>
      </w:r>
    </w:p>
    <w:p>
      <w:pPr>
        <w:spacing w:after="0" w:line="65"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9.3</w:t>
      </w:r>
      <w:r>
        <w:rPr>
          <w:sz w:val="20"/>
          <w:szCs w:val="20"/>
          <w:color w:val="auto"/>
        </w:rPr>
        <w:tab/>
      </w:r>
      <w:r>
        <w:rPr>
          <w:rFonts w:ascii="Arial" w:cs="Arial" w:eastAsia="Arial" w:hAnsi="Arial"/>
          <w:sz w:val="17"/>
          <w:szCs w:val="17"/>
          <w:b w:val="1"/>
          <w:bCs w:val="1"/>
          <w:color w:val="003551"/>
        </w:rPr>
        <w:t>Number for a quorum</w:t>
      </w:r>
    </w:p>
    <w:p>
      <w:pPr>
        <w:spacing w:after="0" w:line="108" w:lineRule="exact"/>
        <w:rPr>
          <w:sz w:val="20"/>
          <w:szCs w:val="20"/>
          <w:color w:val="auto"/>
        </w:rPr>
      </w:pPr>
    </w:p>
    <w:p>
      <w:pPr>
        <w:ind w:left="1640" w:right="439"/>
        <w:spacing w:after="0" w:line="249" w:lineRule="auto"/>
        <w:rPr>
          <w:sz w:val="20"/>
          <w:szCs w:val="20"/>
          <w:color w:val="auto"/>
        </w:rPr>
      </w:pPr>
      <w:r>
        <w:rPr>
          <w:rFonts w:ascii="Arial" w:cs="Arial" w:eastAsia="Arial" w:hAnsi="Arial"/>
          <w:sz w:val="17"/>
          <w:szCs w:val="17"/>
          <w:color w:val="003551"/>
        </w:rPr>
        <w:t xml:space="preserve">Subject to </w:t>
      </w:r>
      <w:r>
        <w:rPr>
          <w:rFonts w:ascii="Arial" w:cs="Arial" w:eastAsia="Arial" w:hAnsi="Arial"/>
          <w:sz w:val="17"/>
          <w:szCs w:val="17"/>
          <w:u w:val="single" w:color="auto"/>
          <w:color w:val="003551"/>
        </w:rPr>
        <w:t>rule 9.5</w:t>
      </w:r>
      <w:r>
        <w:rPr>
          <w:rFonts w:ascii="Arial" w:cs="Arial" w:eastAsia="Arial" w:hAnsi="Arial"/>
          <w:sz w:val="17"/>
          <w:szCs w:val="17"/>
          <w:color w:val="003551"/>
        </w:rPr>
        <w:t xml:space="preserve">, a quorum is </w:t>
      </w:r>
      <w:r>
        <w:rPr>
          <w:rFonts w:ascii="Arial" w:cs="Arial" w:eastAsia="Arial" w:hAnsi="Arial"/>
          <w:sz w:val="17"/>
          <w:szCs w:val="17"/>
          <w:color w:val="FF0000"/>
          <w:strike w:val="1"/>
        </w:rPr>
        <w:t>2 members present</w:t>
      </w:r>
      <w:r>
        <w:rPr>
          <w:rFonts w:ascii="Arial" w:cs="Arial" w:eastAsia="Arial" w:hAnsi="Arial"/>
          <w:sz w:val="17"/>
          <w:szCs w:val="17"/>
          <w:u w:val="single" w:color="auto"/>
          <w:color w:val="0000FF"/>
        </w:rPr>
        <w:t>holders of shares entitled to cast at least</w:t>
      </w:r>
      <w:r>
        <w:rPr>
          <w:rFonts w:ascii="Arial" w:cs="Arial" w:eastAsia="Arial" w:hAnsi="Arial"/>
          <w:sz w:val="17"/>
          <w:szCs w:val="17"/>
          <w:color w:val="003551"/>
        </w:rPr>
        <w:t xml:space="preserve"> </w:t>
      </w:r>
      <w:r>
        <w:rPr>
          <w:rFonts w:ascii="Arial" w:cs="Arial" w:eastAsia="Arial" w:hAnsi="Arial"/>
          <w:sz w:val="17"/>
          <w:szCs w:val="17"/>
          <w:u w:val="single" w:color="auto"/>
          <w:color w:val="0000FF"/>
        </w:rPr>
        <w:t>33 1/3% of the votes that all holders of shares are entitled to cast on one or more resolutions at the relevant meeting</w:t>
      </w:r>
      <w:r>
        <w:rPr>
          <w:rFonts w:ascii="Arial" w:cs="Arial" w:eastAsia="Arial" w:hAnsi="Arial"/>
          <w:sz w:val="17"/>
          <w:szCs w:val="17"/>
          <w:color w:val="0000FF"/>
        </w:rPr>
        <w:t xml:space="preserve"> </w:t>
      </w:r>
      <w:r>
        <w:rPr>
          <w:rFonts w:ascii="Arial" w:cs="Arial" w:eastAsia="Arial" w:hAnsi="Arial"/>
          <w:sz w:val="17"/>
          <w:szCs w:val="17"/>
          <w:color w:val="000000"/>
        </w:rPr>
        <w:t>(which must include each holder of a B class share from time to time, to the</w:t>
      </w:r>
      <w:r>
        <w:rPr>
          <w:rFonts w:ascii="Arial" w:cs="Arial" w:eastAsia="Arial" w:hAnsi="Arial"/>
          <w:sz w:val="17"/>
          <w:szCs w:val="17"/>
          <w:color w:val="0000FF"/>
        </w:rPr>
        <w:t xml:space="preserve"> </w:t>
      </w:r>
      <w:r>
        <w:rPr>
          <w:rFonts w:ascii="Arial" w:cs="Arial" w:eastAsia="Arial" w:hAnsi="Arial"/>
          <w:sz w:val="17"/>
          <w:szCs w:val="17"/>
          <w:color w:val="000000"/>
        </w:rPr>
        <w:t xml:space="preserve">extent </w:t>
      </w:r>
      <w:r>
        <w:rPr>
          <w:rFonts w:ascii="Arial" w:cs="Arial" w:eastAsia="Arial" w:hAnsi="Arial"/>
          <w:sz w:val="17"/>
          <w:szCs w:val="17"/>
          <w:color w:val="FF0000"/>
          <w:strike w:val="1"/>
        </w:rPr>
        <w:t>that</w:t>
      </w:r>
      <w:r>
        <w:rPr>
          <w:rFonts w:ascii="Arial" w:cs="Arial" w:eastAsia="Arial" w:hAnsi="Arial"/>
          <w:sz w:val="17"/>
          <w:szCs w:val="17"/>
          <w:color w:val="000000"/>
        </w:rPr>
        <w:t xml:space="preserve"> such holder is entitled to vote on one or more resolutions at the relevant meeting) </w:t>
      </w:r>
      <w:r>
        <w:rPr>
          <w:rFonts w:ascii="Arial" w:cs="Arial" w:eastAsia="Arial" w:hAnsi="Arial"/>
          <w:sz w:val="17"/>
          <w:szCs w:val="17"/>
          <w:color w:val="FF0000"/>
        </w:rPr>
        <w:t>and</w:t>
      </w:r>
      <w:r>
        <w:rPr>
          <w:rFonts w:ascii="Arial" w:cs="Arial" w:eastAsia="Arial" w:hAnsi="Arial"/>
          <w:sz w:val="17"/>
          <w:szCs w:val="17"/>
          <w:color w:val="000000"/>
        </w:rPr>
        <w:t xml:space="preserve"> </w:t>
      </w:r>
      <w:r>
        <w:rPr>
          <w:rFonts w:ascii="Arial" w:cs="Arial" w:eastAsia="Arial" w:hAnsi="Arial"/>
          <w:sz w:val="17"/>
          <w:szCs w:val="17"/>
          <w:color w:val="FF0000"/>
          <w:strike w:val="1"/>
        </w:rPr>
        <w:t>entitled to vote</w:t>
      </w:r>
      <w:r>
        <w:rPr>
          <w:rFonts w:ascii="Arial" w:cs="Arial" w:eastAsia="Arial" w:hAnsi="Arial"/>
          <w:sz w:val="17"/>
          <w:szCs w:val="17"/>
          <w:color w:val="000000"/>
        </w:rPr>
        <w:t>. In determining whether a quorum is present, each individual attending as a</w:t>
      </w:r>
      <w:r>
        <w:rPr>
          <w:rFonts w:ascii="Arial" w:cs="Arial" w:eastAsia="Arial" w:hAnsi="Arial"/>
          <w:sz w:val="17"/>
          <w:szCs w:val="17"/>
          <w:color w:val="FF0000"/>
        </w:rPr>
        <w:t xml:space="preserve"> </w:t>
      </w:r>
      <w:r>
        <w:rPr>
          <w:rFonts w:ascii="Arial" w:cs="Arial" w:eastAsia="Arial" w:hAnsi="Arial"/>
          <w:sz w:val="17"/>
          <w:szCs w:val="17"/>
          <w:color w:val="000000"/>
        </w:rPr>
        <w:t>corporate representative, proxy or attorney is to be counted, except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5567680</wp:posOffset>
            </wp:positionH>
            <wp:positionV relativeFrom="paragraph">
              <wp:posOffset>-328930</wp:posOffset>
            </wp:positionV>
            <wp:extent cx="21590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15900" cy="8255"/>
                    </a:xfrm>
                    <a:prstGeom prst="rect">
                      <a:avLst/>
                    </a:prstGeom>
                    <a:noFill/>
                  </pic:spPr>
                </pic:pic>
              </a:graphicData>
            </a:graphic>
          </wp:anchor>
        </w:drawing>
      </w:r>
    </w:p>
    <w:p>
      <w:pPr>
        <w:spacing w:after="0" w:line="47" w:lineRule="exact"/>
        <w:rPr>
          <w:sz w:val="20"/>
          <w:szCs w:val="20"/>
          <w:color w:val="auto"/>
        </w:rPr>
      </w:pPr>
    </w:p>
    <w:p>
      <w:pPr>
        <w:ind w:left="2320" w:hanging="335"/>
        <w:spacing w:after="0"/>
        <w:tabs>
          <w:tab w:leader="none" w:pos="2320" w:val="left"/>
        </w:tabs>
        <w:numPr>
          <w:ilvl w:val="0"/>
          <w:numId w:val="112"/>
        </w:numPr>
        <w:rPr>
          <w:rFonts w:ascii="Arial" w:cs="Arial" w:eastAsia="Arial" w:hAnsi="Arial"/>
          <w:sz w:val="17"/>
          <w:szCs w:val="17"/>
          <w:color w:val="003551"/>
        </w:rPr>
      </w:pPr>
      <w:r>
        <w:rPr>
          <w:rFonts w:ascii="Arial" w:cs="Arial" w:eastAsia="Arial" w:hAnsi="Arial"/>
          <w:sz w:val="17"/>
          <w:szCs w:val="17"/>
          <w:color w:val="003551"/>
        </w:rPr>
        <w:t>an individual attending in more than one capacity is to be counted only once; and</w:t>
      </w:r>
    </w:p>
    <w:p>
      <w:pPr>
        <w:spacing w:after="0" w:line="105" w:lineRule="exact"/>
        <w:rPr>
          <w:rFonts w:ascii="Arial" w:cs="Arial" w:eastAsia="Arial" w:hAnsi="Arial"/>
          <w:sz w:val="17"/>
          <w:szCs w:val="17"/>
          <w:color w:val="003551"/>
        </w:rPr>
      </w:pPr>
    </w:p>
    <w:p>
      <w:pPr>
        <w:ind w:left="2320" w:right="579" w:hanging="335"/>
        <w:spacing w:after="0" w:line="283" w:lineRule="auto"/>
        <w:tabs>
          <w:tab w:leader="none" w:pos="2320" w:val="left"/>
        </w:tabs>
        <w:numPr>
          <w:ilvl w:val="0"/>
          <w:numId w:val="112"/>
        </w:numPr>
        <w:rPr>
          <w:rFonts w:ascii="Arial" w:cs="Arial" w:eastAsia="Arial" w:hAnsi="Arial"/>
          <w:sz w:val="17"/>
          <w:szCs w:val="17"/>
          <w:color w:val="003551"/>
        </w:rPr>
      </w:pPr>
      <w:r>
        <w:rPr>
          <w:rFonts w:ascii="Arial" w:cs="Arial" w:eastAsia="Arial" w:hAnsi="Arial"/>
          <w:sz w:val="17"/>
          <w:szCs w:val="17"/>
          <w:color w:val="003551"/>
        </w:rPr>
        <w:t>if a member has appointed more than one corporate representative, proxy or attorney, only one is to be counted.</w:t>
      </w:r>
    </w:p>
    <w:p>
      <w:pPr>
        <w:spacing w:after="0" w:line="142"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119380</wp:posOffset>
            </wp:positionV>
            <wp:extent cx="6786880" cy="1651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640" w:right="719"/>
        <w:spacing w:after="0" w:line="262" w:lineRule="auto"/>
        <w:rPr>
          <w:sz w:val="20"/>
          <w:szCs w:val="20"/>
          <w:color w:val="auto"/>
        </w:rPr>
      </w:pPr>
      <w:r>
        <w:rPr>
          <w:rFonts w:ascii="Arial" w:cs="Arial" w:eastAsia="Arial" w:hAnsi="Arial"/>
          <w:sz w:val="17"/>
          <w:szCs w:val="17"/>
          <w:color w:val="003551"/>
        </w:rPr>
        <w:t xml:space="preserve">Each person who is present at any place of the meeting, including those who attend it electronically, and who would be entitled to count towards the quorum in accordance with this </w:t>
      </w:r>
      <w:r>
        <w:rPr>
          <w:rFonts w:ascii="Arial" w:cs="Arial" w:eastAsia="Arial" w:hAnsi="Arial"/>
          <w:sz w:val="17"/>
          <w:szCs w:val="17"/>
          <w:u w:val="single" w:color="auto"/>
          <w:color w:val="003551"/>
        </w:rPr>
        <w:t>rule 9.3</w:t>
      </w:r>
      <w:r>
        <w:rPr>
          <w:rFonts w:ascii="Arial" w:cs="Arial" w:eastAsia="Arial" w:hAnsi="Arial"/>
          <w:sz w:val="17"/>
          <w:szCs w:val="17"/>
          <w:color w:val="003551"/>
        </w:rPr>
        <w:t>, shall be counted in the quorum for the meeting.</w:t>
      </w:r>
    </w:p>
    <w:p>
      <w:pPr>
        <w:spacing w:after="0" w:line="52"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9.4</w:t>
      </w:r>
      <w:r>
        <w:rPr>
          <w:sz w:val="20"/>
          <w:szCs w:val="20"/>
          <w:color w:val="auto"/>
        </w:rPr>
        <w:tab/>
      </w:r>
      <w:r>
        <w:rPr>
          <w:rFonts w:ascii="Arial" w:cs="Arial" w:eastAsia="Arial" w:hAnsi="Arial"/>
          <w:sz w:val="17"/>
          <w:szCs w:val="17"/>
          <w:b w:val="1"/>
          <w:bCs w:val="1"/>
          <w:color w:val="003551"/>
        </w:rPr>
        <w:t>If quorum not present</w:t>
      </w:r>
    </w:p>
    <w:p>
      <w:pPr>
        <w:spacing w:after="0" w:line="147"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If within 30 minutes after the time appointed for a general meeting a quorum is not present:</w:t>
      </w:r>
    </w:p>
    <w:p>
      <w:pPr>
        <w:spacing w:after="0" w:line="106" w:lineRule="exact"/>
        <w:rPr>
          <w:sz w:val="20"/>
          <w:szCs w:val="20"/>
          <w:color w:val="auto"/>
        </w:rPr>
      </w:pPr>
    </w:p>
    <w:p>
      <w:pPr>
        <w:ind w:left="2320" w:right="519" w:hanging="335"/>
        <w:spacing w:after="0" w:line="283" w:lineRule="auto"/>
        <w:tabs>
          <w:tab w:leader="none" w:pos="2320" w:val="left"/>
        </w:tabs>
        <w:numPr>
          <w:ilvl w:val="0"/>
          <w:numId w:val="113"/>
        </w:numPr>
        <w:rPr>
          <w:rFonts w:ascii="Arial" w:cs="Arial" w:eastAsia="Arial" w:hAnsi="Arial"/>
          <w:sz w:val="17"/>
          <w:szCs w:val="17"/>
          <w:color w:val="003551"/>
        </w:rPr>
      </w:pPr>
      <w:r>
        <w:rPr>
          <w:rFonts w:ascii="Arial" w:cs="Arial" w:eastAsia="Arial" w:hAnsi="Arial"/>
          <w:sz w:val="17"/>
          <w:szCs w:val="17"/>
          <w:color w:val="003551"/>
        </w:rPr>
        <w:t>if the meeting was convened by a director or at the request of members, the meeting is dissolved; and</w:t>
      </w:r>
    </w:p>
    <w:p>
      <w:pPr>
        <w:spacing w:after="0" w:line="36" w:lineRule="exact"/>
        <w:rPr>
          <w:rFonts w:ascii="Arial" w:cs="Arial" w:eastAsia="Arial" w:hAnsi="Arial"/>
          <w:sz w:val="17"/>
          <w:szCs w:val="17"/>
          <w:color w:val="003551"/>
        </w:rPr>
      </w:pPr>
    </w:p>
    <w:p>
      <w:pPr>
        <w:ind w:left="2320" w:right="379" w:hanging="335"/>
        <w:spacing w:after="0" w:line="255" w:lineRule="auto"/>
        <w:tabs>
          <w:tab w:leader="none" w:pos="2320" w:val="left"/>
        </w:tabs>
        <w:numPr>
          <w:ilvl w:val="0"/>
          <w:numId w:val="113"/>
        </w:numPr>
        <w:rPr>
          <w:rFonts w:ascii="Arial" w:cs="Arial" w:eastAsia="Arial" w:hAnsi="Arial"/>
          <w:sz w:val="17"/>
          <w:szCs w:val="17"/>
          <w:color w:val="003551"/>
        </w:rPr>
      </w:pPr>
      <w:r>
        <w:rPr>
          <w:rFonts w:ascii="Arial" w:cs="Arial" w:eastAsia="Arial" w:hAnsi="Arial"/>
          <w:sz w:val="17"/>
          <w:szCs w:val="17"/>
          <w:color w:val="003551"/>
        </w:rPr>
        <w:t>in any other case, the meeting is adjourned to the same day in the next week and the same time and place, or to such other day, time and place as the directors present at the meeting determine (and with similar or equivalent facilities for attendance and participation).</w:t>
      </w:r>
    </w:p>
    <w:p>
      <w:pPr>
        <w:spacing w:after="0" w:line="58"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9.5</w:t>
      </w:r>
      <w:r>
        <w:rPr>
          <w:sz w:val="20"/>
          <w:szCs w:val="20"/>
          <w:color w:val="auto"/>
        </w:rPr>
        <w:tab/>
      </w:r>
      <w:r>
        <w:rPr>
          <w:rFonts w:ascii="Arial" w:cs="Arial" w:eastAsia="Arial" w:hAnsi="Arial"/>
          <w:sz w:val="17"/>
          <w:szCs w:val="17"/>
          <w:b w:val="1"/>
          <w:bCs w:val="1"/>
          <w:color w:val="003551"/>
        </w:rPr>
        <w:t>Quorum for adjourned meeting</w:t>
      </w:r>
    </w:p>
    <w:p>
      <w:pPr>
        <w:spacing w:after="0" w:line="108"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 xml:space="preserve">At a meeting adjourned under </w:t>
      </w:r>
      <w:r>
        <w:rPr>
          <w:rFonts w:ascii="Arial" w:cs="Arial" w:eastAsia="Arial" w:hAnsi="Arial"/>
          <w:sz w:val="17"/>
          <w:szCs w:val="17"/>
          <w:u w:val="single" w:color="auto"/>
          <w:color w:val="003551"/>
        </w:rPr>
        <w:t>rule 9.4(b)</w:t>
      </w:r>
      <w:r>
        <w:rPr>
          <w:rFonts w:ascii="Arial" w:cs="Arial" w:eastAsia="Arial" w:hAnsi="Arial"/>
          <w:sz w:val="17"/>
          <w:szCs w:val="17"/>
          <w:color w:val="003551"/>
        </w:rPr>
        <w:t xml:space="preserve">, a quorum is </w:t>
      </w:r>
      <w:r>
        <w:rPr>
          <w:rFonts w:ascii="Arial" w:cs="Arial" w:eastAsia="Arial" w:hAnsi="Arial"/>
          <w:sz w:val="17"/>
          <w:szCs w:val="17"/>
          <w:color w:val="FF0000"/>
          <w:strike w:val="1"/>
        </w:rPr>
        <w:t>2 members present and entitled to</w:t>
      </w:r>
    </w:p>
    <w:p>
      <w:pPr>
        <w:spacing w:after="0" w:line="17" w:lineRule="exact"/>
        <w:rPr>
          <w:sz w:val="20"/>
          <w:szCs w:val="20"/>
          <w:color w:val="auto"/>
        </w:rPr>
      </w:pPr>
    </w:p>
    <w:p>
      <w:pPr>
        <w:ind w:left="1640" w:right="459"/>
        <w:spacing w:after="0" w:line="245" w:lineRule="auto"/>
        <w:rPr>
          <w:sz w:val="20"/>
          <w:szCs w:val="20"/>
          <w:color w:val="auto"/>
        </w:rPr>
      </w:pPr>
      <w:r>
        <w:rPr>
          <w:rFonts w:ascii="Arial" w:cs="Arial" w:eastAsia="Arial" w:hAnsi="Arial"/>
          <w:sz w:val="17"/>
          <w:szCs w:val="17"/>
          <w:color w:val="FF0000"/>
          <w:strike w:val="1"/>
        </w:rPr>
        <w:t>vote</w:t>
      </w:r>
      <w:r>
        <w:rPr>
          <w:rFonts w:ascii="Arial" w:cs="Arial" w:eastAsia="Arial" w:hAnsi="Arial"/>
          <w:sz w:val="17"/>
          <w:szCs w:val="17"/>
          <w:color w:val="0000FF"/>
        </w:rPr>
        <w:t>holders of shares entitled to cast at least     33 1/3% of the votes that all holders of shares</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are entitled to cast on one or more resolutions at the relevant meeting (which must include each holder of a B class share from time to time, to the extent such holder is entitled to vote on one or more resolutions at the relevant meeting)</w:t>
      </w:r>
      <w:r>
        <w:rPr>
          <w:rFonts w:ascii="Arial" w:cs="Arial" w:eastAsia="Arial" w:hAnsi="Arial"/>
          <w:sz w:val="17"/>
          <w:szCs w:val="17"/>
          <w:color w:val="0000FF"/>
        </w:rPr>
        <w:t xml:space="preserve"> </w:t>
      </w:r>
      <w:r>
        <w:rPr>
          <w:rFonts w:ascii="Arial" w:cs="Arial" w:eastAsia="Arial" w:hAnsi="Arial"/>
          <w:sz w:val="17"/>
          <w:szCs w:val="17"/>
          <w:color w:val="000000"/>
        </w:rPr>
        <w:t>and the provisions of</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rule 9.3</w:t>
      </w:r>
      <w:r>
        <w:rPr>
          <w:rFonts w:ascii="Arial" w:cs="Arial" w:eastAsia="Arial" w:hAnsi="Arial"/>
          <w:sz w:val="17"/>
          <w:szCs w:val="17"/>
          <w:color w:val="0000FF"/>
        </w:rPr>
        <w:t xml:space="preserve"> </w:t>
      </w:r>
      <w:r>
        <w:rPr>
          <w:rFonts w:ascii="Arial" w:cs="Arial" w:eastAsia="Arial" w:hAnsi="Arial"/>
          <w:sz w:val="17"/>
          <w:szCs w:val="17"/>
          <w:color w:val="000000"/>
        </w:rPr>
        <w:t>apply in determining</w:t>
      </w:r>
      <w:r>
        <w:rPr>
          <w:rFonts w:ascii="Arial" w:cs="Arial" w:eastAsia="Arial" w:hAnsi="Arial"/>
          <w:sz w:val="17"/>
          <w:szCs w:val="17"/>
          <w:color w:val="0000FF"/>
        </w:rPr>
        <w:t xml:space="preserve"> </w:t>
      </w:r>
      <w:r>
        <w:rPr>
          <w:rFonts w:ascii="Arial" w:cs="Arial" w:eastAsia="Arial" w:hAnsi="Arial"/>
          <w:sz w:val="17"/>
          <w:szCs w:val="17"/>
          <w:color w:val="000000"/>
        </w:rPr>
        <w:t>whether that quorum is present. If a quorum is not present within 30 minutes after the time appointed for the adjourned meeting, the meeting is dissolved.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-634365</wp:posOffset>
            </wp:positionV>
            <wp:extent cx="451612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451612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-650875</wp:posOffset>
            </wp:positionV>
            <wp:extent cx="451675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4516755" cy="8255"/>
                    </a:xfrm>
                    <a:prstGeom prst="rect">
                      <a:avLst/>
                    </a:prstGeom>
                    <a:noFill/>
                  </pic:spPr>
                </pic:pic>
              </a:graphicData>
            </a:graphic>
          </wp:anchor>
        </w:drawing>
      </w:r>
    </w:p>
    <w:p>
      <w:pPr>
        <w:spacing w:after="0" w:line="48"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9.6</w:t>
      </w:r>
      <w:r>
        <w:rPr>
          <w:sz w:val="20"/>
          <w:szCs w:val="20"/>
          <w:color w:val="auto"/>
        </w:rPr>
        <w:tab/>
      </w:r>
      <w:r>
        <w:rPr>
          <w:rFonts w:ascii="Arial" w:cs="Arial" w:eastAsia="Arial" w:hAnsi="Arial"/>
          <w:sz w:val="17"/>
          <w:szCs w:val="17"/>
          <w:b w:val="1"/>
          <w:bCs w:val="1"/>
          <w:color w:val="003551"/>
        </w:rPr>
        <w:t>Postponement before start of meeting</w:t>
      </w:r>
    </w:p>
    <w:p>
      <w:pPr>
        <w:spacing w:after="0" w:line="108" w:lineRule="exact"/>
        <w:rPr>
          <w:sz w:val="20"/>
          <w:szCs w:val="20"/>
          <w:color w:val="auto"/>
        </w:rPr>
      </w:pPr>
    </w:p>
    <w:p>
      <w:pPr>
        <w:ind w:left="1980" w:right="479" w:hanging="344"/>
        <w:spacing w:after="0" w:line="262" w:lineRule="auto"/>
        <w:tabs>
          <w:tab w:leader="none" w:pos="1980" w:val="left"/>
        </w:tabs>
        <w:numPr>
          <w:ilvl w:val="0"/>
          <w:numId w:val="114"/>
        </w:numPr>
        <w:rPr>
          <w:rFonts w:ascii="Arial" w:cs="Arial" w:eastAsia="Arial" w:hAnsi="Arial"/>
          <w:sz w:val="17"/>
          <w:szCs w:val="17"/>
          <w:color w:val="003551"/>
        </w:rPr>
      </w:pPr>
      <w:r>
        <w:rPr>
          <w:rFonts w:ascii="Arial" w:cs="Arial" w:eastAsia="Arial" w:hAnsi="Arial"/>
          <w:sz w:val="17"/>
          <w:szCs w:val="17"/>
          <w:color w:val="003551"/>
        </w:rPr>
        <w:t xml:space="preserve">Subject to </w:t>
      </w:r>
      <w:r>
        <w:rPr>
          <w:rFonts w:ascii="Arial" w:cs="Arial" w:eastAsia="Arial" w:hAnsi="Arial"/>
          <w:sz w:val="17"/>
          <w:szCs w:val="17"/>
          <w:u w:val="single" w:color="auto"/>
          <w:color w:val="003551"/>
        </w:rPr>
        <w:t>rule</w:t>
      </w:r>
      <w:r>
        <w:rPr>
          <w:rFonts w:ascii="Arial" w:cs="Arial" w:eastAsia="Arial" w:hAnsi="Arial"/>
          <w:sz w:val="17"/>
          <w:szCs w:val="17"/>
          <w:color w:val="003551"/>
        </w:rPr>
        <w:t xml:space="preserve"> 8‎.8, whether or not a quorum is present, the chair may postpone the meeting before it has started if, at the time and place appointed for the meeting, the chair considers that:</w:t>
      </w:r>
    </w:p>
    <w:p>
      <w:pPr>
        <w:spacing w:after="0" w:line="54" w:lineRule="exact"/>
        <w:rPr>
          <w:rFonts w:ascii="Arial" w:cs="Arial" w:eastAsia="Arial" w:hAnsi="Arial"/>
          <w:sz w:val="17"/>
          <w:szCs w:val="17"/>
          <w:color w:val="003551"/>
        </w:rPr>
      </w:pPr>
    </w:p>
    <w:p>
      <w:pPr>
        <w:ind w:left="2320" w:hanging="335"/>
        <w:spacing w:after="0"/>
        <w:tabs>
          <w:tab w:leader="none" w:pos="2320" w:val="left"/>
        </w:tabs>
        <w:numPr>
          <w:ilvl w:val="1"/>
          <w:numId w:val="114"/>
        </w:numPr>
        <w:rPr>
          <w:rFonts w:ascii="Arial" w:cs="Arial" w:eastAsia="Arial" w:hAnsi="Arial"/>
          <w:sz w:val="17"/>
          <w:szCs w:val="17"/>
          <w:color w:val="003551"/>
        </w:rPr>
      </w:pPr>
      <w:r>
        <w:rPr>
          <w:rFonts w:ascii="Arial" w:cs="Arial" w:eastAsia="Arial" w:hAnsi="Arial"/>
          <w:sz w:val="17"/>
          <w:szCs w:val="17"/>
          <w:color w:val="003551"/>
        </w:rPr>
        <w:t>there is not enough room for the number of members who wish to attend the meeting; or</w:t>
      </w:r>
    </w:p>
    <w:p>
      <w:pPr>
        <w:spacing w:after="0" w:line="105" w:lineRule="exact"/>
        <w:rPr>
          <w:rFonts w:ascii="Arial" w:cs="Arial" w:eastAsia="Arial" w:hAnsi="Arial"/>
          <w:sz w:val="17"/>
          <w:szCs w:val="17"/>
          <w:color w:val="003551"/>
        </w:rPr>
      </w:pPr>
    </w:p>
    <w:p>
      <w:pPr>
        <w:jc w:val="both"/>
        <w:ind w:left="2320" w:right="799" w:hanging="335"/>
        <w:spacing w:after="0" w:line="262" w:lineRule="auto"/>
        <w:tabs>
          <w:tab w:leader="none" w:pos="2320" w:val="left"/>
        </w:tabs>
        <w:numPr>
          <w:ilvl w:val="1"/>
          <w:numId w:val="114"/>
        </w:numPr>
        <w:rPr>
          <w:rFonts w:ascii="Arial" w:cs="Arial" w:eastAsia="Arial" w:hAnsi="Arial"/>
          <w:sz w:val="17"/>
          <w:szCs w:val="17"/>
          <w:color w:val="003551"/>
        </w:rPr>
      </w:pPr>
      <w:r>
        <w:rPr>
          <w:rFonts w:ascii="Arial" w:cs="Arial" w:eastAsia="Arial" w:hAnsi="Arial"/>
          <w:sz w:val="17"/>
          <w:szCs w:val="17"/>
          <w:color w:val="003551"/>
        </w:rPr>
        <w:t>a postponement is necessary in light of the behaviour of persons present or for any other reason so that the business of the meeting can be carried out in a proper and orderly manner.</w:t>
      </w:r>
    </w:p>
    <w:p>
      <w:pPr>
        <w:spacing w:after="0" w:line="54" w:lineRule="exact"/>
        <w:rPr>
          <w:rFonts w:ascii="Arial" w:cs="Arial" w:eastAsia="Arial" w:hAnsi="Arial"/>
          <w:sz w:val="17"/>
          <w:szCs w:val="17"/>
          <w:color w:val="003551"/>
        </w:rPr>
      </w:pPr>
    </w:p>
    <w:p>
      <w:pPr>
        <w:ind w:left="1980" w:right="479" w:hanging="344"/>
        <w:spacing w:after="0" w:line="262" w:lineRule="auto"/>
        <w:tabs>
          <w:tab w:leader="none" w:pos="1980" w:val="left"/>
        </w:tabs>
        <w:numPr>
          <w:ilvl w:val="0"/>
          <w:numId w:val="114"/>
        </w:numPr>
        <w:rPr>
          <w:rFonts w:ascii="Arial" w:cs="Arial" w:eastAsia="Arial" w:hAnsi="Arial"/>
          <w:sz w:val="17"/>
          <w:szCs w:val="17"/>
          <w:color w:val="003551"/>
        </w:rPr>
      </w:pPr>
      <w:r>
        <w:rPr>
          <w:rFonts w:ascii="Arial" w:cs="Arial" w:eastAsia="Arial" w:hAnsi="Arial"/>
          <w:sz w:val="17"/>
          <w:szCs w:val="17"/>
          <w:color w:val="003551"/>
        </w:rPr>
        <w:t xml:space="preserve">A postponement under </w:t>
      </w:r>
      <w:r>
        <w:rPr>
          <w:rFonts w:ascii="Arial" w:cs="Arial" w:eastAsia="Arial" w:hAnsi="Arial"/>
          <w:sz w:val="17"/>
          <w:szCs w:val="17"/>
          <w:u w:val="single" w:color="auto"/>
          <w:color w:val="003551"/>
        </w:rPr>
        <w:t>rule 9.6(a)</w:t>
      </w:r>
      <w:r>
        <w:rPr>
          <w:rFonts w:ascii="Arial" w:cs="Arial" w:eastAsia="Arial" w:hAnsi="Arial"/>
          <w:sz w:val="17"/>
          <w:szCs w:val="17"/>
          <w:color w:val="003551"/>
        </w:rPr>
        <w:t xml:space="preserve"> will be to another time, which may be on the same day as the meeting, and may be to another place (and the new time and place will be taken to be the time and place for the meeting as if specified in the original notice calling the meeting).</w:t>
      </w:r>
    </w:p>
    <w:p>
      <w:pPr>
        <w:spacing w:after="0" w:line="52"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9.7</w:t>
      </w:r>
      <w:r>
        <w:rPr>
          <w:sz w:val="20"/>
          <w:szCs w:val="20"/>
          <w:color w:val="auto"/>
        </w:rPr>
        <w:tab/>
      </w:r>
      <w:r>
        <w:rPr>
          <w:rFonts w:ascii="Arial" w:cs="Arial" w:eastAsia="Arial" w:hAnsi="Arial"/>
          <w:sz w:val="17"/>
          <w:szCs w:val="17"/>
          <w:b w:val="1"/>
          <w:bCs w:val="1"/>
          <w:color w:val="003551"/>
        </w:rPr>
        <w:t>Chair of general meeting</w:t>
      </w:r>
    </w:p>
    <w:p>
      <w:pPr>
        <w:spacing w:after="0" w:line="108" w:lineRule="exact"/>
        <w:rPr>
          <w:sz w:val="20"/>
          <w:szCs w:val="20"/>
          <w:color w:val="auto"/>
        </w:rPr>
      </w:pPr>
    </w:p>
    <w:p>
      <w:pPr>
        <w:ind w:left="1640" w:right="439"/>
        <w:spacing w:after="0" w:line="251" w:lineRule="auto"/>
        <w:rPr>
          <w:sz w:val="20"/>
          <w:szCs w:val="20"/>
          <w:color w:val="auto"/>
        </w:rPr>
      </w:pPr>
      <w:r>
        <w:rPr>
          <w:rFonts w:ascii="Arial" w:cs="Arial" w:eastAsia="Arial" w:hAnsi="Arial"/>
          <w:sz w:val="17"/>
          <w:szCs w:val="17"/>
          <w:color w:val="003551"/>
        </w:rPr>
        <w:t>If the board has elected one of its number as chair of the board, that person is entitled to preside as chair at a general meeting. If a chair of the board has not been elected or if the chair of the board is not present within 15 minutes after the time appointed for a general meeting or is unable or unwilling to act as chair for all or any part of the meeting, then the chair of the meeting (or for that part of the meeting) will be chosen from the following persons, in order of precedence:</w:t>
      </w:r>
    </w:p>
    <w:p>
      <w:pPr>
        <w:spacing w:after="0" w:line="65" w:lineRule="exact"/>
        <w:rPr>
          <w:sz w:val="20"/>
          <w:szCs w:val="20"/>
          <w:color w:val="auto"/>
        </w:rPr>
      </w:pPr>
    </w:p>
    <w:p>
      <w:pPr>
        <w:ind w:left="2320" w:right="839" w:hanging="335"/>
        <w:spacing w:after="0" w:line="283" w:lineRule="auto"/>
        <w:tabs>
          <w:tab w:leader="none" w:pos="2320" w:val="left"/>
        </w:tabs>
        <w:numPr>
          <w:ilvl w:val="0"/>
          <w:numId w:val="115"/>
        </w:numPr>
        <w:rPr>
          <w:rFonts w:ascii="Arial" w:cs="Arial" w:eastAsia="Arial" w:hAnsi="Arial"/>
          <w:sz w:val="17"/>
          <w:szCs w:val="17"/>
          <w:color w:val="003551"/>
        </w:rPr>
      </w:pPr>
      <w:r>
        <w:rPr>
          <w:rFonts w:ascii="Arial" w:cs="Arial" w:eastAsia="Arial" w:hAnsi="Arial"/>
          <w:sz w:val="17"/>
          <w:szCs w:val="17"/>
          <w:color w:val="003551"/>
        </w:rPr>
        <w:t>first, any person elected by the board as deputy chair of the board, if that person is present and willing and able to act as chair;</w:t>
      </w:r>
    </w:p>
    <w:p>
      <w:pPr>
        <w:spacing w:after="0" w:line="36" w:lineRule="exact"/>
        <w:rPr>
          <w:rFonts w:ascii="Arial" w:cs="Arial" w:eastAsia="Arial" w:hAnsi="Arial"/>
          <w:sz w:val="17"/>
          <w:szCs w:val="17"/>
          <w:color w:val="003551"/>
        </w:rPr>
      </w:pPr>
    </w:p>
    <w:p>
      <w:pPr>
        <w:ind w:left="2320" w:right="379" w:hanging="335"/>
        <w:spacing w:after="0" w:line="262" w:lineRule="auto"/>
        <w:tabs>
          <w:tab w:leader="none" w:pos="2320" w:val="left"/>
        </w:tabs>
        <w:numPr>
          <w:ilvl w:val="0"/>
          <w:numId w:val="115"/>
        </w:numPr>
        <w:rPr>
          <w:rFonts w:ascii="Arial" w:cs="Arial" w:eastAsia="Arial" w:hAnsi="Arial"/>
          <w:sz w:val="17"/>
          <w:szCs w:val="17"/>
          <w:color w:val="003551"/>
        </w:rPr>
      </w:pPr>
      <w:r>
        <w:rPr>
          <w:rFonts w:ascii="Arial" w:cs="Arial" w:eastAsia="Arial" w:hAnsi="Arial"/>
          <w:sz w:val="17"/>
          <w:szCs w:val="17"/>
          <w:color w:val="003551"/>
        </w:rPr>
        <w:t>second, any other director present chosen by a majority of the directors present, or if only one other director is present, that director, if that director is willing and able to act as chair; and</w:t>
      </w:r>
    </w:p>
    <w:p>
      <w:pPr>
        <w:spacing w:after="0" w:line="54" w:lineRule="exact"/>
        <w:rPr>
          <w:rFonts w:ascii="Arial" w:cs="Arial" w:eastAsia="Arial" w:hAnsi="Arial"/>
          <w:sz w:val="17"/>
          <w:szCs w:val="17"/>
          <w:color w:val="003551"/>
        </w:rPr>
      </w:pPr>
    </w:p>
    <w:p>
      <w:pPr>
        <w:ind w:left="2320" w:right="419" w:hanging="335"/>
        <w:spacing w:after="0" w:line="283" w:lineRule="auto"/>
        <w:tabs>
          <w:tab w:leader="none" w:pos="2320" w:val="left"/>
        </w:tabs>
        <w:numPr>
          <w:ilvl w:val="0"/>
          <w:numId w:val="115"/>
        </w:numPr>
        <w:rPr>
          <w:rFonts w:ascii="Arial" w:cs="Arial" w:eastAsia="Arial" w:hAnsi="Arial"/>
          <w:sz w:val="17"/>
          <w:szCs w:val="17"/>
          <w:color w:val="003551"/>
        </w:rPr>
      </w:pPr>
      <w:r>
        <w:rPr>
          <w:rFonts w:ascii="Arial" w:cs="Arial" w:eastAsia="Arial" w:hAnsi="Arial"/>
          <w:sz w:val="17"/>
          <w:szCs w:val="17"/>
          <w:color w:val="003551"/>
        </w:rPr>
        <w:t>third, a member present elected by a majority of the members at the meeting and who is willing and able to act as chair.</w:t>
      </w:r>
    </w:p>
    <w:p>
      <w:pPr>
        <w:spacing w:after="0" w:line="142"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119380</wp:posOffset>
            </wp:positionV>
            <wp:extent cx="6786880" cy="1651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9.8</w:t>
      </w:r>
      <w:r>
        <w:rPr>
          <w:sz w:val="20"/>
          <w:szCs w:val="20"/>
          <w:color w:val="auto"/>
        </w:rPr>
        <w:tab/>
      </w:r>
      <w:r>
        <w:rPr>
          <w:rFonts w:ascii="Arial" w:cs="Arial" w:eastAsia="Arial" w:hAnsi="Arial"/>
          <w:sz w:val="17"/>
          <w:szCs w:val="17"/>
          <w:b w:val="1"/>
          <w:bCs w:val="1"/>
          <w:color w:val="003551"/>
        </w:rPr>
        <w:t>Acting chair of general meeting</w:t>
      </w:r>
    </w:p>
    <w:p>
      <w:pPr>
        <w:spacing w:after="0" w:line="108" w:lineRule="exact"/>
        <w:rPr>
          <w:sz w:val="20"/>
          <w:szCs w:val="20"/>
          <w:color w:val="auto"/>
        </w:rPr>
      </w:pPr>
    </w:p>
    <w:p>
      <w:pPr>
        <w:ind w:left="1640" w:right="439"/>
        <w:spacing w:after="0" w:line="251" w:lineRule="auto"/>
        <w:rPr>
          <w:sz w:val="20"/>
          <w:szCs w:val="20"/>
          <w:color w:val="auto"/>
        </w:rPr>
      </w:pPr>
      <w:r>
        <w:rPr>
          <w:rFonts w:ascii="Arial" w:cs="Arial" w:eastAsia="Arial" w:hAnsi="Arial"/>
          <w:sz w:val="17"/>
          <w:szCs w:val="17"/>
          <w:color w:val="003551"/>
        </w:rPr>
        <w:t>A chair of a general meeting may, for any item of business or discrete part of the meeting, vacate the chair in favour of another person nominated by the chair (“</w:t>
      </w:r>
      <w:r>
        <w:rPr>
          <w:rFonts w:ascii="Arial" w:cs="Arial" w:eastAsia="Arial" w:hAnsi="Arial"/>
          <w:sz w:val="17"/>
          <w:szCs w:val="17"/>
          <w:b w:val="1"/>
          <w:bCs w:val="1"/>
          <w:color w:val="003551"/>
        </w:rPr>
        <w:t>Acting Chair</w:t>
      </w:r>
      <w:r>
        <w:rPr>
          <w:rFonts w:ascii="Arial" w:cs="Arial" w:eastAsia="Arial" w:hAnsi="Arial"/>
          <w:sz w:val="17"/>
          <w:szCs w:val="17"/>
          <w:color w:val="003551"/>
        </w:rPr>
        <w:t>”). Where an instrument of proxy appoints the chair as proxy for part of the proceedings for which an Acting Chair has been nominated, the instrument of proxy is taken to be in favour of the Acting Chair for the relevant part of the proceedings.</w:t>
      </w:r>
    </w:p>
    <w:p>
      <w:pPr>
        <w:spacing w:after="0" w:line="63"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9.9</w:t>
      </w:r>
      <w:r>
        <w:rPr>
          <w:sz w:val="20"/>
          <w:szCs w:val="20"/>
          <w:color w:val="auto"/>
        </w:rPr>
        <w:tab/>
      </w:r>
      <w:r>
        <w:rPr>
          <w:rFonts w:ascii="Arial" w:cs="Arial" w:eastAsia="Arial" w:hAnsi="Arial"/>
          <w:sz w:val="17"/>
          <w:szCs w:val="17"/>
          <w:b w:val="1"/>
          <w:bCs w:val="1"/>
          <w:color w:val="003551"/>
        </w:rPr>
        <w:t>Conduct of general meeting</w:t>
      </w:r>
    </w:p>
    <w:p>
      <w:pPr>
        <w:spacing w:after="0" w:line="134"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Subject to the Corporations Act, the chair of a general meeting:</w:t>
      </w:r>
    </w:p>
    <w:p>
      <w:pPr>
        <w:spacing w:after="0" w:line="106" w:lineRule="exact"/>
        <w:rPr>
          <w:sz w:val="20"/>
          <w:szCs w:val="20"/>
          <w:color w:val="auto"/>
        </w:rPr>
      </w:pPr>
    </w:p>
    <w:p>
      <w:pPr>
        <w:ind w:left="2320" w:right="559" w:hanging="335"/>
        <w:spacing w:after="0" w:line="283" w:lineRule="auto"/>
        <w:tabs>
          <w:tab w:leader="none" w:pos="2320" w:val="left"/>
        </w:tabs>
        <w:numPr>
          <w:ilvl w:val="0"/>
          <w:numId w:val="116"/>
        </w:numPr>
        <w:rPr>
          <w:rFonts w:ascii="Arial" w:cs="Arial" w:eastAsia="Arial" w:hAnsi="Arial"/>
          <w:sz w:val="17"/>
          <w:szCs w:val="17"/>
          <w:color w:val="003551"/>
        </w:rPr>
      </w:pPr>
      <w:r>
        <w:rPr>
          <w:rFonts w:ascii="Arial" w:cs="Arial" w:eastAsia="Arial" w:hAnsi="Arial"/>
          <w:sz w:val="17"/>
          <w:szCs w:val="17"/>
          <w:color w:val="003551"/>
        </w:rPr>
        <w:t>has charge of the general conduct of the meeting and the procedures to be adopted at the meeting;</w:t>
      </w:r>
    </w:p>
    <w:p>
      <w:pPr>
        <w:spacing w:after="0" w:line="36" w:lineRule="exact"/>
        <w:rPr>
          <w:rFonts w:ascii="Arial" w:cs="Arial" w:eastAsia="Arial" w:hAnsi="Arial"/>
          <w:sz w:val="17"/>
          <w:szCs w:val="17"/>
          <w:color w:val="003551"/>
        </w:rPr>
      </w:pPr>
    </w:p>
    <w:p>
      <w:pPr>
        <w:ind w:left="2320" w:right="559" w:hanging="335"/>
        <w:spacing w:after="0" w:line="262" w:lineRule="auto"/>
        <w:tabs>
          <w:tab w:leader="none" w:pos="2320" w:val="left"/>
        </w:tabs>
        <w:numPr>
          <w:ilvl w:val="0"/>
          <w:numId w:val="116"/>
        </w:numPr>
        <w:rPr>
          <w:rFonts w:ascii="Arial" w:cs="Arial" w:eastAsia="Arial" w:hAnsi="Arial"/>
          <w:sz w:val="17"/>
          <w:szCs w:val="17"/>
          <w:color w:val="003551"/>
        </w:rPr>
      </w:pPr>
      <w:r>
        <w:rPr>
          <w:rFonts w:ascii="Arial" w:cs="Arial" w:eastAsia="Arial" w:hAnsi="Arial"/>
          <w:sz w:val="17"/>
          <w:szCs w:val="17"/>
          <w:color w:val="003551"/>
        </w:rPr>
        <w:t>may require the adoption of any procedure which is in the chair’s opinion necessary or desirable for proper and orderly debate or discussion, including limiting the time for which members present may speak on any motion or item of business;</w:t>
      </w:r>
    </w:p>
    <w:p>
      <w:pPr>
        <w:spacing w:after="0" w:line="54" w:lineRule="exact"/>
        <w:rPr>
          <w:rFonts w:ascii="Arial" w:cs="Arial" w:eastAsia="Arial" w:hAnsi="Arial"/>
          <w:sz w:val="17"/>
          <w:szCs w:val="17"/>
          <w:color w:val="003551"/>
        </w:rPr>
      </w:pPr>
    </w:p>
    <w:p>
      <w:pPr>
        <w:ind w:left="2320" w:right="419" w:hanging="335"/>
        <w:spacing w:after="0" w:line="262" w:lineRule="auto"/>
        <w:tabs>
          <w:tab w:leader="none" w:pos="2320" w:val="left"/>
        </w:tabs>
        <w:numPr>
          <w:ilvl w:val="0"/>
          <w:numId w:val="116"/>
        </w:numPr>
        <w:rPr>
          <w:rFonts w:ascii="Arial" w:cs="Arial" w:eastAsia="Arial" w:hAnsi="Arial"/>
          <w:sz w:val="17"/>
          <w:szCs w:val="17"/>
          <w:color w:val="003551"/>
        </w:rPr>
      </w:pPr>
      <w:r>
        <w:rPr>
          <w:rFonts w:ascii="Arial" w:cs="Arial" w:eastAsia="Arial" w:hAnsi="Arial"/>
          <w:sz w:val="17"/>
          <w:szCs w:val="17"/>
          <w:color w:val="003551"/>
        </w:rPr>
        <w:t>may terminate discussion or debate on any matter and may make rulings without putting any question to the vote whenever the chair considers it necessary or desirable for the proper conduct of the meeting;</w:t>
      </w:r>
    </w:p>
    <w:p>
      <w:pPr>
        <w:spacing w:after="0" w:line="54" w:lineRule="exact"/>
        <w:rPr>
          <w:rFonts w:ascii="Arial" w:cs="Arial" w:eastAsia="Arial" w:hAnsi="Arial"/>
          <w:sz w:val="17"/>
          <w:szCs w:val="17"/>
          <w:color w:val="003551"/>
        </w:rPr>
      </w:pPr>
    </w:p>
    <w:p>
      <w:pPr>
        <w:ind w:left="2320" w:right="459" w:hanging="335"/>
        <w:spacing w:after="0" w:line="283" w:lineRule="auto"/>
        <w:tabs>
          <w:tab w:leader="none" w:pos="2320" w:val="left"/>
        </w:tabs>
        <w:numPr>
          <w:ilvl w:val="0"/>
          <w:numId w:val="116"/>
        </w:numPr>
        <w:rPr>
          <w:rFonts w:ascii="Arial" w:cs="Arial" w:eastAsia="Arial" w:hAnsi="Arial"/>
          <w:sz w:val="17"/>
          <w:szCs w:val="17"/>
          <w:color w:val="003551"/>
        </w:rPr>
      </w:pPr>
      <w:r>
        <w:rPr>
          <w:rFonts w:ascii="Arial" w:cs="Arial" w:eastAsia="Arial" w:hAnsi="Arial"/>
          <w:sz w:val="17"/>
          <w:szCs w:val="17"/>
          <w:color w:val="003551"/>
        </w:rPr>
        <w:t>may adjourn any matter being considered or remaining to be considered by the meeting to a later time at the same meeting;</w:t>
      </w:r>
    </w:p>
    <w:p>
      <w:pPr>
        <w:spacing w:after="0" w:line="36" w:lineRule="exact"/>
        <w:rPr>
          <w:rFonts w:ascii="Arial" w:cs="Arial" w:eastAsia="Arial" w:hAnsi="Arial"/>
          <w:sz w:val="17"/>
          <w:szCs w:val="17"/>
          <w:color w:val="003551"/>
        </w:rPr>
      </w:pPr>
    </w:p>
    <w:p>
      <w:pPr>
        <w:ind w:left="2320" w:right="419" w:hanging="335"/>
        <w:spacing w:after="0" w:line="262" w:lineRule="auto"/>
        <w:tabs>
          <w:tab w:leader="none" w:pos="2320" w:val="left"/>
        </w:tabs>
        <w:numPr>
          <w:ilvl w:val="0"/>
          <w:numId w:val="116"/>
        </w:numPr>
        <w:rPr>
          <w:rFonts w:ascii="Arial" w:cs="Arial" w:eastAsia="Arial" w:hAnsi="Arial"/>
          <w:sz w:val="17"/>
          <w:szCs w:val="17"/>
          <w:color w:val="003551"/>
        </w:rPr>
      </w:pPr>
      <w:r>
        <w:rPr>
          <w:rFonts w:ascii="Arial" w:cs="Arial" w:eastAsia="Arial" w:hAnsi="Arial"/>
          <w:sz w:val="17"/>
          <w:szCs w:val="17"/>
          <w:color w:val="003551"/>
        </w:rPr>
        <w:t>may require the adoption of any procedure which is in the chair’s opinion necessary or desirable for the proper and orderly casting or recording of votes at the general meeting, including the appointment of scrutineers; and</w:t>
      </w:r>
    </w:p>
    <w:p>
      <w:pPr>
        <w:spacing w:after="0" w:line="54" w:lineRule="exact"/>
        <w:rPr>
          <w:rFonts w:ascii="Arial" w:cs="Arial" w:eastAsia="Arial" w:hAnsi="Arial"/>
          <w:sz w:val="17"/>
          <w:szCs w:val="17"/>
          <w:color w:val="003551"/>
        </w:rPr>
      </w:pPr>
    </w:p>
    <w:p>
      <w:pPr>
        <w:ind w:left="2320" w:right="379" w:hanging="335"/>
        <w:spacing w:after="0" w:line="248" w:lineRule="auto"/>
        <w:tabs>
          <w:tab w:leader="none" w:pos="2320" w:val="left"/>
        </w:tabs>
        <w:numPr>
          <w:ilvl w:val="0"/>
          <w:numId w:val="116"/>
        </w:numPr>
        <w:rPr>
          <w:rFonts w:ascii="Arial" w:cs="Arial" w:eastAsia="Arial" w:hAnsi="Arial"/>
          <w:sz w:val="17"/>
          <w:szCs w:val="17"/>
          <w:color w:val="003551"/>
        </w:rPr>
      </w:pPr>
      <w:r>
        <w:rPr>
          <w:rFonts w:ascii="Arial" w:cs="Arial" w:eastAsia="Arial" w:hAnsi="Arial"/>
          <w:sz w:val="17"/>
          <w:szCs w:val="17"/>
          <w:color w:val="003551"/>
        </w:rPr>
        <w:t>may decide not to put to the meeting any resolution proposed in the notice convening the meeting (other than a resolution proposed by members in accordance with section 249N of the Corporations Act or required by the Corporations Act to be put to the meeting</w:t>
      </w:r>
      <w:r>
        <w:rPr>
          <w:rFonts w:ascii="Arial" w:cs="Arial" w:eastAsia="Arial" w:hAnsi="Arial"/>
          <w:sz w:val="17"/>
          <w:szCs w:val="17"/>
          <w:color w:val="FF0000"/>
          <w:strike w:val="1"/>
        </w:rPr>
        <w:t>),</w:t>
      </w:r>
      <w:r>
        <w:rPr>
          <w:rFonts w:ascii="Arial" w:cs="Arial" w:eastAsia="Arial" w:hAnsi="Arial"/>
          <w:sz w:val="17"/>
          <w:szCs w:val="17"/>
          <w:color w:val="003551"/>
        </w:rPr>
        <w:t xml:space="preserve"> </w:t>
      </w:r>
      <w:r>
        <w:rPr>
          <w:rFonts w:ascii="Arial" w:cs="Arial" w:eastAsia="Arial" w:hAnsi="Arial"/>
          <w:sz w:val="17"/>
          <w:szCs w:val="17"/>
          <w:color w:val="0000FF"/>
        </w:rPr>
        <w:t>or a proposal included in the company’s proxy statement pursuant to and in</w:t>
      </w:r>
      <w:r>
        <w:rPr>
          <w:rFonts w:ascii="Arial" w:cs="Arial" w:eastAsia="Arial" w:hAnsi="Arial"/>
          <w:sz w:val="17"/>
          <w:szCs w:val="17"/>
          <w:color w:val="003551"/>
        </w:rPr>
        <w:t xml:space="preserve"> </w:t>
      </w:r>
      <w:r>
        <w:rPr>
          <w:rFonts w:ascii="Arial" w:cs="Arial" w:eastAsia="Arial" w:hAnsi="Arial"/>
          <w:sz w:val="17"/>
          <w:szCs w:val="17"/>
          <w:u w:val="single" w:color="auto"/>
          <w:color w:val="0000FF"/>
        </w:rPr>
        <w:t>compliance with Rule 14a-8 under the Exchange Act, or a nomination included in the company’s proxy materials pursuant to and in compliance with Rule 14a-19 under the Exchange Act,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-387350</wp:posOffset>
            </wp:positionV>
            <wp:extent cx="371792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717925" cy="8255"/>
                    </a:xfrm>
                    <a:prstGeom prst="rect">
                      <a:avLst/>
                    </a:prstGeom>
                    <a:noFill/>
                  </pic:spPr>
                </pic:pic>
              </a:graphicData>
            </a:graphic>
          </wp:anchor>
        </w:drawing>
        <w:drawing>
          <wp:anchor simplePos="0" relativeHeight="251657728" behindDoc="1" locked="0" layoutInCell="0" allowOverlap="1">
            <wp:simplePos x="0" y="0"/>
            <wp:positionH relativeFrom="column">
              <wp:posOffset>1938655</wp:posOffset>
            </wp:positionH>
            <wp:positionV relativeFrom="paragraph">
              <wp:posOffset>-403860</wp:posOffset>
            </wp:positionV>
            <wp:extent cx="371983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719830" cy="8255"/>
                    </a:xfrm>
                    <a:prstGeom prst="rect">
                      <a:avLst/>
                    </a:prstGeom>
                    <a:noFill/>
                  </pic:spPr>
                </pic:pic>
              </a:graphicData>
            </a:graphic>
          </wp:anchor>
        </w:drawing>
      </w:r>
    </w:p>
    <w:p>
      <w:pPr>
        <w:spacing w:after="0" w:line="85"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 xml:space="preserve">and a decision by the chair under this </w:t>
      </w:r>
      <w:r>
        <w:rPr>
          <w:rFonts w:ascii="Arial" w:cs="Arial" w:eastAsia="Arial" w:hAnsi="Arial"/>
          <w:sz w:val="17"/>
          <w:szCs w:val="17"/>
          <w:u w:val="single" w:color="auto"/>
          <w:color w:val="003551"/>
        </w:rPr>
        <w:t>rule 9.9</w:t>
      </w:r>
      <w:r>
        <w:rPr>
          <w:rFonts w:ascii="Arial" w:cs="Arial" w:eastAsia="Arial" w:hAnsi="Arial"/>
          <w:sz w:val="17"/>
          <w:szCs w:val="17"/>
          <w:color w:val="003551"/>
        </w:rPr>
        <w:t xml:space="preserve"> is final and conclusive.</w:t>
      </w:r>
    </w:p>
    <w:p>
      <w:pPr>
        <w:spacing w:after="0" w:line="104"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u w:val="single" w:color="auto"/>
          <w:color w:val="0000FF"/>
        </w:rPr>
        <w:t>9.10</w:t>
      </w:r>
      <w:r>
        <w:rPr>
          <w:sz w:val="20"/>
          <w:szCs w:val="20"/>
          <w:color w:val="auto"/>
        </w:rPr>
        <w:tab/>
      </w:r>
      <w:r>
        <w:rPr>
          <w:rFonts w:ascii="Arial" w:cs="Arial" w:eastAsia="Arial" w:hAnsi="Arial"/>
          <w:sz w:val="17"/>
          <w:szCs w:val="17"/>
          <w:b w:val="1"/>
          <w:bCs w:val="1"/>
          <w:u w:val="single" w:color="auto"/>
          <w:color w:val="0000FF"/>
        </w:rPr>
        <w:t>Notice of certain director nominations</w:t>
      </w:r>
    </w:p>
    <w:p>
      <w:pPr>
        <w:spacing w:after="0" w:line="108" w:lineRule="exact"/>
        <w:rPr>
          <w:sz w:val="20"/>
          <w:szCs w:val="20"/>
          <w:color w:val="auto"/>
        </w:rPr>
      </w:pPr>
    </w:p>
    <w:p>
      <w:pPr>
        <w:ind w:left="1980" w:right="419" w:hanging="344"/>
        <w:spacing w:after="0" w:line="246" w:lineRule="auto"/>
        <w:tabs>
          <w:tab w:leader="none" w:pos="1980" w:val="left"/>
        </w:tabs>
        <w:numPr>
          <w:ilvl w:val="0"/>
          <w:numId w:val="117"/>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In the case of any solicitation of proxies in support of director nominees that is subject to Rule 14a-19 of the Exchange Act, the applicable member’s notice to the company pursuant to Rule 14a-19(b) of the Exchange Act shall be delivered to or mailed and received by the secretary at the registered office of the company no later than the deadline that applies under section 249O of the Corporations Act in order for a member’s proposal to be put to the applicable meeting. The deadline in this rule 9.10(a) shall apply despite any different timeline described in Rule 14a-19 under the Exchange Act or elsewhere in Regulation 14A under the Exchange Act, including with respect to any statements or information required to be provided to the company pursuant to Rule 14a-19 of the Exchange Act by a member.</w:t>
      </w:r>
    </w:p>
    <w:p>
      <w:pPr>
        <w:spacing w:after="0" w:line="175"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119380</wp:posOffset>
            </wp:positionV>
            <wp:extent cx="6786880" cy="1651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980" w:right="419" w:hanging="344"/>
        <w:spacing w:after="0" w:line="243" w:lineRule="auto"/>
        <w:tabs>
          <w:tab w:leader="none" w:pos="1980" w:val="left"/>
        </w:tabs>
        <w:numPr>
          <w:ilvl w:val="0"/>
          <w:numId w:val="118"/>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Notwithstanding anything to the contrary in this constitution, unless otherwise required by law, if any member (i) provides notice pursuant to Rule 14a-19(b) under the Exchange Act (or has previously filed a preliminary or definitive proxy statement with the information required by Rule 14a-19(b) under the Exchange Act) with respect to any proposed nominee for election as a director of the company and (ii) subsequently fails to comply with the requirements of Rule 14a-19(a)(2) or Rule 14a-19(a)(3) under the Exchange Act (or fails to timely provide reasonable evidence sufficient to satisfy the company that such member has met the requirements of Rule 14a-19(a)(3) under the Exchange Act in accordance with the following sentence), then the nomination of each such proposed nominee shall be disregarded, notwithstanding that the nominee is included as a nominee in the company’s proxy statement, notice of meeting or other proxy materials for any meeting (or any supplement thereto) and notwithstanding that proxies or votes in respect of the election of such proposed nominees may have been received by the company (which proxies and votes shall be disregarded). Upon request by the company, if any member provides notice pursuant to Rule 14a-19(b) under the Exchange Act (or has previously filed a preliminary or definitive proxy statement with the information required by Rule 14a-19(b) under the Exchange Act), such member shall deliver to the company, no later than five (5) Business Days prior to the applicable meeting, reasonable evidence that it has met the requirements of Rule 14a-19(a)(3) under the Exchange Act.</w:t>
      </w:r>
    </w:p>
    <w:p>
      <w:pPr>
        <w:spacing w:after="0" w:line="75"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u w:val="single" w:color="auto"/>
          <w:color w:val="0000FF"/>
        </w:rPr>
        <w:t>9.11</w:t>
      </w:r>
      <w:r>
        <w:rPr>
          <w:sz w:val="20"/>
          <w:szCs w:val="20"/>
          <w:color w:val="auto"/>
        </w:rPr>
        <w:tab/>
      </w:r>
      <w:r>
        <w:rPr>
          <w:rFonts w:ascii="Arial" w:cs="Arial" w:eastAsia="Arial" w:hAnsi="Arial"/>
          <w:sz w:val="17"/>
          <w:szCs w:val="17"/>
          <w:b w:val="1"/>
          <w:bCs w:val="1"/>
          <w:color w:val="FF0000"/>
          <w:strike w:val="1"/>
        </w:rPr>
        <w:t xml:space="preserve">9.10 </w:t>
      </w:r>
      <w:r>
        <w:rPr>
          <w:rFonts w:ascii="Arial" w:cs="Arial" w:eastAsia="Arial" w:hAnsi="Arial"/>
          <w:sz w:val="17"/>
          <w:szCs w:val="17"/>
          <w:b w:val="1"/>
          <w:bCs w:val="1"/>
          <w:color w:val="000000"/>
          <w:strike w:val="1"/>
        </w:rPr>
        <w:t>Suspension of general meeting</w:t>
      </w:r>
    </w:p>
    <w:p>
      <w:pPr>
        <w:spacing w:after="0" w:line="108" w:lineRule="exact"/>
        <w:rPr>
          <w:sz w:val="20"/>
          <w:szCs w:val="20"/>
          <w:color w:val="auto"/>
        </w:rPr>
      </w:pPr>
    </w:p>
    <w:p>
      <w:pPr>
        <w:ind w:left="1640" w:right="459"/>
        <w:spacing w:after="0" w:line="252" w:lineRule="auto"/>
        <w:rPr>
          <w:sz w:val="20"/>
          <w:szCs w:val="20"/>
          <w:color w:val="auto"/>
        </w:rPr>
      </w:pPr>
      <w:r>
        <w:rPr>
          <w:rFonts w:ascii="Arial" w:cs="Arial" w:eastAsia="Arial" w:hAnsi="Arial"/>
          <w:sz w:val="17"/>
          <w:szCs w:val="17"/>
          <w:color w:val="003551"/>
        </w:rPr>
        <w:t>The chair may at any time during the course of the meeting, for the purpose of allowing any poll to be taken or determined, suspend the proceedings of the meeting for such period or periods as the chair decides without effecting an adjournment. No business may be transacted and no discussion may take place during any suspension of proceedings unless the chair otherwise allows.</w:t>
      </w:r>
    </w:p>
    <w:p>
      <w:pPr>
        <w:spacing w:after="0" w:line="264"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u w:val="single" w:color="auto"/>
          <w:color w:val="0000FF"/>
        </w:rPr>
        <w:t>9.12</w:t>
      </w:r>
      <w:r>
        <w:rPr>
          <w:sz w:val="20"/>
          <w:szCs w:val="20"/>
          <w:color w:val="auto"/>
        </w:rPr>
        <w:tab/>
      </w:r>
      <w:r>
        <w:rPr>
          <w:rFonts w:ascii="Arial" w:cs="Arial" w:eastAsia="Arial" w:hAnsi="Arial"/>
          <w:sz w:val="17"/>
          <w:szCs w:val="17"/>
          <w:b w:val="1"/>
          <w:bCs w:val="1"/>
          <w:color w:val="FF0000"/>
          <w:strike w:val="1"/>
        </w:rPr>
        <w:t xml:space="preserve">9.11 </w:t>
      </w:r>
      <w:r>
        <w:rPr>
          <w:rFonts w:ascii="Arial" w:cs="Arial" w:eastAsia="Arial" w:hAnsi="Arial"/>
          <w:sz w:val="17"/>
          <w:szCs w:val="17"/>
          <w:b w:val="1"/>
          <w:bCs w:val="1"/>
          <w:color w:val="000000"/>
          <w:strike w:val="1"/>
        </w:rPr>
        <w:t>Amendments to resolutions</w:t>
      </w:r>
    </w:p>
    <w:p>
      <w:pPr>
        <w:spacing w:after="0" w:line="134"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No amendment may be proposed to a resolution to be considered at a general meeting unless:</w:t>
      </w:r>
    </w:p>
    <w:p>
      <w:pPr>
        <w:spacing w:after="0" w:line="106" w:lineRule="exact"/>
        <w:rPr>
          <w:sz w:val="20"/>
          <w:szCs w:val="20"/>
          <w:color w:val="auto"/>
        </w:rPr>
      </w:pPr>
    </w:p>
    <w:p>
      <w:pPr>
        <w:ind w:left="2320" w:right="419" w:hanging="335"/>
        <w:spacing w:after="0" w:line="262" w:lineRule="auto"/>
        <w:tabs>
          <w:tab w:leader="none" w:pos="2320" w:val="left"/>
        </w:tabs>
        <w:numPr>
          <w:ilvl w:val="0"/>
          <w:numId w:val="119"/>
        </w:numPr>
        <w:rPr>
          <w:rFonts w:ascii="Arial" w:cs="Arial" w:eastAsia="Arial" w:hAnsi="Arial"/>
          <w:sz w:val="17"/>
          <w:szCs w:val="17"/>
          <w:color w:val="003551"/>
        </w:rPr>
      </w:pPr>
      <w:r>
        <w:rPr>
          <w:rFonts w:ascii="Arial" w:cs="Arial" w:eastAsia="Arial" w:hAnsi="Arial"/>
          <w:sz w:val="17"/>
          <w:szCs w:val="17"/>
          <w:color w:val="003551"/>
        </w:rPr>
        <w:t>notice of the intention to move the amendment and a copy of the resolution as proposed to be amended are received at the registered office of the company at least 72 hours before the time appointed for the holding of the meeting; or</w:t>
      </w:r>
    </w:p>
    <w:p>
      <w:pPr>
        <w:spacing w:after="0" w:line="54" w:lineRule="exact"/>
        <w:rPr>
          <w:rFonts w:ascii="Arial" w:cs="Arial" w:eastAsia="Arial" w:hAnsi="Arial"/>
          <w:sz w:val="17"/>
          <w:szCs w:val="17"/>
          <w:color w:val="003551"/>
        </w:rPr>
      </w:pPr>
    </w:p>
    <w:p>
      <w:pPr>
        <w:ind w:left="2320" w:right="679" w:hanging="335"/>
        <w:spacing w:after="0" w:line="283" w:lineRule="auto"/>
        <w:tabs>
          <w:tab w:leader="none" w:pos="2320" w:val="left"/>
        </w:tabs>
        <w:numPr>
          <w:ilvl w:val="0"/>
          <w:numId w:val="119"/>
        </w:numPr>
        <w:rPr>
          <w:rFonts w:ascii="Arial" w:cs="Arial" w:eastAsia="Arial" w:hAnsi="Arial"/>
          <w:sz w:val="17"/>
          <w:szCs w:val="17"/>
          <w:color w:val="003551"/>
        </w:rPr>
      </w:pPr>
      <w:r>
        <w:rPr>
          <w:rFonts w:ascii="Arial" w:cs="Arial" w:eastAsia="Arial" w:hAnsi="Arial"/>
          <w:sz w:val="17"/>
          <w:szCs w:val="17"/>
          <w:color w:val="003551"/>
        </w:rPr>
        <w:t>the chair of the meeting in his or her absolute discretion decides that the amendment may properly be considered and voted on.</w:t>
      </w:r>
    </w:p>
    <w:p>
      <w:pPr>
        <w:spacing w:after="0" w:line="37" w:lineRule="exact"/>
        <w:rPr>
          <w:sz w:val="20"/>
          <w:szCs w:val="20"/>
          <w:color w:val="auto"/>
        </w:rPr>
      </w:pPr>
    </w:p>
    <w:p>
      <w:pPr>
        <w:ind w:left="1640" w:right="459"/>
        <w:spacing w:after="0" w:line="255" w:lineRule="auto"/>
        <w:rPr>
          <w:sz w:val="20"/>
          <w:szCs w:val="20"/>
          <w:color w:val="auto"/>
        </w:rPr>
      </w:pPr>
      <w:r>
        <w:rPr>
          <w:rFonts w:ascii="Arial" w:cs="Arial" w:eastAsia="Arial" w:hAnsi="Arial"/>
          <w:sz w:val="17"/>
          <w:szCs w:val="17"/>
          <w:color w:val="003551"/>
        </w:rPr>
        <w:t xml:space="preserve">Nothing in this </w:t>
      </w:r>
      <w:r>
        <w:rPr>
          <w:rFonts w:ascii="Arial" w:cs="Arial" w:eastAsia="Arial" w:hAnsi="Arial"/>
          <w:sz w:val="17"/>
          <w:szCs w:val="17"/>
          <w:u w:val="single" w:color="auto"/>
          <w:color w:val="003551"/>
        </w:rPr>
        <w:t>rule</w:t>
      </w:r>
      <w:r>
        <w:rPr>
          <w:rFonts w:ascii="Arial" w:cs="Arial" w:eastAsia="Arial" w:hAnsi="Arial"/>
          <w:sz w:val="17"/>
          <w:szCs w:val="17"/>
          <w:color w:val="003551"/>
        </w:rPr>
        <w:t xml:space="preserve"> </w:t>
      </w:r>
      <w:r>
        <w:rPr>
          <w:rFonts w:ascii="Arial" w:cs="Arial" w:eastAsia="Arial" w:hAnsi="Arial"/>
          <w:sz w:val="17"/>
          <w:szCs w:val="17"/>
          <w:color w:val="FF0000"/>
          <w:strike w:val="1"/>
        </w:rPr>
        <w:t>9.11</w:t>
      </w:r>
      <w:r>
        <w:rPr>
          <w:rFonts w:ascii="Arial" w:cs="Arial" w:eastAsia="Arial" w:hAnsi="Arial"/>
          <w:sz w:val="17"/>
          <w:szCs w:val="17"/>
          <w:u w:val="single" w:color="auto"/>
          <w:color w:val="0000FF"/>
        </w:rPr>
        <w:t>9.12</w:t>
      </w:r>
      <w:r>
        <w:rPr>
          <w:rFonts w:ascii="Arial" w:cs="Arial" w:eastAsia="Arial" w:hAnsi="Arial"/>
          <w:sz w:val="17"/>
          <w:szCs w:val="17"/>
          <w:color w:val="003551"/>
        </w:rPr>
        <w:t xml:space="preserve"> </w:t>
      </w:r>
      <w:r>
        <w:rPr>
          <w:rFonts w:ascii="Arial" w:cs="Arial" w:eastAsia="Arial" w:hAnsi="Arial"/>
          <w:sz w:val="17"/>
          <w:szCs w:val="17"/>
          <w:color w:val="000000"/>
        </w:rPr>
        <w:t>nor the giving of any notice referred to in</w:t>
      </w:r>
      <w:r>
        <w:rPr>
          <w:rFonts w:ascii="Arial" w:cs="Arial" w:eastAsia="Arial" w:hAnsi="Arial"/>
          <w:sz w:val="17"/>
          <w:szCs w:val="17"/>
          <w:color w:val="003551"/>
        </w:rPr>
        <w:t xml:space="preserve"> </w:t>
      </w:r>
      <w:r>
        <w:rPr>
          <w:rFonts w:ascii="Arial" w:cs="Arial" w:eastAsia="Arial" w:hAnsi="Arial"/>
          <w:sz w:val="17"/>
          <w:szCs w:val="17"/>
          <w:u w:val="single" w:color="auto"/>
          <w:color w:val="000000"/>
        </w:rPr>
        <w:t>rule</w:t>
      </w:r>
      <w:r>
        <w:rPr>
          <w:rFonts w:ascii="Arial" w:cs="Arial" w:eastAsia="Arial" w:hAnsi="Arial"/>
          <w:sz w:val="17"/>
          <w:szCs w:val="17"/>
          <w:color w:val="003551"/>
        </w:rPr>
        <w:t xml:space="preserve"> </w:t>
      </w:r>
      <w:r>
        <w:rPr>
          <w:rFonts w:ascii="Arial" w:cs="Arial" w:eastAsia="Arial" w:hAnsi="Arial"/>
          <w:sz w:val="17"/>
          <w:szCs w:val="17"/>
          <w:color w:val="FF0000"/>
          <w:strike w:val="1"/>
        </w:rPr>
        <w:t>9.11</w:t>
      </w:r>
      <w:r>
        <w:rPr>
          <w:rFonts w:ascii="Arial" w:cs="Arial" w:eastAsia="Arial" w:hAnsi="Arial"/>
          <w:sz w:val="17"/>
          <w:szCs w:val="17"/>
          <w:u w:val="single" w:color="auto"/>
          <w:color w:val="0000FF"/>
        </w:rPr>
        <w:t>9.12</w:t>
      </w:r>
      <w:r>
        <w:rPr>
          <w:rFonts w:ascii="Arial" w:cs="Arial" w:eastAsia="Arial" w:hAnsi="Arial"/>
          <w:sz w:val="17"/>
          <w:szCs w:val="17"/>
          <w:color w:val="000000"/>
        </w:rPr>
        <w:t>(a) prejudices</w:t>
      </w:r>
      <w:r>
        <w:rPr>
          <w:rFonts w:ascii="Arial" w:cs="Arial" w:eastAsia="Arial" w:hAnsi="Arial"/>
          <w:sz w:val="17"/>
          <w:szCs w:val="17"/>
          <w:color w:val="003551"/>
        </w:rPr>
        <w:t xml:space="preserve"> </w:t>
      </w:r>
      <w:r>
        <w:rPr>
          <w:rFonts w:ascii="Arial" w:cs="Arial" w:eastAsia="Arial" w:hAnsi="Arial"/>
          <w:sz w:val="17"/>
          <w:szCs w:val="17"/>
          <w:color w:val="000000"/>
        </w:rPr>
        <w:t>the power of the chair of the meeting to rule any proposed amendment unacceptable or out of order. Any ruling by the chair of the meeting in relation to a resolution or an amendment to a resolution is final and conclusive.</w:t>
      </w:r>
    </w:p>
    <w:p>
      <w:pPr>
        <w:spacing w:after="0" w:line="58"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u w:val="single" w:color="auto"/>
          <w:color w:val="0000FF"/>
        </w:rPr>
        <w:t>9.13</w:t>
      </w:r>
      <w:r>
        <w:rPr>
          <w:sz w:val="20"/>
          <w:szCs w:val="20"/>
          <w:color w:val="auto"/>
        </w:rPr>
        <w:tab/>
      </w:r>
      <w:r>
        <w:rPr>
          <w:rFonts w:ascii="Arial" w:cs="Arial" w:eastAsia="Arial" w:hAnsi="Arial"/>
          <w:sz w:val="17"/>
          <w:szCs w:val="17"/>
          <w:b w:val="1"/>
          <w:bCs w:val="1"/>
          <w:color w:val="FF0000"/>
          <w:strike w:val="1"/>
        </w:rPr>
        <w:t xml:space="preserve">9.12 </w:t>
      </w:r>
      <w:r>
        <w:rPr>
          <w:rFonts w:ascii="Arial" w:cs="Arial" w:eastAsia="Arial" w:hAnsi="Arial"/>
          <w:sz w:val="17"/>
          <w:szCs w:val="17"/>
          <w:b w:val="1"/>
          <w:bCs w:val="1"/>
          <w:color w:val="000000"/>
          <w:strike w:val="1"/>
        </w:rPr>
        <w:t>Adjournment of general meeting</w:t>
      </w:r>
    </w:p>
    <w:p>
      <w:pPr>
        <w:spacing w:after="0" w:line="108" w:lineRule="exact"/>
        <w:rPr>
          <w:sz w:val="20"/>
          <w:szCs w:val="20"/>
          <w:color w:val="auto"/>
        </w:rPr>
      </w:pPr>
    </w:p>
    <w:p>
      <w:pPr>
        <w:ind w:left="1640" w:right="419"/>
        <w:spacing w:after="0" w:line="250" w:lineRule="auto"/>
        <w:rPr>
          <w:sz w:val="20"/>
          <w:szCs w:val="20"/>
          <w:color w:val="auto"/>
        </w:rPr>
      </w:pPr>
      <w:r>
        <w:rPr>
          <w:rFonts w:ascii="Arial" w:cs="Arial" w:eastAsia="Arial" w:hAnsi="Arial"/>
          <w:sz w:val="17"/>
          <w:szCs w:val="17"/>
          <w:color w:val="003551"/>
        </w:rPr>
        <w:t>The chair of a general meeting may at any time during the meeting adjourn the meeting to such day, time and place as the chair determines, but only unfinished business is to be transacted at a meeting resumed after an adjournment. No person other than the chair of a general meeting may adjourn the meeting and members are not entitled to direct that the chair adjourn any meeting or to vote on any motion to adjourn the meeting unless the chair determines that a vote should be taken.</w:t>
      </w:r>
    </w:p>
    <w:p>
      <w:pPr>
        <w:spacing w:after="0" w:line="370"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127635</wp:posOffset>
            </wp:positionV>
            <wp:extent cx="6786880" cy="1651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u w:val="single" w:color="auto"/>
          <w:color w:val="0000FF"/>
        </w:rPr>
        <w:t>9.14</w:t>
      </w:r>
      <w:r>
        <w:rPr>
          <w:sz w:val="20"/>
          <w:szCs w:val="20"/>
          <w:color w:val="auto"/>
        </w:rPr>
        <w:tab/>
      </w:r>
      <w:r>
        <w:rPr>
          <w:rFonts w:ascii="Arial" w:cs="Arial" w:eastAsia="Arial" w:hAnsi="Arial"/>
          <w:sz w:val="17"/>
          <w:szCs w:val="17"/>
          <w:b w:val="1"/>
          <w:bCs w:val="1"/>
          <w:color w:val="FF0000"/>
          <w:strike w:val="1"/>
        </w:rPr>
        <w:t xml:space="preserve">9.13 </w:t>
      </w:r>
      <w:r>
        <w:rPr>
          <w:rFonts w:ascii="Arial" w:cs="Arial" w:eastAsia="Arial" w:hAnsi="Arial"/>
          <w:sz w:val="17"/>
          <w:szCs w:val="17"/>
          <w:b w:val="1"/>
          <w:bCs w:val="1"/>
          <w:color w:val="000000"/>
          <w:strike w:val="1"/>
        </w:rPr>
        <w:t>Business of adjourned meeting</w:t>
      </w:r>
    </w:p>
    <w:p>
      <w:pPr>
        <w:spacing w:after="0" w:line="108" w:lineRule="exact"/>
        <w:rPr>
          <w:sz w:val="20"/>
          <w:szCs w:val="20"/>
          <w:color w:val="auto"/>
        </w:rPr>
      </w:pPr>
    </w:p>
    <w:p>
      <w:pPr>
        <w:ind w:left="1980" w:right="439" w:hanging="344"/>
        <w:spacing w:after="0" w:line="283" w:lineRule="auto"/>
        <w:tabs>
          <w:tab w:leader="none" w:pos="1980" w:val="left"/>
        </w:tabs>
        <w:numPr>
          <w:ilvl w:val="0"/>
          <w:numId w:val="120"/>
        </w:numPr>
        <w:rPr>
          <w:rFonts w:ascii="Arial" w:cs="Arial" w:eastAsia="Arial" w:hAnsi="Arial"/>
          <w:sz w:val="17"/>
          <w:szCs w:val="17"/>
          <w:color w:val="003551"/>
        </w:rPr>
      </w:pPr>
      <w:r>
        <w:rPr>
          <w:rFonts w:ascii="Arial" w:cs="Arial" w:eastAsia="Arial" w:hAnsi="Arial"/>
          <w:sz w:val="17"/>
          <w:szCs w:val="17"/>
          <w:color w:val="003551"/>
        </w:rPr>
        <w:t xml:space="preserve">All business conducted at a general meeting up to the time of any adjournment shall, subject to </w:t>
      </w:r>
      <w:r>
        <w:rPr>
          <w:rFonts w:ascii="Arial" w:cs="Arial" w:eastAsia="Arial" w:hAnsi="Arial"/>
          <w:sz w:val="17"/>
          <w:szCs w:val="17"/>
          <w:color w:val="FF0000"/>
          <w:strike w:val="1"/>
        </w:rPr>
        <w:t>paragraph9.13</w:t>
      </w:r>
      <w:r>
        <w:rPr>
          <w:rFonts w:ascii="Arial" w:cs="Arial" w:eastAsia="Arial" w:hAnsi="Arial"/>
          <w:sz w:val="17"/>
          <w:szCs w:val="17"/>
          <w:u w:val="single" w:color="auto"/>
          <w:color w:val="0000FF"/>
        </w:rPr>
        <w:t>rule 9.14(b)</w:t>
      </w:r>
      <w:r>
        <w:rPr>
          <w:rFonts w:ascii="Arial" w:cs="Arial" w:eastAsia="Arial" w:hAnsi="Arial"/>
          <w:sz w:val="17"/>
          <w:szCs w:val="17"/>
          <w:color w:val="003551"/>
        </w:rPr>
        <w:t xml:space="preserve"> </w:t>
      </w:r>
      <w:r>
        <w:rPr>
          <w:rFonts w:ascii="Arial" w:cs="Arial" w:eastAsia="Arial" w:hAnsi="Arial"/>
          <w:sz w:val="17"/>
          <w:szCs w:val="17"/>
          <w:color w:val="000000"/>
        </w:rPr>
        <w:t>below, be valid.</w:t>
      </w:r>
    </w:p>
    <w:p>
      <w:pPr>
        <w:spacing w:after="0" w:line="36" w:lineRule="exact"/>
        <w:rPr>
          <w:rFonts w:ascii="Arial" w:cs="Arial" w:eastAsia="Arial" w:hAnsi="Arial"/>
          <w:sz w:val="17"/>
          <w:szCs w:val="17"/>
          <w:color w:val="003551"/>
        </w:rPr>
      </w:pPr>
    </w:p>
    <w:p>
      <w:pPr>
        <w:jc w:val="both"/>
        <w:ind w:left="1980" w:right="479" w:hanging="344"/>
        <w:spacing w:after="0" w:line="262" w:lineRule="auto"/>
        <w:tabs>
          <w:tab w:leader="none" w:pos="1980" w:val="left"/>
        </w:tabs>
        <w:numPr>
          <w:ilvl w:val="0"/>
          <w:numId w:val="120"/>
        </w:numPr>
        <w:rPr>
          <w:rFonts w:ascii="Arial" w:cs="Arial" w:eastAsia="Arial" w:hAnsi="Arial"/>
          <w:sz w:val="17"/>
          <w:szCs w:val="17"/>
          <w:color w:val="003551"/>
        </w:rPr>
      </w:pPr>
      <w:r>
        <w:rPr>
          <w:rFonts w:ascii="Arial" w:cs="Arial" w:eastAsia="Arial" w:hAnsi="Arial"/>
          <w:sz w:val="17"/>
          <w:szCs w:val="17"/>
          <w:color w:val="003551"/>
        </w:rPr>
        <w:t>The chair of the meeting may specify that only the business conducted at a general meeting up to a point in time which is earlier than the time of adjournment is valid if, in his opinion, to do so would be more appropriate.</w:t>
      </w:r>
    </w:p>
    <w:p>
      <w:pPr>
        <w:spacing w:after="0" w:line="52"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u w:val="single" w:color="auto"/>
          <w:color w:val="0000FF"/>
        </w:rPr>
        <w:t>9.15</w:t>
      </w:r>
      <w:r>
        <w:rPr>
          <w:sz w:val="20"/>
          <w:szCs w:val="20"/>
          <w:color w:val="auto"/>
        </w:rPr>
        <w:tab/>
      </w:r>
      <w:r>
        <w:rPr>
          <w:rFonts w:ascii="Arial" w:cs="Arial" w:eastAsia="Arial" w:hAnsi="Arial"/>
          <w:sz w:val="17"/>
          <w:szCs w:val="17"/>
          <w:b w:val="1"/>
          <w:bCs w:val="1"/>
          <w:color w:val="FF0000"/>
          <w:strike w:val="1"/>
        </w:rPr>
        <w:t xml:space="preserve">9.14 </w:t>
      </w:r>
      <w:r>
        <w:rPr>
          <w:rFonts w:ascii="Arial" w:cs="Arial" w:eastAsia="Arial" w:hAnsi="Arial"/>
          <w:sz w:val="17"/>
          <w:szCs w:val="17"/>
          <w:b w:val="1"/>
          <w:bCs w:val="1"/>
          <w:color w:val="000000"/>
          <w:strike w:val="1"/>
        </w:rPr>
        <w:t>Notice of adjourned meeting</w:t>
      </w:r>
    </w:p>
    <w:p>
      <w:pPr>
        <w:spacing w:after="0" w:line="108" w:lineRule="exact"/>
        <w:rPr>
          <w:sz w:val="20"/>
          <w:szCs w:val="20"/>
          <w:color w:val="auto"/>
        </w:rPr>
      </w:pPr>
    </w:p>
    <w:p>
      <w:pPr>
        <w:ind w:left="1640" w:right="439"/>
        <w:spacing w:after="0" w:line="262" w:lineRule="auto"/>
        <w:rPr>
          <w:sz w:val="20"/>
          <w:szCs w:val="20"/>
          <w:color w:val="auto"/>
        </w:rPr>
      </w:pPr>
      <w:r>
        <w:rPr>
          <w:rFonts w:ascii="Arial" w:cs="Arial" w:eastAsia="Arial" w:hAnsi="Arial"/>
          <w:sz w:val="17"/>
          <w:szCs w:val="17"/>
          <w:color w:val="003551"/>
        </w:rPr>
        <w:t xml:space="preserve">If a general meeting is adjourned under </w:t>
      </w:r>
      <w:r>
        <w:rPr>
          <w:rFonts w:ascii="Arial" w:cs="Arial" w:eastAsia="Arial" w:hAnsi="Arial"/>
          <w:sz w:val="17"/>
          <w:szCs w:val="17"/>
          <w:u w:val="single" w:color="auto"/>
          <w:color w:val="003551"/>
        </w:rPr>
        <w:t>rule 9.4(b)</w:t>
      </w:r>
      <w:r>
        <w:rPr>
          <w:rFonts w:ascii="Arial" w:cs="Arial" w:eastAsia="Arial" w:hAnsi="Arial"/>
          <w:sz w:val="17"/>
          <w:szCs w:val="17"/>
          <w:color w:val="003551"/>
        </w:rPr>
        <w:t xml:space="preserve"> or </w:t>
      </w:r>
      <w:r>
        <w:rPr>
          <w:rFonts w:ascii="Arial" w:cs="Arial" w:eastAsia="Arial" w:hAnsi="Arial"/>
          <w:sz w:val="17"/>
          <w:szCs w:val="17"/>
          <w:u w:val="single" w:color="auto"/>
          <w:color w:val="003551"/>
        </w:rPr>
        <w:t>rule</w:t>
      </w:r>
      <w:r>
        <w:rPr>
          <w:rFonts w:ascii="Arial" w:cs="Arial" w:eastAsia="Arial" w:hAnsi="Arial"/>
          <w:sz w:val="17"/>
          <w:szCs w:val="17"/>
          <w:color w:val="003551"/>
        </w:rPr>
        <w:t xml:space="preserve"> </w:t>
      </w:r>
      <w:r>
        <w:rPr>
          <w:rFonts w:ascii="Arial" w:cs="Arial" w:eastAsia="Arial" w:hAnsi="Arial"/>
          <w:sz w:val="17"/>
          <w:szCs w:val="17"/>
          <w:color w:val="FF0000"/>
          <w:strike w:val="1"/>
        </w:rPr>
        <w:t>9.12</w:t>
      </w:r>
      <w:r>
        <w:rPr>
          <w:rFonts w:ascii="Arial" w:cs="Arial" w:eastAsia="Arial" w:hAnsi="Arial"/>
          <w:sz w:val="17"/>
          <w:szCs w:val="17"/>
          <w:u w:val="single" w:color="auto"/>
          <w:color w:val="0000FF"/>
        </w:rPr>
        <w:t>9.13</w:t>
      </w:r>
      <w:r>
        <w:rPr>
          <w:rFonts w:ascii="Arial" w:cs="Arial" w:eastAsia="Arial" w:hAnsi="Arial"/>
          <w:sz w:val="17"/>
          <w:szCs w:val="17"/>
          <w:color w:val="000000"/>
        </w:rPr>
        <w:t>, notice of the adjourned</w:t>
      </w:r>
      <w:r>
        <w:rPr>
          <w:rFonts w:ascii="Arial" w:cs="Arial" w:eastAsia="Arial" w:hAnsi="Arial"/>
          <w:sz w:val="17"/>
          <w:szCs w:val="17"/>
          <w:color w:val="003551"/>
        </w:rPr>
        <w:t xml:space="preserve"> </w:t>
      </w:r>
      <w:r>
        <w:rPr>
          <w:rFonts w:ascii="Arial" w:cs="Arial" w:eastAsia="Arial" w:hAnsi="Arial"/>
          <w:sz w:val="17"/>
          <w:szCs w:val="17"/>
          <w:color w:val="000000"/>
        </w:rPr>
        <w:t xml:space="preserve">meeting must be given to the Exchange, but need not be given to any other person other than as required by the Listing Rules </w:t>
      </w:r>
      <w:r>
        <w:rPr>
          <w:rFonts w:ascii="Arial" w:cs="Arial" w:eastAsia="Arial" w:hAnsi="Arial"/>
          <w:sz w:val="17"/>
          <w:szCs w:val="17"/>
          <w:color w:val="0000FF"/>
        </w:rPr>
        <w:t>and the Securities Laws</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2441575</wp:posOffset>
            </wp:positionH>
            <wp:positionV relativeFrom="paragraph">
              <wp:posOffset>-20955</wp:posOffset>
            </wp:positionV>
            <wp:extent cx="120586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05865" cy="8255"/>
                    </a:xfrm>
                    <a:prstGeom prst="rect">
                      <a:avLst/>
                    </a:prstGeom>
                    <a:noFill/>
                  </pic:spPr>
                </pic:pic>
              </a:graphicData>
            </a:graphic>
          </wp:anchor>
        </w:drawing>
        <w:drawing>
          <wp:anchor simplePos="0" relativeHeight="251657728" behindDoc="1" locked="0" layoutInCell="0" allowOverlap="1">
            <wp:simplePos x="0" y="0"/>
            <wp:positionH relativeFrom="column">
              <wp:posOffset>2443480</wp:posOffset>
            </wp:positionH>
            <wp:positionV relativeFrom="paragraph">
              <wp:posOffset>-37465</wp:posOffset>
            </wp:positionV>
            <wp:extent cx="120777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07770" cy="8255"/>
                    </a:xfrm>
                    <a:prstGeom prst="rect">
                      <a:avLst/>
                    </a:prstGeom>
                    <a:noFill/>
                  </pic:spPr>
                </pic:pic>
              </a:graphicData>
            </a:graphic>
          </wp:anchor>
        </w:drawing>
      </w:r>
    </w:p>
    <w:p>
      <w:pPr>
        <w:spacing w:after="0" w:line="32"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u w:val="single" w:color="auto"/>
          <w:color w:val="0000FF"/>
        </w:rPr>
        <w:t>9.16</w:t>
      </w:r>
      <w:r>
        <w:rPr>
          <w:sz w:val="20"/>
          <w:szCs w:val="20"/>
          <w:color w:val="auto"/>
        </w:rPr>
        <w:tab/>
      </w:r>
      <w:r>
        <w:rPr>
          <w:rFonts w:ascii="Arial" w:cs="Arial" w:eastAsia="Arial" w:hAnsi="Arial"/>
          <w:sz w:val="17"/>
          <w:szCs w:val="17"/>
          <w:b w:val="1"/>
          <w:bCs w:val="1"/>
          <w:color w:val="FF0000"/>
          <w:strike w:val="1"/>
        </w:rPr>
        <w:t xml:space="preserve">9.15 </w:t>
      </w:r>
      <w:r>
        <w:rPr>
          <w:rFonts w:ascii="Arial" w:cs="Arial" w:eastAsia="Arial" w:hAnsi="Arial"/>
          <w:sz w:val="17"/>
          <w:szCs w:val="17"/>
          <w:b w:val="1"/>
          <w:bCs w:val="1"/>
          <w:color w:val="000000"/>
          <w:strike w:val="1"/>
        </w:rPr>
        <w:t>Directors entitled to attend and speak at general meeting</w:t>
      </w:r>
    </w:p>
    <w:p>
      <w:pPr>
        <w:spacing w:after="0" w:line="134"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The directors are entitled to attend and speak at a general meeting of the company.</w:t>
      </w:r>
    </w:p>
    <w:p>
      <w:pPr>
        <w:spacing w:after="0" w:line="104" w:lineRule="exact"/>
        <w:rPr>
          <w:sz w:val="20"/>
          <w:szCs w:val="20"/>
          <w:color w:val="auto"/>
        </w:rPr>
      </w:pPr>
    </w:p>
    <w:p>
      <w:pPr>
        <w:ind w:left="940" w:right="5099" w:hanging="3"/>
        <w:spacing w:after="0" w:line="371" w:lineRule="auto"/>
        <w:tabs>
          <w:tab w:leader="none" w:pos="1634" w:val="left"/>
        </w:tabs>
        <w:numPr>
          <w:ilvl w:val="0"/>
          <w:numId w:val="121"/>
        </w:numPr>
        <w:rPr>
          <w:rFonts w:ascii="Arial" w:cs="Arial" w:eastAsia="Arial" w:hAnsi="Arial"/>
          <w:sz w:val="17"/>
          <w:szCs w:val="17"/>
          <w:b w:val="1"/>
          <w:bCs w:val="1"/>
          <w:color w:val="003551"/>
        </w:rPr>
      </w:pPr>
      <w:r>
        <w:rPr>
          <w:rFonts w:ascii="Arial" w:cs="Arial" w:eastAsia="Arial" w:hAnsi="Arial"/>
          <w:sz w:val="17"/>
          <w:szCs w:val="17"/>
          <w:b w:val="1"/>
          <w:bCs w:val="1"/>
          <w:color w:val="003551"/>
        </w:rPr>
        <w:t>VOTING AT GENERAL MEETINGS 10.1 How resolutions are decided</w:t>
      </w:r>
    </w:p>
    <w:p>
      <w:pPr>
        <w:ind w:left="1640" w:right="459"/>
        <w:spacing w:after="0" w:line="251" w:lineRule="auto"/>
        <w:rPr>
          <w:sz w:val="20"/>
          <w:szCs w:val="20"/>
          <w:color w:val="auto"/>
        </w:rPr>
      </w:pPr>
      <w:r>
        <w:rPr>
          <w:rFonts w:ascii="Arial" w:cs="Arial" w:eastAsia="Arial" w:hAnsi="Arial"/>
          <w:sz w:val="17"/>
          <w:szCs w:val="17"/>
          <w:color w:val="003551"/>
        </w:rPr>
        <w:t>Subject to the requirements of the Corporations Act, a resolution is taken to be carried if a majority of the votes cast on the resolution are in favour of it. If there is an equality of votes on any proposed resolution of members, the chair of the meeting is entitled to a casting vote, in addition to any votes to which the chair is entitled to cast as a member, corporate representative, proxy or attorney.</w:t>
      </w:r>
    </w:p>
    <w:p>
      <w:pPr>
        <w:spacing w:after="0" w:line="63"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10.2</w:t>
      </w:r>
      <w:r>
        <w:rPr>
          <w:sz w:val="20"/>
          <w:szCs w:val="20"/>
          <w:color w:val="auto"/>
        </w:rPr>
        <w:tab/>
      </w:r>
      <w:r>
        <w:rPr>
          <w:rFonts w:ascii="Arial" w:cs="Arial" w:eastAsia="Arial" w:hAnsi="Arial"/>
          <w:sz w:val="17"/>
          <w:szCs w:val="17"/>
          <w:b w:val="1"/>
          <w:bCs w:val="1"/>
          <w:color w:val="003551"/>
        </w:rPr>
        <w:t>Method of voting</w:t>
      </w:r>
    </w:p>
    <w:p>
      <w:pPr>
        <w:spacing w:after="0" w:line="108" w:lineRule="exact"/>
        <w:rPr>
          <w:sz w:val="20"/>
          <w:szCs w:val="20"/>
          <w:color w:val="auto"/>
        </w:rPr>
      </w:pPr>
    </w:p>
    <w:p>
      <w:pPr>
        <w:ind w:left="1640" w:right="399"/>
        <w:spacing w:after="0" w:line="246" w:lineRule="auto"/>
        <w:rPr>
          <w:sz w:val="20"/>
          <w:szCs w:val="20"/>
          <w:color w:val="auto"/>
        </w:rPr>
      </w:pPr>
      <w:r>
        <w:rPr>
          <w:rFonts w:ascii="Arial" w:cs="Arial" w:eastAsia="Arial" w:hAnsi="Arial"/>
          <w:sz w:val="17"/>
          <w:szCs w:val="17"/>
          <w:color w:val="003551"/>
        </w:rPr>
        <w:t xml:space="preserve">At a general meeting a resolution put to the vote of the meeting must be decided by poll (rather than on a show of hands), unless otherwise determined by the board and approved by the holders of the B class shares (but subject to any right to demand a poll under </w:t>
      </w:r>
      <w:r>
        <w:rPr>
          <w:rFonts w:ascii="Arial" w:cs="Arial" w:eastAsia="Arial" w:hAnsi="Arial"/>
          <w:sz w:val="17"/>
          <w:szCs w:val="17"/>
          <w:u w:val="single" w:color="auto"/>
          <w:color w:val="003551"/>
        </w:rPr>
        <w:t>rule 10.3</w:t>
      </w:r>
      <w:r>
        <w:rPr>
          <w:rFonts w:ascii="Arial" w:cs="Arial" w:eastAsia="Arial" w:hAnsi="Arial"/>
          <w:sz w:val="17"/>
          <w:szCs w:val="17"/>
          <w:color w:val="003551"/>
        </w:rPr>
        <w:t>, which will override any decision to vote by show of hands). If determined to vote by show of hands, a declaration by the chair that a resolution has been carried on a show of hands or carried unanimously, or by a particular majority, or lost, and an entry to that effect in the book containing the minutes of the proceedings of the company, is conclusive evidence of the fact. Neither the chair nor the minutes need state, and it is not necessary to prove, the number or proportion of the votes recorded in favour of or against the resolution.</w:t>
      </w:r>
    </w:p>
    <w:p>
      <w:pPr>
        <w:spacing w:after="0" w:line="68"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10.3</w:t>
      </w:r>
      <w:r>
        <w:rPr>
          <w:sz w:val="20"/>
          <w:szCs w:val="20"/>
          <w:color w:val="auto"/>
        </w:rPr>
        <w:tab/>
      </w:r>
      <w:r>
        <w:rPr>
          <w:rFonts w:ascii="Arial" w:cs="Arial" w:eastAsia="Arial" w:hAnsi="Arial"/>
          <w:sz w:val="17"/>
          <w:szCs w:val="17"/>
          <w:b w:val="1"/>
          <w:bCs w:val="1"/>
          <w:color w:val="003551"/>
        </w:rPr>
        <w:t>Demand for a poll</w:t>
      </w:r>
    </w:p>
    <w:p>
      <w:pPr>
        <w:spacing w:after="0" w:line="147"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 xml:space="preserve">Other than as set out under </w:t>
      </w:r>
      <w:r>
        <w:rPr>
          <w:rFonts w:ascii="Arial" w:cs="Arial" w:eastAsia="Arial" w:hAnsi="Arial"/>
          <w:sz w:val="17"/>
          <w:szCs w:val="17"/>
          <w:u w:val="single" w:color="auto"/>
          <w:color w:val="003551"/>
        </w:rPr>
        <w:t>rule 10.2</w:t>
      </w:r>
      <w:r>
        <w:rPr>
          <w:rFonts w:ascii="Arial" w:cs="Arial" w:eastAsia="Arial" w:hAnsi="Arial"/>
          <w:sz w:val="17"/>
          <w:szCs w:val="17"/>
          <w:color w:val="003551"/>
        </w:rPr>
        <w:t>, a poll may be demanded on any resolution by:</w:t>
      </w:r>
    </w:p>
    <w:p>
      <w:pPr>
        <w:spacing w:after="0" w:line="106" w:lineRule="exact"/>
        <w:rPr>
          <w:sz w:val="20"/>
          <w:szCs w:val="20"/>
          <w:color w:val="auto"/>
        </w:rPr>
      </w:pPr>
    </w:p>
    <w:p>
      <w:pPr>
        <w:ind w:left="2320" w:hanging="335"/>
        <w:spacing w:after="0"/>
        <w:tabs>
          <w:tab w:leader="none" w:pos="2320" w:val="left"/>
        </w:tabs>
        <w:numPr>
          <w:ilvl w:val="0"/>
          <w:numId w:val="122"/>
        </w:numPr>
        <w:rPr>
          <w:rFonts w:ascii="Arial" w:cs="Arial" w:eastAsia="Arial" w:hAnsi="Arial"/>
          <w:sz w:val="17"/>
          <w:szCs w:val="17"/>
          <w:color w:val="003551"/>
        </w:rPr>
      </w:pPr>
      <w:r>
        <w:rPr>
          <w:rFonts w:ascii="Arial" w:cs="Arial" w:eastAsia="Arial" w:hAnsi="Arial"/>
          <w:sz w:val="17"/>
          <w:szCs w:val="17"/>
          <w:color w:val="003551"/>
        </w:rPr>
        <w:t>at least five members entitled to vote on the resolution;</w:t>
      </w:r>
    </w:p>
    <w:p>
      <w:pPr>
        <w:spacing w:after="0" w:line="105" w:lineRule="exact"/>
        <w:rPr>
          <w:rFonts w:ascii="Arial" w:cs="Arial" w:eastAsia="Arial" w:hAnsi="Arial"/>
          <w:sz w:val="17"/>
          <w:szCs w:val="17"/>
          <w:color w:val="003551"/>
        </w:rPr>
      </w:pPr>
    </w:p>
    <w:p>
      <w:pPr>
        <w:ind w:left="2320" w:right="399" w:hanging="335"/>
        <w:spacing w:after="0" w:line="283" w:lineRule="auto"/>
        <w:tabs>
          <w:tab w:leader="none" w:pos="2320" w:val="left"/>
        </w:tabs>
        <w:numPr>
          <w:ilvl w:val="0"/>
          <w:numId w:val="122"/>
        </w:numPr>
        <w:rPr>
          <w:rFonts w:ascii="Arial" w:cs="Arial" w:eastAsia="Arial" w:hAnsi="Arial"/>
          <w:sz w:val="17"/>
          <w:szCs w:val="17"/>
          <w:color w:val="003551"/>
        </w:rPr>
      </w:pPr>
      <w:r>
        <w:rPr>
          <w:rFonts w:ascii="Arial" w:cs="Arial" w:eastAsia="Arial" w:hAnsi="Arial"/>
          <w:sz w:val="17"/>
          <w:szCs w:val="17"/>
          <w:color w:val="003551"/>
        </w:rPr>
        <w:t>members entitled to cast at least 5% of the votes that may be cast on the resolution on a poll (worked out as at the midnight before the poll is demanded); or</w:t>
      </w:r>
    </w:p>
    <w:p>
      <w:pPr>
        <w:spacing w:after="0" w:line="36" w:lineRule="exact"/>
        <w:rPr>
          <w:rFonts w:ascii="Arial" w:cs="Arial" w:eastAsia="Arial" w:hAnsi="Arial"/>
          <w:sz w:val="17"/>
          <w:szCs w:val="17"/>
          <w:color w:val="003551"/>
        </w:rPr>
      </w:pPr>
    </w:p>
    <w:p>
      <w:pPr>
        <w:ind w:left="2320" w:hanging="335"/>
        <w:spacing w:after="0"/>
        <w:tabs>
          <w:tab w:leader="none" w:pos="2320" w:val="left"/>
        </w:tabs>
        <w:numPr>
          <w:ilvl w:val="0"/>
          <w:numId w:val="122"/>
        </w:numPr>
        <w:rPr>
          <w:rFonts w:ascii="Arial" w:cs="Arial" w:eastAsia="Arial" w:hAnsi="Arial"/>
          <w:sz w:val="17"/>
          <w:szCs w:val="17"/>
          <w:color w:val="003551"/>
        </w:rPr>
      </w:pPr>
      <w:r>
        <w:rPr>
          <w:rFonts w:ascii="Arial" w:cs="Arial" w:eastAsia="Arial" w:hAnsi="Arial"/>
          <w:sz w:val="17"/>
          <w:szCs w:val="17"/>
          <w:color w:val="003551"/>
        </w:rPr>
        <w:t>the chair.</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119380</wp:posOffset>
            </wp:positionV>
            <wp:extent cx="6786880" cy="1651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640" w:right="499"/>
        <w:spacing w:after="0" w:line="283" w:lineRule="auto"/>
        <w:rPr>
          <w:sz w:val="20"/>
          <w:szCs w:val="20"/>
          <w:color w:val="auto"/>
        </w:rPr>
      </w:pPr>
      <w:r>
        <w:rPr>
          <w:rFonts w:ascii="Arial" w:cs="Arial" w:eastAsia="Arial" w:hAnsi="Arial"/>
          <w:sz w:val="17"/>
          <w:szCs w:val="17"/>
          <w:color w:val="003551"/>
        </w:rPr>
        <w:t>The demand for a poll does not affect the continuation of the meeting for the transaction of other business and may be withdrawn with the consent of the chair of the meeting.</w:t>
      </w:r>
    </w:p>
    <w:p>
      <w:pPr>
        <w:spacing w:after="0" w:line="35"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10.4</w:t>
      </w:r>
      <w:r>
        <w:rPr>
          <w:sz w:val="20"/>
          <w:szCs w:val="20"/>
          <w:color w:val="auto"/>
        </w:rPr>
        <w:tab/>
      </w:r>
      <w:r>
        <w:rPr>
          <w:rFonts w:ascii="Arial" w:cs="Arial" w:eastAsia="Arial" w:hAnsi="Arial"/>
          <w:sz w:val="17"/>
          <w:szCs w:val="17"/>
          <w:b w:val="1"/>
          <w:bCs w:val="1"/>
          <w:color w:val="003551"/>
        </w:rPr>
        <w:t>When a poll may be demanded</w:t>
      </w:r>
    </w:p>
    <w:p>
      <w:pPr>
        <w:spacing w:after="0" w:line="134"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 xml:space="preserve">Other than as set out under </w:t>
      </w:r>
      <w:r>
        <w:rPr>
          <w:rFonts w:ascii="Arial" w:cs="Arial" w:eastAsia="Arial" w:hAnsi="Arial"/>
          <w:sz w:val="17"/>
          <w:szCs w:val="17"/>
          <w:u w:val="single" w:color="auto"/>
          <w:color w:val="003551"/>
        </w:rPr>
        <w:t>rule 10.2</w:t>
      </w:r>
      <w:r>
        <w:rPr>
          <w:rFonts w:ascii="Arial" w:cs="Arial" w:eastAsia="Arial" w:hAnsi="Arial"/>
          <w:sz w:val="17"/>
          <w:szCs w:val="17"/>
          <w:color w:val="003551"/>
        </w:rPr>
        <w:t>, a poll may be demanded on a resolution:</w:t>
      </w:r>
    </w:p>
    <w:p>
      <w:pPr>
        <w:spacing w:after="0" w:line="106" w:lineRule="exact"/>
        <w:rPr>
          <w:sz w:val="20"/>
          <w:szCs w:val="20"/>
          <w:color w:val="auto"/>
        </w:rPr>
      </w:pPr>
    </w:p>
    <w:p>
      <w:pPr>
        <w:ind w:left="2320" w:hanging="335"/>
        <w:spacing w:after="0"/>
        <w:tabs>
          <w:tab w:leader="none" w:pos="2320" w:val="left"/>
        </w:tabs>
        <w:numPr>
          <w:ilvl w:val="0"/>
          <w:numId w:val="123"/>
        </w:numPr>
        <w:rPr>
          <w:rFonts w:ascii="Arial" w:cs="Arial" w:eastAsia="Arial" w:hAnsi="Arial"/>
          <w:sz w:val="17"/>
          <w:szCs w:val="17"/>
          <w:color w:val="003551"/>
        </w:rPr>
      </w:pPr>
      <w:r>
        <w:rPr>
          <w:rFonts w:ascii="Arial" w:cs="Arial" w:eastAsia="Arial" w:hAnsi="Arial"/>
          <w:sz w:val="17"/>
          <w:szCs w:val="17"/>
          <w:color w:val="003551"/>
        </w:rPr>
        <w:t>before the show of hands on that resolution is taken;</w:t>
      </w:r>
    </w:p>
    <w:p>
      <w:pPr>
        <w:spacing w:after="0" w:line="105" w:lineRule="exact"/>
        <w:rPr>
          <w:rFonts w:ascii="Arial" w:cs="Arial" w:eastAsia="Arial" w:hAnsi="Arial"/>
          <w:sz w:val="17"/>
          <w:szCs w:val="17"/>
          <w:color w:val="003551"/>
        </w:rPr>
      </w:pPr>
    </w:p>
    <w:p>
      <w:pPr>
        <w:ind w:left="2320" w:hanging="335"/>
        <w:spacing w:after="0"/>
        <w:tabs>
          <w:tab w:leader="none" w:pos="2320" w:val="left"/>
        </w:tabs>
        <w:numPr>
          <w:ilvl w:val="0"/>
          <w:numId w:val="123"/>
        </w:numPr>
        <w:rPr>
          <w:rFonts w:ascii="Arial" w:cs="Arial" w:eastAsia="Arial" w:hAnsi="Arial"/>
          <w:sz w:val="17"/>
          <w:szCs w:val="17"/>
          <w:color w:val="003551"/>
        </w:rPr>
      </w:pPr>
      <w:r>
        <w:rPr>
          <w:rFonts w:ascii="Arial" w:cs="Arial" w:eastAsia="Arial" w:hAnsi="Arial"/>
          <w:sz w:val="17"/>
          <w:szCs w:val="17"/>
          <w:color w:val="003551"/>
        </w:rPr>
        <w:t>before the result of the show of hands on that resolution is declared; or</w:t>
      </w:r>
    </w:p>
    <w:p>
      <w:pPr>
        <w:spacing w:after="0" w:line="105" w:lineRule="exact"/>
        <w:rPr>
          <w:rFonts w:ascii="Arial" w:cs="Arial" w:eastAsia="Arial" w:hAnsi="Arial"/>
          <w:sz w:val="17"/>
          <w:szCs w:val="17"/>
          <w:color w:val="003551"/>
        </w:rPr>
      </w:pPr>
    </w:p>
    <w:p>
      <w:pPr>
        <w:ind w:left="2320" w:hanging="335"/>
        <w:spacing w:after="0"/>
        <w:tabs>
          <w:tab w:leader="none" w:pos="2320" w:val="left"/>
        </w:tabs>
        <w:numPr>
          <w:ilvl w:val="0"/>
          <w:numId w:val="123"/>
        </w:numPr>
        <w:rPr>
          <w:rFonts w:ascii="Arial" w:cs="Arial" w:eastAsia="Arial" w:hAnsi="Arial"/>
          <w:sz w:val="17"/>
          <w:szCs w:val="17"/>
          <w:color w:val="003551"/>
        </w:rPr>
      </w:pPr>
      <w:r>
        <w:rPr>
          <w:rFonts w:ascii="Arial" w:cs="Arial" w:eastAsia="Arial" w:hAnsi="Arial"/>
          <w:sz w:val="17"/>
          <w:szCs w:val="17"/>
          <w:color w:val="003551"/>
        </w:rPr>
        <w:t>immediately after the result of the show of hands on that resolution is declared.</w:t>
      </w:r>
    </w:p>
    <w:p>
      <w:pPr>
        <w:spacing w:after="0" w:line="106" w:lineRule="exact"/>
        <w:rPr>
          <w:sz w:val="20"/>
          <w:szCs w:val="20"/>
          <w:color w:val="auto"/>
        </w:rPr>
      </w:pPr>
    </w:p>
    <w:p>
      <w:pPr>
        <w:ind w:left="1640" w:right="659"/>
        <w:spacing w:after="0" w:line="283" w:lineRule="auto"/>
        <w:rPr>
          <w:sz w:val="20"/>
          <w:szCs w:val="20"/>
          <w:color w:val="auto"/>
        </w:rPr>
      </w:pPr>
      <w:r>
        <w:rPr>
          <w:rFonts w:ascii="Arial" w:cs="Arial" w:eastAsia="Arial" w:hAnsi="Arial"/>
          <w:sz w:val="17"/>
          <w:szCs w:val="17"/>
          <w:color w:val="003551"/>
        </w:rPr>
        <w:t>A poll may not be demanded on any resolution concerning the election of a chair for a general meeting or unless the chair otherwise determines the adjournment of a general meeting.</w:t>
      </w:r>
    </w:p>
    <w:p>
      <w:pPr>
        <w:spacing w:after="0" w:line="35"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10.5</w:t>
      </w:r>
      <w:r>
        <w:rPr>
          <w:sz w:val="20"/>
          <w:szCs w:val="20"/>
          <w:color w:val="auto"/>
        </w:rPr>
        <w:tab/>
      </w:r>
      <w:r>
        <w:rPr>
          <w:rFonts w:ascii="Arial" w:cs="Arial" w:eastAsia="Arial" w:hAnsi="Arial"/>
          <w:sz w:val="17"/>
          <w:szCs w:val="17"/>
          <w:b w:val="1"/>
          <w:bCs w:val="1"/>
          <w:color w:val="003551"/>
        </w:rPr>
        <w:t>How a poll must be taken</w:t>
      </w:r>
    </w:p>
    <w:p>
      <w:pPr>
        <w:spacing w:after="0" w:line="147"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In respect of each resolution to be decided by a poll:</w:t>
      </w:r>
    </w:p>
    <w:p>
      <w:pPr>
        <w:spacing w:after="0" w:line="106" w:lineRule="exact"/>
        <w:rPr>
          <w:sz w:val="20"/>
          <w:szCs w:val="20"/>
          <w:color w:val="auto"/>
        </w:rPr>
      </w:pPr>
    </w:p>
    <w:p>
      <w:pPr>
        <w:ind w:left="2320" w:right="579" w:hanging="335"/>
        <w:spacing w:after="0" w:line="255" w:lineRule="auto"/>
        <w:tabs>
          <w:tab w:leader="none" w:pos="2320" w:val="left"/>
        </w:tabs>
        <w:numPr>
          <w:ilvl w:val="0"/>
          <w:numId w:val="124"/>
        </w:numPr>
        <w:rPr>
          <w:rFonts w:ascii="Arial" w:cs="Arial" w:eastAsia="Arial" w:hAnsi="Arial"/>
          <w:sz w:val="17"/>
          <w:szCs w:val="17"/>
          <w:color w:val="003551"/>
        </w:rPr>
      </w:pPr>
      <w:r>
        <w:rPr>
          <w:rFonts w:ascii="Arial" w:cs="Arial" w:eastAsia="Arial" w:hAnsi="Arial"/>
          <w:sz w:val="17"/>
          <w:szCs w:val="17"/>
          <w:color w:val="003551"/>
        </w:rPr>
        <w:t xml:space="preserve">if the resolution is for the adjournment of the meeting and provided that chair has determined that a vote on the adjournment of the meeting should be taken in accordance with </w:t>
      </w:r>
      <w:r>
        <w:rPr>
          <w:rFonts w:ascii="Arial" w:cs="Arial" w:eastAsia="Arial" w:hAnsi="Arial"/>
          <w:sz w:val="17"/>
          <w:szCs w:val="17"/>
          <w:u w:val="single" w:color="auto"/>
          <w:color w:val="003551"/>
        </w:rPr>
        <w:t>rule</w:t>
      </w:r>
      <w:r>
        <w:rPr>
          <w:rFonts w:ascii="Arial" w:cs="Arial" w:eastAsia="Arial" w:hAnsi="Arial"/>
          <w:sz w:val="17"/>
          <w:szCs w:val="17"/>
          <w:color w:val="003551"/>
        </w:rPr>
        <w:t xml:space="preserve"> </w:t>
      </w:r>
      <w:r>
        <w:rPr>
          <w:rFonts w:ascii="Arial" w:cs="Arial" w:eastAsia="Arial" w:hAnsi="Arial"/>
          <w:sz w:val="17"/>
          <w:szCs w:val="17"/>
          <w:color w:val="FF0000"/>
          <w:strike w:val="1"/>
        </w:rPr>
        <w:t>9.12</w:t>
      </w:r>
      <w:r>
        <w:rPr>
          <w:rFonts w:ascii="Arial" w:cs="Arial" w:eastAsia="Arial" w:hAnsi="Arial"/>
          <w:sz w:val="17"/>
          <w:szCs w:val="17"/>
          <w:u w:val="single" w:color="auto"/>
          <w:color w:val="0000FF"/>
        </w:rPr>
        <w:t>9.13</w:t>
      </w:r>
      <w:r>
        <w:rPr>
          <w:rFonts w:ascii="Arial" w:cs="Arial" w:eastAsia="Arial" w:hAnsi="Arial"/>
          <w:sz w:val="17"/>
          <w:szCs w:val="17"/>
          <w:color w:val="000000"/>
        </w:rPr>
        <w:t>, the poll must be taken immediately and, subject to</w:t>
      </w:r>
      <w:r>
        <w:rPr>
          <w:rFonts w:ascii="Arial" w:cs="Arial" w:eastAsia="Arial" w:hAnsi="Arial"/>
          <w:sz w:val="17"/>
          <w:szCs w:val="17"/>
          <w:color w:val="003551"/>
        </w:rPr>
        <w:t xml:space="preserve"> </w:t>
      </w:r>
      <w:r>
        <w:rPr>
          <w:rFonts w:ascii="Arial" w:cs="Arial" w:eastAsia="Arial" w:hAnsi="Arial"/>
          <w:sz w:val="17"/>
          <w:szCs w:val="17"/>
          <w:u w:val="single" w:color="auto"/>
          <w:color w:val="000000"/>
        </w:rPr>
        <w:t>rule</w:t>
      </w:r>
      <w:r>
        <w:rPr>
          <w:rFonts w:ascii="Arial" w:cs="Arial" w:eastAsia="Arial" w:hAnsi="Arial"/>
          <w:sz w:val="17"/>
          <w:szCs w:val="17"/>
          <w:color w:val="003551"/>
        </w:rPr>
        <w:t xml:space="preserve"> </w:t>
      </w:r>
      <w:r>
        <w:rPr>
          <w:rFonts w:ascii="Arial" w:cs="Arial" w:eastAsia="Arial" w:hAnsi="Arial"/>
          <w:sz w:val="17"/>
          <w:szCs w:val="17"/>
          <w:u w:val="single" w:color="auto"/>
          <w:color w:val="000000"/>
        </w:rPr>
        <w:t>10.5(c)</w:t>
      </w:r>
      <w:r>
        <w:rPr>
          <w:rFonts w:ascii="Arial" w:cs="Arial" w:eastAsia="Arial" w:hAnsi="Arial"/>
          <w:sz w:val="17"/>
          <w:szCs w:val="17"/>
          <w:color w:val="000000"/>
        </w:rPr>
        <w:t>, in the manner that the chair of the meeting directs;</w:t>
      </w:r>
    </w:p>
    <w:p>
      <w:pPr>
        <w:spacing w:after="0" w:line="59" w:lineRule="exact"/>
        <w:rPr>
          <w:rFonts w:ascii="Arial" w:cs="Arial" w:eastAsia="Arial" w:hAnsi="Arial"/>
          <w:sz w:val="17"/>
          <w:szCs w:val="17"/>
          <w:color w:val="003551"/>
        </w:rPr>
      </w:pPr>
    </w:p>
    <w:p>
      <w:pPr>
        <w:ind w:left="2320" w:right="899" w:hanging="335"/>
        <w:spacing w:after="0" w:line="283" w:lineRule="auto"/>
        <w:tabs>
          <w:tab w:leader="none" w:pos="2320" w:val="left"/>
        </w:tabs>
        <w:numPr>
          <w:ilvl w:val="0"/>
          <w:numId w:val="124"/>
        </w:numPr>
        <w:rPr>
          <w:rFonts w:ascii="Arial" w:cs="Arial" w:eastAsia="Arial" w:hAnsi="Arial"/>
          <w:sz w:val="17"/>
          <w:szCs w:val="17"/>
          <w:color w:val="003551"/>
        </w:rPr>
      </w:pPr>
      <w:r>
        <w:rPr>
          <w:rFonts w:ascii="Arial" w:cs="Arial" w:eastAsia="Arial" w:hAnsi="Arial"/>
          <w:sz w:val="17"/>
          <w:szCs w:val="17"/>
          <w:color w:val="003551"/>
        </w:rPr>
        <w:t xml:space="preserve">in all other cases, the poll must be taken at the time and place and, subject to </w:t>
      </w:r>
      <w:r>
        <w:rPr>
          <w:rFonts w:ascii="Arial" w:cs="Arial" w:eastAsia="Arial" w:hAnsi="Arial"/>
          <w:sz w:val="17"/>
          <w:szCs w:val="17"/>
          <w:u w:val="single" w:color="auto"/>
          <w:color w:val="003551"/>
        </w:rPr>
        <w:t>rule</w:t>
      </w:r>
      <w:r>
        <w:rPr>
          <w:rFonts w:ascii="Arial" w:cs="Arial" w:eastAsia="Arial" w:hAnsi="Arial"/>
          <w:sz w:val="17"/>
          <w:szCs w:val="17"/>
          <w:color w:val="003551"/>
        </w:rPr>
        <w:t xml:space="preserve"> </w:t>
      </w:r>
      <w:r>
        <w:rPr>
          <w:rFonts w:ascii="Arial" w:cs="Arial" w:eastAsia="Arial" w:hAnsi="Arial"/>
          <w:sz w:val="17"/>
          <w:szCs w:val="17"/>
          <w:u w:val="single" w:color="auto"/>
          <w:color w:val="003551"/>
        </w:rPr>
        <w:t>10.5(c)</w:t>
      </w:r>
      <w:r>
        <w:rPr>
          <w:rFonts w:ascii="Arial" w:cs="Arial" w:eastAsia="Arial" w:hAnsi="Arial"/>
          <w:sz w:val="17"/>
          <w:szCs w:val="17"/>
          <w:color w:val="003551"/>
        </w:rPr>
        <w:t>, in the manner that the chair of the meeting directs;</w:t>
      </w:r>
    </w:p>
    <w:p>
      <w:pPr>
        <w:spacing w:after="0" w:line="36" w:lineRule="exact"/>
        <w:rPr>
          <w:rFonts w:ascii="Arial" w:cs="Arial" w:eastAsia="Arial" w:hAnsi="Arial"/>
          <w:sz w:val="17"/>
          <w:szCs w:val="17"/>
          <w:color w:val="003551"/>
        </w:rPr>
      </w:pPr>
    </w:p>
    <w:p>
      <w:pPr>
        <w:ind w:left="2320" w:right="559" w:hanging="335"/>
        <w:spacing w:after="0" w:line="283" w:lineRule="auto"/>
        <w:tabs>
          <w:tab w:leader="none" w:pos="2320" w:val="left"/>
        </w:tabs>
        <w:numPr>
          <w:ilvl w:val="0"/>
          <w:numId w:val="124"/>
        </w:numPr>
        <w:rPr>
          <w:rFonts w:ascii="Arial" w:cs="Arial" w:eastAsia="Arial" w:hAnsi="Arial"/>
          <w:sz w:val="17"/>
          <w:szCs w:val="17"/>
          <w:color w:val="003551"/>
        </w:rPr>
      </w:pPr>
      <w:r>
        <w:rPr>
          <w:rFonts w:ascii="Arial" w:cs="Arial" w:eastAsia="Arial" w:hAnsi="Arial"/>
          <w:sz w:val="17"/>
          <w:szCs w:val="17"/>
          <w:color w:val="003551"/>
        </w:rPr>
        <w:t>votes which section 250BB(1) or 250BC of the Corporations Act require to be cast in a given way must be treated as cast in that way;</w:t>
      </w:r>
    </w:p>
    <w:p>
      <w:pPr>
        <w:spacing w:after="0" w:line="36" w:lineRule="exact"/>
        <w:rPr>
          <w:rFonts w:ascii="Arial" w:cs="Arial" w:eastAsia="Arial" w:hAnsi="Arial"/>
          <w:sz w:val="17"/>
          <w:szCs w:val="17"/>
          <w:color w:val="003551"/>
        </w:rPr>
      </w:pPr>
    </w:p>
    <w:p>
      <w:pPr>
        <w:ind w:left="2320" w:right="559" w:hanging="335"/>
        <w:spacing w:after="0" w:line="283" w:lineRule="auto"/>
        <w:tabs>
          <w:tab w:leader="none" w:pos="2320" w:val="left"/>
        </w:tabs>
        <w:numPr>
          <w:ilvl w:val="0"/>
          <w:numId w:val="124"/>
        </w:numPr>
        <w:rPr>
          <w:rFonts w:ascii="Arial" w:cs="Arial" w:eastAsia="Arial" w:hAnsi="Arial"/>
          <w:sz w:val="17"/>
          <w:szCs w:val="17"/>
          <w:color w:val="003551"/>
        </w:rPr>
      </w:pPr>
      <w:r>
        <w:rPr>
          <w:rFonts w:ascii="Arial" w:cs="Arial" w:eastAsia="Arial" w:hAnsi="Arial"/>
          <w:sz w:val="17"/>
          <w:szCs w:val="17"/>
          <w:color w:val="003551"/>
        </w:rPr>
        <w:t>a person who has the right to cast two or more votes need not cast all those votes and may cast those votes in different ways; and</w:t>
      </w:r>
    </w:p>
    <w:p>
      <w:pPr>
        <w:spacing w:after="0" w:line="36" w:lineRule="exact"/>
        <w:rPr>
          <w:rFonts w:ascii="Arial" w:cs="Arial" w:eastAsia="Arial" w:hAnsi="Arial"/>
          <w:sz w:val="17"/>
          <w:szCs w:val="17"/>
          <w:color w:val="003551"/>
        </w:rPr>
      </w:pPr>
    </w:p>
    <w:p>
      <w:pPr>
        <w:ind w:left="2320" w:hanging="335"/>
        <w:spacing w:after="0"/>
        <w:tabs>
          <w:tab w:leader="none" w:pos="2320" w:val="left"/>
        </w:tabs>
        <w:numPr>
          <w:ilvl w:val="0"/>
          <w:numId w:val="124"/>
        </w:numPr>
        <w:rPr>
          <w:rFonts w:ascii="Arial" w:cs="Arial" w:eastAsia="Arial" w:hAnsi="Arial"/>
          <w:sz w:val="17"/>
          <w:szCs w:val="17"/>
          <w:color w:val="003551"/>
        </w:rPr>
      </w:pPr>
      <w:r>
        <w:rPr>
          <w:rFonts w:ascii="Arial" w:cs="Arial" w:eastAsia="Arial" w:hAnsi="Arial"/>
          <w:sz w:val="17"/>
          <w:szCs w:val="17"/>
          <w:color w:val="003551"/>
        </w:rPr>
        <w:t>the result of the poll is a resolution of the meeting at which the poll was demanded.</w:t>
      </w:r>
    </w:p>
    <w:p>
      <w:pPr>
        <w:spacing w:after="0" w:line="103" w:lineRule="exact"/>
        <w:rPr>
          <w:rFonts w:ascii="Arial" w:cs="Arial" w:eastAsia="Arial" w:hAnsi="Arial"/>
          <w:sz w:val="17"/>
          <w:szCs w:val="17"/>
          <w:color w:val="003551"/>
        </w:rPr>
      </w:pPr>
    </w:p>
    <w:p>
      <w:pPr>
        <w:ind w:left="940"/>
        <w:spacing w:after="0"/>
        <w:rPr>
          <w:rFonts w:ascii="Arial" w:cs="Arial" w:eastAsia="Arial" w:hAnsi="Arial"/>
          <w:sz w:val="17"/>
          <w:szCs w:val="17"/>
          <w:color w:val="003551"/>
        </w:rPr>
      </w:pPr>
      <w:r>
        <w:rPr>
          <w:rFonts w:ascii="Arial" w:cs="Arial" w:eastAsia="Arial" w:hAnsi="Arial"/>
          <w:sz w:val="17"/>
          <w:szCs w:val="17"/>
          <w:b w:val="1"/>
          <w:bCs w:val="1"/>
          <w:color w:val="003551"/>
        </w:rPr>
        <w:t>10.6Direct voting</w:t>
      </w:r>
    </w:p>
    <w:p>
      <w:pPr>
        <w:spacing w:after="0" w:line="108" w:lineRule="exact"/>
        <w:rPr>
          <w:sz w:val="20"/>
          <w:szCs w:val="20"/>
          <w:color w:val="auto"/>
        </w:rPr>
      </w:pPr>
    </w:p>
    <w:p>
      <w:pPr>
        <w:ind w:left="1640" w:right="459"/>
        <w:spacing w:after="0" w:line="251" w:lineRule="auto"/>
        <w:rPr>
          <w:sz w:val="20"/>
          <w:szCs w:val="20"/>
          <w:color w:val="auto"/>
        </w:rPr>
      </w:pPr>
      <w:r>
        <w:rPr>
          <w:rFonts w:ascii="Arial" w:cs="Arial" w:eastAsia="Arial" w:hAnsi="Arial"/>
          <w:sz w:val="17"/>
          <w:szCs w:val="17"/>
          <w:color w:val="003551"/>
        </w:rPr>
        <w:t>Notwithstanding anything to the contrary in this constitution, the board may determine that a member who is entitled to attend and vote at a general meeting may vote at that meeting without being present at that meeting by communicating the member’s voting intentions to the company directly by post, fax, email or other electronic means approved by the board. If the board makes such a determination in respect of a general meeting:</w:t>
      </w:r>
    </w:p>
    <w:p>
      <w:pPr>
        <w:spacing w:after="0" w:line="65" w:lineRule="exact"/>
        <w:rPr>
          <w:sz w:val="20"/>
          <w:szCs w:val="20"/>
          <w:color w:val="auto"/>
        </w:rPr>
      </w:pPr>
    </w:p>
    <w:p>
      <w:pPr>
        <w:ind w:left="2320" w:right="399" w:hanging="335"/>
        <w:spacing w:after="0" w:line="255" w:lineRule="auto"/>
        <w:tabs>
          <w:tab w:leader="none" w:pos="2320" w:val="left"/>
        </w:tabs>
        <w:numPr>
          <w:ilvl w:val="0"/>
          <w:numId w:val="125"/>
        </w:numPr>
        <w:rPr>
          <w:rFonts w:ascii="Arial" w:cs="Arial" w:eastAsia="Arial" w:hAnsi="Arial"/>
          <w:sz w:val="17"/>
          <w:szCs w:val="17"/>
          <w:color w:val="003551"/>
        </w:rPr>
      </w:pPr>
      <w:r>
        <w:rPr>
          <w:rFonts w:ascii="Arial" w:cs="Arial" w:eastAsia="Arial" w:hAnsi="Arial"/>
          <w:sz w:val="17"/>
          <w:szCs w:val="17"/>
          <w:color w:val="003551"/>
        </w:rPr>
        <w:t>the board may also make rules about the manner in which a direct vote may be cast at that meeting, the circumstances in which a direct vote is taken to be valid and any other matter relating to the exercise of direct votes at that meeting as the directors think fit and such rules will have effect as if they were set out in this constitution; and</w:t>
      </w:r>
    </w:p>
    <w:p>
      <w:pPr>
        <w:spacing w:after="0" w:line="59" w:lineRule="exact"/>
        <w:rPr>
          <w:rFonts w:ascii="Arial" w:cs="Arial" w:eastAsia="Arial" w:hAnsi="Arial"/>
          <w:sz w:val="17"/>
          <w:szCs w:val="17"/>
          <w:color w:val="003551"/>
        </w:rPr>
      </w:pPr>
    </w:p>
    <w:p>
      <w:pPr>
        <w:ind w:left="2320" w:right="519" w:hanging="335"/>
        <w:spacing w:after="0" w:line="283" w:lineRule="auto"/>
        <w:tabs>
          <w:tab w:leader="none" w:pos="2320" w:val="left"/>
        </w:tabs>
        <w:numPr>
          <w:ilvl w:val="0"/>
          <w:numId w:val="125"/>
        </w:numPr>
        <w:rPr>
          <w:rFonts w:ascii="Arial" w:cs="Arial" w:eastAsia="Arial" w:hAnsi="Arial"/>
          <w:sz w:val="17"/>
          <w:szCs w:val="17"/>
          <w:color w:val="003551"/>
        </w:rPr>
      </w:pPr>
      <w:r>
        <w:rPr>
          <w:rFonts w:ascii="Arial" w:cs="Arial" w:eastAsia="Arial" w:hAnsi="Arial"/>
          <w:sz w:val="17"/>
          <w:szCs w:val="17"/>
          <w:color w:val="003551"/>
        </w:rPr>
        <w:t>any direct vote cast in accordance with those rules by a member entitled to vote at that meeting is taken to have been cast by that member at that meeting.</w:t>
      </w:r>
    </w:p>
    <w:p>
      <w:pPr>
        <w:spacing w:after="0" w:line="142"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119380</wp:posOffset>
            </wp:positionV>
            <wp:extent cx="6786880" cy="1651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10.7</w:t>
      </w:r>
      <w:r>
        <w:rPr>
          <w:sz w:val="20"/>
          <w:szCs w:val="20"/>
          <w:color w:val="auto"/>
        </w:rPr>
        <w:tab/>
      </w:r>
      <w:r>
        <w:rPr>
          <w:rFonts w:ascii="Arial" w:cs="Arial" w:eastAsia="Arial" w:hAnsi="Arial"/>
          <w:sz w:val="17"/>
          <w:szCs w:val="17"/>
          <w:b w:val="1"/>
          <w:bCs w:val="1"/>
          <w:color w:val="003551"/>
        </w:rPr>
        <w:t>Rights to vote</w:t>
      </w:r>
    </w:p>
    <w:p>
      <w:pPr>
        <w:spacing w:after="0" w:line="108" w:lineRule="exact"/>
        <w:rPr>
          <w:sz w:val="20"/>
          <w:szCs w:val="20"/>
          <w:color w:val="auto"/>
        </w:rPr>
      </w:pPr>
    </w:p>
    <w:p>
      <w:pPr>
        <w:ind w:left="1640" w:right="799"/>
        <w:spacing w:after="0" w:line="283" w:lineRule="auto"/>
        <w:rPr>
          <w:sz w:val="20"/>
          <w:szCs w:val="20"/>
          <w:color w:val="auto"/>
        </w:rPr>
      </w:pPr>
      <w:r>
        <w:rPr>
          <w:rFonts w:ascii="Arial" w:cs="Arial" w:eastAsia="Arial" w:hAnsi="Arial"/>
          <w:sz w:val="17"/>
          <w:szCs w:val="17"/>
          <w:color w:val="003551"/>
        </w:rPr>
        <w:t>Subject to this constitution and to any rights or restrictions for the time being attached to any class or classes of shares:</w:t>
      </w:r>
    </w:p>
    <w:p>
      <w:pPr>
        <w:spacing w:after="0" w:line="37" w:lineRule="exact"/>
        <w:rPr>
          <w:sz w:val="20"/>
          <w:szCs w:val="20"/>
          <w:color w:val="auto"/>
        </w:rPr>
      </w:pPr>
    </w:p>
    <w:p>
      <w:pPr>
        <w:jc w:val="both"/>
        <w:ind w:left="2320" w:right="919" w:hanging="335"/>
        <w:spacing w:after="0" w:line="283" w:lineRule="auto"/>
        <w:tabs>
          <w:tab w:leader="none" w:pos="2320" w:val="left"/>
        </w:tabs>
        <w:numPr>
          <w:ilvl w:val="0"/>
          <w:numId w:val="126"/>
        </w:numPr>
        <w:rPr>
          <w:rFonts w:ascii="Arial" w:cs="Arial" w:eastAsia="Arial" w:hAnsi="Arial"/>
          <w:sz w:val="17"/>
          <w:szCs w:val="17"/>
          <w:color w:val="003551"/>
        </w:rPr>
      </w:pPr>
      <w:r>
        <w:rPr>
          <w:rFonts w:ascii="Arial" w:cs="Arial" w:eastAsia="Arial" w:hAnsi="Arial"/>
          <w:sz w:val="17"/>
          <w:szCs w:val="17"/>
          <w:color w:val="003551"/>
        </w:rPr>
        <w:t>on a show of hands, each member present has one vote except that if a person is entitled to vote in more than one capacity, that person is only entitled to one vote;</w:t>
      </w:r>
    </w:p>
    <w:p>
      <w:pPr>
        <w:spacing w:after="0" w:line="36" w:lineRule="exact"/>
        <w:rPr>
          <w:rFonts w:ascii="Arial" w:cs="Arial" w:eastAsia="Arial" w:hAnsi="Arial"/>
          <w:sz w:val="17"/>
          <w:szCs w:val="17"/>
          <w:color w:val="003551"/>
        </w:rPr>
      </w:pPr>
    </w:p>
    <w:p>
      <w:pPr>
        <w:ind w:left="2320" w:right="399" w:hanging="335"/>
        <w:spacing w:after="0" w:line="255" w:lineRule="auto"/>
        <w:tabs>
          <w:tab w:leader="none" w:pos="2320" w:val="left"/>
        </w:tabs>
        <w:numPr>
          <w:ilvl w:val="0"/>
          <w:numId w:val="126"/>
        </w:numPr>
        <w:rPr>
          <w:rFonts w:ascii="Arial" w:cs="Arial" w:eastAsia="Arial" w:hAnsi="Arial"/>
          <w:sz w:val="17"/>
          <w:szCs w:val="17"/>
          <w:color w:val="003551"/>
        </w:rPr>
      </w:pPr>
      <w:r>
        <w:rPr>
          <w:rFonts w:ascii="Arial" w:cs="Arial" w:eastAsia="Arial" w:hAnsi="Arial"/>
          <w:sz w:val="17"/>
          <w:szCs w:val="17"/>
          <w:color w:val="003551"/>
        </w:rPr>
        <w:t xml:space="preserve">on a poll, each member present in person or by proxy has one vote for each fully paid share held by the member at the Record Time and the number of votes determined in accordance with </w:t>
      </w:r>
      <w:r>
        <w:rPr>
          <w:rFonts w:ascii="Arial" w:cs="Arial" w:eastAsia="Arial" w:hAnsi="Arial"/>
          <w:sz w:val="17"/>
          <w:szCs w:val="17"/>
          <w:u w:val="single" w:color="auto"/>
          <w:color w:val="003551"/>
        </w:rPr>
        <w:t>rule 10.8</w:t>
      </w:r>
      <w:r>
        <w:rPr>
          <w:rFonts w:ascii="Arial" w:cs="Arial" w:eastAsia="Arial" w:hAnsi="Arial"/>
          <w:sz w:val="17"/>
          <w:szCs w:val="17"/>
          <w:color w:val="003551"/>
        </w:rPr>
        <w:t xml:space="preserve"> in respect of any partly paid shares held by the member at the Record Time;</w:t>
      </w:r>
    </w:p>
    <w:p>
      <w:pPr>
        <w:spacing w:after="0" w:line="59" w:lineRule="exact"/>
        <w:rPr>
          <w:rFonts w:ascii="Arial" w:cs="Arial" w:eastAsia="Arial" w:hAnsi="Arial"/>
          <w:sz w:val="17"/>
          <w:szCs w:val="17"/>
          <w:color w:val="003551"/>
        </w:rPr>
      </w:pPr>
    </w:p>
    <w:p>
      <w:pPr>
        <w:jc w:val="both"/>
        <w:ind w:left="2320" w:right="599" w:hanging="335"/>
        <w:spacing w:after="0" w:line="262" w:lineRule="auto"/>
        <w:tabs>
          <w:tab w:leader="none" w:pos="2320" w:val="left"/>
        </w:tabs>
        <w:numPr>
          <w:ilvl w:val="0"/>
          <w:numId w:val="126"/>
        </w:numPr>
        <w:rPr>
          <w:rFonts w:ascii="Arial" w:cs="Arial" w:eastAsia="Arial" w:hAnsi="Arial"/>
          <w:sz w:val="17"/>
          <w:szCs w:val="17"/>
          <w:color w:val="003551"/>
        </w:rPr>
      </w:pPr>
      <w:r>
        <w:rPr>
          <w:rFonts w:ascii="Arial" w:cs="Arial" w:eastAsia="Arial" w:hAnsi="Arial"/>
          <w:sz w:val="17"/>
          <w:szCs w:val="17"/>
          <w:color w:val="003551"/>
        </w:rPr>
        <w:t xml:space="preserve">on a poll, in addition to the voting rights set out in </w:t>
      </w:r>
      <w:r>
        <w:rPr>
          <w:rFonts w:ascii="Arial" w:cs="Arial" w:eastAsia="Arial" w:hAnsi="Arial"/>
          <w:sz w:val="17"/>
          <w:szCs w:val="17"/>
          <w:u w:val="single" w:color="auto"/>
          <w:color w:val="003551"/>
        </w:rPr>
        <w:t>rule 10.7(b)</w:t>
      </w:r>
      <w:r>
        <w:rPr>
          <w:rFonts w:ascii="Arial" w:cs="Arial" w:eastAsia="Arial" w:hAnsi="Arial"/>
          <w:sz w:val="17"/>
          <w:szCs w:val="17"/>
          <w:color w:val="003551"/>
        </w:rPr>
        <w:t>, each member who is a holder of a B class share present in person or by proxy has fifteen (15) votes for each fully paid ordinary share held by the member (or its Affiliates) at the Record Time; and</w:t>
      </w:r>
    </w:p>
    <w:p>
      <w:pPr>
        <w:spacing w:after="0" w:line="54" w:lineRule="exact"/>
        <w:rPr>
          <w:rFonts w:ascii="Arial" w:cs="Arial" w:eastAsia="Arial" w:hAnsi="Arial"/>
          <w:sz w:val="17"/>
          <w:szCs w:val="17"/>
          <w:color w:val="003551"/>
        </w:rPr>
      </w:pPr>
    </w:p>
    <w:p>
      <w:pPr>
        <w:ind w:left="2320" w:right="379" w:hanging="335"/>
        <w:spacing w:after="0" w:line="248" w:lineRule="auto"/>
        <w:tabs>
          <w:tab w:leader="none" w:pos="2320" w:val="left"/>
        </w:tabs>
        <w:numPr>
          <w:ilvl w:val="0"/>
          <w:numId w:val="126"/>
        </w:numPr>
        <w:rPr>
          <w:rFonts w:ascii="Arial" w:cs="Arial" w:eastAsia="Arial" w:hAnsi="Arial"/>
          <w:sz w:val="17"/>
          <w:szCs w:val="17"/>
          <w:color w:val="003551"/>
        </w:rPr>
      </w:pPr>
      <w:r>
        <w:rPr>
          <w:rFonts w:ascii="Arial" w:cs="Arial" w:eastAsia="Arial" w:hAnsi="Arial"/>
          <w:sz w:val="17"/>
          <w:szCs w:val="17"/>
          <w:color w:val="003551"/>
        </w:rPr>
        <w:t xml:space="preserve">where the board has determined other means for the casting and recording of votes by members on any resolution to be put to a general meeting, every member having the right to vote on the resolution has one vote for each fully paid share held by the member at the Record Time (other than in respect of a B class share which shall at all times carry fifteen (15) votes for each fully paid ordinary share held by the holder of a B class share from time to time) and the number of votes determined in accordance with </w:t>
      </w:r>
      <w:r>
        <w:rPr>
          <w:rFonts w:ascii="Arial" w:cs="Arial" w:eastAsia="Arial" w:hAnsi="Arial"/>
          <w:sz w:val="17"/>
          <w:szCs w:val="17"/>
          <w:u w:val="single" w:color="auto"/>
          <w:color w:val="003551"/>
        </w:rPr>
        <w:t>rule 10.8</w:t>
      </w:r>
      <w:r>
        <w:rPr>
          <w:rFonts w:ascii="Arial" w:cs="Arial" w:eastAsia="Arial" w:hAnsi="Arial"/>
          <w:sz w:val="17"/>
          <w:szCs w:val="17"/>
          <w:color w:val="003551"/>
        </w:rPr>
        <w:t xml:space="preserve"> in respect of any partly paid shares held by the member at the Record Time.</w:t>
      </w:r>
    </w:p>
    <w:p>
      <w:pPr>
        <w:spacing w:after="0" w:line="64"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10.8</w:t>
      </w:r>
      <w:r>
        <w:rPr>
          <w:sz w:val="20"/>
          <w:szCs w:val="20"/>
          <w:color w:val="auto"/>
        </w:rPr>
        <w:tab/>
      </w:r>
      <w:r>
        <w:rPr>
          <w:rFonts w:ascii="Arial" w:cs="Arial" w:eastAsia="Arial" w:hAnsi="Arial"/>
          <w:sz w:val="17"/>
          <w:szCs w:val="17"/>
          <w:b w:val="1"/>
          <w:bCs w:val="1"/>
          <w:color w:val="003551"/>
        </w:rPr>
        <w:t>Voting rights of holders of partly paid shares on a poll</w:t>
      </w:r>
    </w:p>
    <w:p>
      <w:pPr>
        <w:spacing w:after="0" w:line="108" w:lineRule="exact"/>
        <w:rPr>
          <w:sz w:val="20"/>
          <w:szCs w:val="20"/>
          <w:color w:val="auto"/>
        </w:rPr>
      </w:pPr>
    </w:p>
    <w:p>
      <w:pPr>
        <w:ind w:left="1640" w:right="799"/>
        <w:spacing w:after="0" w:line="283" w:lineRule="auto"/>
        <w:rPr>
          <w:sz w:val="20"/>
          <w:szCs w:val="20"/>
          <w:color w:val="auto"/>
        </w:rPr>
      </w:pPr>
      <w:r>
        <w:rPr>
          <w:rFonts w:ascii="Arial" w:cs="Arial" w:eastAsia="Arial" w:hAnsi="Arial"/>
          <w:sz w:val="17"/>
          <w:szCs w:val="17"/>
          <w:color w:val="003551"/>
        </w:rPr>
        <w:t>Subject to this constitution and to any rights or restrictions for the time being attached to any class or classes of shares, on a poll:</w:t>
      </w:r>
    </w:p>
    <w:p>
      <w:pPr>
        <w:spacing w:after="0" w:line="37" w:lineRule="exact"/>
        <w:rPr>
          <w:sz w:val="20"/>
          <w:szCs w:val="20"/>
          <w:color w:val="auto"/>
        </w:rPr>
      </w:pPr>
    </w:p>
    <w:p>
      <w:pPr>
        <w:ind w:left="2320" w:right="679" w:hanging="335"/>
        <w:spacing w:after="0" w:line="262" w:lineRule="auto"/>
        <w:tabs>
          <w:tab w:leader="none" w:pos="2320" w:val="left"/>
        </w:tabs>
        <w:numPr>
          <w:ilvl w:val="0"/>
          <w:numId w:val="127"/>
        </w:numPr>
        <w:rPr>
          <w:rFonts w:ascii="Arial" w:cs="Arial" w:eastAsia="Arial" w:hAnsi="Arial"/>
          <w:sz w:val="17"/>
          <w:szCs w:val="17"/>
          <w:color w:val="003551"/>
        </w:rPr>
      </w:pPr>
      <w:r>
        <w:rPr>
          <w:rFonts w:ascii="Arial" w:cs="Arial" w:eastAsia="Arial" w:hAnsi="Arial"/>
          <w:sz w:val="17"/>
          <w:szCs w:val="17"/>
          <w:color w:val="003551"/>
        </w:rPr>
        <w:t>in respect of any share that is not fully paid, a member is entitled to the fraction of one vote equal to the amount paid up on the share divided by the total of all amounts paid and payable on the share;</w:t>
      </w:r>
    </w:p>
    <w:p>
      <w:pPr>
        <w:spacing w:after="0" w:line="54" w:lineRule="exact"/>
        <w:rPr>
          <w:rFonts w:ascii="Arial" w:cs="Arial" w:eastAsia="Arial" w:hAnsi="Arial"/>
          <w:sz w:val="17"/>
          <w:szCs w:val="17"/>
          <w:color w:val="003551"/>
        </w:rPr>
      </w:pPr>
    </w:p>
    <w:p>
      <w:pPr>
        <w:ind w:left="2320" w:right="399" w:hanging="335"/>
        <w:spacing w:after="0" w:line="255" w:lineRule="auto"/>
        <w:tabs>
          <w:tab w:leader="none" w:pos="2320" w:val="left"/>
        </w:tabs>
        <w:numPr>
          <w:ilvl w:val="0"/>
          <w:numId w:val="127"/>
        </w:numPr>
        <w:rPr>
          <w:rFonts w:ascii="Arial" w:cs="Arial" w:eastAsia="Arial" w:hAnsi="Arial"/>
          <w:sz w:val="17"/>
          <w:szCs w:val="17"/>
          <w:color w:val="003551"/>
        </w:rPr>
      </w:pPr>
      <w:r>
        <w:rPr>
          <w:rFonts w:ascii="Arial" w:cs="Arial" w:eastAsia="Arial" w:hAnsi="Arial"/>
          <w:sz w:val="17"/>
          <w:szCs w:val="17"/>
          <w:color w:val="003551"/>
        </w:rPr>
        <w:t xml:space="preserve">for the purposes of </w:t>
      </w:r>
      <w:r>
        <w:rPr>
          <w:rFonts w:ascii="Arial" w:cs="Arial" w:eastAsia="Arial" w:hAnsi="Arial"/>
          <w:sz w:val="17"/>
          <w:szCs w:val="17"/>
          <w:u w:val="single" w:color="auto"/>
          <w:color w:val="003551"/>
        </w:rPr>
        <w:t>rule 10.8(a)</w:t>
      </w:r>
      <w:r>
        <w:rPr>
          <w:rFonts w:ascii="Arial" w:cs="Arial" w:eastAsia="Arial" w:hAnsi="Arial"/>
          <w:sz w:val="17"/>
          <w:szCs w:val="17"/>
          <w:color w:val="003551"/>
        </w:rPr>
        <w:t xml:space="preserve"> no amount credited as paid on a share without payment in money or other valuable consideration being made to the company is taken to be paid up on the share and no amount paid on a share in advance of a call is taken to be paid up on the share until the due date for payment of the call; and</w:t>
      </w:r>
    </w:p>
    <w:p>
      <w:pPr>
        <w:spacing w:after="0" w:line="59" w:lineRule="exact"/>
        <w:rPr>
          <w:rFonts w:ascii="Arial" w:cs="Arial" w:eastAsia="Arial" w:hAnsi="Arial"/>
          <w:sz w:val="17"/>
          <w:szCs w:val="17"/>
          <w:color w:val="003551"/>
        </w:rPr>
      </w:pPr>
    </w:p>
    <w:p>
      <w:pPr>
        <w:ind w:left="2320" w:right="499" w:hanging="335"/>
        <w:spacing w:after="0" w:line="262" w:lineRule="auto"/>
        <w:tabs>
          <w:tab w:leader="none" w:pos="2320" w:val="left"/>
        </w:tabs>
        <w:numPr>
          <w:ilvl w:val="0"/>
          <w:numId w:val="127"/>
        </w:numPr>
        <w:rPr>
          <w:rFonts w:ascii="Arial" w:cs="Arial" w:eastAsia="Arial" w:hAnsi="Arial"/>
          <w:sz w:val="17"/>
          <w:szCs w:val="17"/>
          <w:color w:val="003551"/>
        </w:rPr>
      </w:pPr>
      <w:r>
        <w:rPr>
          <w:rFonts w:ascii="Arial" w:cs="Arial" w:eastAsia="Arial" w:hAnsi="Arial"/>
          <w:sz w:val="17"/>
          <w:szCs w:val="17"/>
          <w:color w:val="003551"/>
        </w:rPr>
        <w:t xml:space="preserve">the total number of votes that a member has in respect of all shares that are not fully paid is the aggregate of all fractions arising from the application of </w:t>
      </w:r>
      <w:r>
        <w:rPr>
          <w:rFonts w:ascii="Arial" w:cs="Arial" w:eastAsia="Arial" w:hAnsi="Arial"/>
          <w:sz w:val="17"/>
          <w:szCs w:val="17"/>
          <w:u w:val="single" w:color="auto"/>
          <w:color w:val="003551"/>
        </w:rPr>
        <w:t>rule 10.8(a)</w:t>
      </w:r>
      <w:r>
        <w:rPr>
          <w:rFonts w:ascii="Arial" w:cs="Arial" w:eastAsia="Arial" w:hAnsi="Arial"/>
          <w:sz w:val="17"/>
          <w:szCs w:val="17"/>
          <w:color w:val="003551"/>
        </w:rPr>
        <w:t xml:space="preserve"> rounded down to the nearest whole number.</w:t>
      </w:r>
    </w:p>
    <w:p>
      <w:pPr>
        <w:spacing w:after="0" w:line="52"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10.9</w:t>
      </w:r>
      <w:r>
        <w:rPr>
          <w:sz w:val="20"/>
          <w:szCs w:val="20"/>
          <w:color w:val="auto"/>
        </w:rPr>
        <w:tab/>
      </w:r>
      <w:r>
        <w:rPr>
          <w:rFonts w:ascii="Arial" w:cs="Arial" w:eastAsia="Arial" w:hAnsi="Arial"/>
          <w:sz w:val="17"/>
          <w:szCs w:val="17"/>
          <w:b w:val="1"/>
          <w:bCs w:val="1"/>
          <w:color w:val="003551"/>
        </w:rPr>
        <w:t>Voting by joint holders</w:t>
      </w:r>
    </w:p>
    <w:p>
      <w:pPr>
        <w:spacing w:after="0" w:line="134"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If a share is held jointly and more than one of the joint holders votes in respect of that share:</w:t>
      </w:r>
    </w:p>
    <w:p>
      <w:pPr>
        <w:spacing w:after="0" w:line="106" w:lineRule="exact"/>
        <w:rPr>
          <w:sz w:val="20"/>
          <w:szCs w:val="20"/>
          <w:color w:val="auto"/>
        </w:rPr>
      </w:pPr>
    </w:p>
    <w:p>
      <w:pPr>
        <w:ind w:left="2320" w:right="619" w:hanging="335"/>
        <w:spacing w:after="0" w:line="283" w:lineRule="auto"/>
        <w:tabs>
          <w:tab w:leader="none" w:pos="2320" w:val="left"/>
        </w:tabs>
        <w:numPr>
          <w:ilvl w:val="0"/>
          <w:numId w:val="128"/>
        </w:numPr>
        <w:rPr>
          <w:rFonts w:ascii="Arial" w:cs="Arial" w:eastAsia="Arial" w:hAnsi="Arial"/>
          <w:sz w:val="17"/>
          <w:szCs w:val="17"/>
          <w:color w:val="003551"/>
        </w:rPr>
      </w:pPr>
      <w:r>
        <w:rPr>
          <w:rFonts w:ascii="Arial" w:cs="Arial" w:eastAsia="Arial" w:hAnsi="Arial"/>
          <w:sz w:val="17"/>
          <w:szCs w:val="17"/>
          <w:color w:val="003551"/>
        </w:rPr>
        <w:t>only the vote of the joint holder whose name appears first in the Register in respect of that share counts;</w:t>
      </w:r>
    </w:p>
    <w:p>
      <w:pPr>
        <w:spacing w:after="0" w:line="36" w:lineRule="exact"/>
        <w:rPr>
          <w:rFonts w:ascii="Arial" w:cs="Arial" w:eastAsia="Arial" w:hAnsi="Arial"/>
          <w:sz w:val="17"/>
          <w:szCs w:val="17"/>
          <w:color w:val="003551"/>
        </w:rPr>
      </w:pPr>
    </w:p>
    <w:p>
      <w:pPr>
        <w:ind w:left="2320" w:right="539" w:hanging="335"/>
        <w:spacing w:after="0" w:line="283" w:lineRule="auto"/>
        <w:tabs>
          <w:tab w:leader="none" w:pos="2320" w:val="left"/>
        </w:tabs>
        <w:numPr>
          <w:ilvl w:val="0"/>
          <w:numId w:val="128"/>
        </w:numPr>
        <w:rPr>
          <w:rFonts w:ascii="Arial" w:cs="Arial" w:eastAsia="Arial" w:hAnsi="Arial"/>
          <w:sz w:val="17"/>
          <w:szCs w:val="17"/>
          <w:color w:val="003551"/>
        </w:rPr>
      </w:pPr>
      <w:r>
        <w:rPr>
          <w:rFonts w:ascii="Arial" w:cs="Arial" w:eastAsia="Arial" w:hAnsi="Arial"/>
          <w:sz w:val="17"/>
          <w:szCs w:val="17"/>
          <w:color w:val="003551"/>
        </w:rPr>
        <w:t>a proxy appointment is valid even if the proxy appointment is signed by only one of the joint holders; and</w:t>
      </w:r>
    </w:p>
    <w:p>
      <w:pPr>
        <w:spacing w:after="0" w:line="36" w:lineRule="exact"/>
        <w:rPr>
          <w:rFonts w:ascii="Arial" w:cs="Arial" w:eastAsia="Arial" w:hAnsi="Arial"/>
          <w:sz w:val="17"/>
          <w:szCs w:val="17"/>
          <w:color w:val="003551"/>
        </w:rPr>
      </w:pPr>
    </w:p>
    <w:p>
      <w:pPr>
        <w:ind w:left="2320" w:right="719" w:hanging="335"/>
        <w:spacing w:after="0" w:line="283" w:lineRule="auto"/>
        <w:tabs>
          <w:tab w:leader="none" w:pos="2320" w:val="left"/>
        </w:tabs>
        <w:numPr>
          <w:ilvl w:val="0"/>
          <w:numId w:val="128"/>
        </w:numPr>
        <w:rPr>
          <w:rFonts w:ascii="Arial" w:cs="Arial" w:eastAsia="Arial" w:hAnsi="Arial"/>
          <w:sz w:val="17"/>
          <w:szCs w:val="17"/>
          <w:color w:val="003551"/>
        </w:rPr>
      </w:pPr>
      <w:r>
        <w:rPr>
          <w:rFonts w:ascii="Arial" w:cs="Arial" w:eastAsia="Arial" w:hAnsi="Arial"/>
          <w:sz w:val="17"/>
          <w:szCs w:val="17"/>
          <w:color w:val="003551"/>
        </w:rPr>
        <w:t>a proxy appointment signed by all joint holders will override a proxy that is signed by only some of the joint holders</w:t>
      </w:r>
    </w:p>
    <w:p>
      <w:pPr>
        <w:spacing w:after="0" w:line="142"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127635</wp:posOffset>
            </wp:positionV>
            <wp:extent cx="6786880" cy="1651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10.10</w:t>
        <w:tab/>
        <w:t>Voting by member of unsound mind</w:t>
      </w:r>
    </w:p>
    <w:p>
      <w:pPr>
        <w:spacing w:after="0" w:line="108" w:lineRule="exact"/>
        <w:rPr>
          <w:sz w:val="20"/>
          <w:szCs w:val="20"/>
          <w:color w:val="auto"/>
        </w:rPr>
      </w:pPr>
    </w:p>
    <w:p>
      <w:pPr>
        <w:ind w:left="1640" w:right="399"/>
        <w:spacing w:after="0" w:line="255" w:lineRule="auto"/>
        <w:rPr>
          <w:sz w:val="20"/>
          <w:szCs w:val="20"/>
          <w:color w:val="auto"/>
        </w:rPr>
      </w:pPr>
      <w:r>
        <w:rPr>
          <w:rFonts w:ascii="Arial" w:cs="Arial" w:eastAsia="Arial" w:hAnsi="Arial"/>
          <w:sz w:val="17"/>
          <w:szCs w:val="17"/>
          <w:color w:val="003551"/>
        </w:rPr>
        <w:t>If a member is of unsound mind or is a person whose assets are liable to be dealt with in any way under the law relating to mental health then any person who properly has the management of the member’s estate may exercise the member’s rights in relation to a general meeting as if the person were the member.</w:t>
      </w:r>
    </w:p>
    <w:p>
      <w:pPr>
        <w:spacing w:after="0" w:line="58"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10.11</w:t>
        <w:tab/>
        <w:t>Voting by infant member</w:t>
      </w:r>
    </w:p>
    <w:p>
      <w:pPr>
        <w:spacing w:after="0" w:line="108" w:lineRule="exact"/>
        <w:rPr>
          <w:sz w:val="20"/>
          <w:szCs w:val="20"/>
          <w:color w:val="auto"/>
        </w:rPr>
      </w:pPr>
    </w:p>
    <w:p>
      <w:pPr>
        <w:ind w:left="1640" w:right="459"/>
        <w:spacing w:after="0" w:line="255" w:lineRule="auto"/>
        <w:rPr>
          <w:sz w:val="20"/>
          <w:szCs w:val="20"/>
          <w:color w:val="auto"/>
        </w:rPr>
      </w:pPr>
      <w:r>
        <w:rPr>
          <w:rFonts w:ascii="Arial" w:cs="Arial" w:eastAsia="Arial" w:hAnsi="Arial"/>
          <w:sz w:val="17"/>
          <w:szCs w:val="17"/>
          <w:color w:val="003551"/>
        </w:rPr>
        <w:t>The parent or guardian of an infant member may vote at any general meeting on such evidence being produced of the relationship or of the appointment of the guardian as the board may require and any vote so tendered by a parent or guardian of an infant member must be accepted to the exclusion of the vote of the infant member.</w:t>
      </w:r>
    </w:p>
    <w:p>
      <w:pPr>
        <w:spacing w:after="0" w:line="58"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10.12</w:t>
        <w:tab/>
        <w:t>Voting by persons entitled by transmission</w:t>
      </w:r>
    </w:p>
    <w:p>
      <w:pPr>
        <w:spacing w:after="0" w:line="108" w:lineRule="exact"/>
        <w:rPr>
          <w:sz w:val="20"/>
          <w:szCs w:val="20"/>
          <w:color w:val="auto"/>
        </w:rPr>
      </w:pPr>
    </w:p>
    <w:p>
      <w:pPr>
        <w:ind w:left="1640" w:right="419"/>
        <w:spacing w:after="0" w:line="251" w:lineRule="auto"/>
        <w:rPr>
          <w:sz w:val="20"/>
          <w:szCs w:val="20"/>
          <w:color w:val="auto"/>
        </w:rPr>
      </w:pPr>
      <w:r>
        <w:rPr>
          <w:rFonts w:ascii="Arial" w:cs="Arial" w:eastAsia="Arial" w:hAnsi="Arial"/>
          <w:sz w:val="17"/>
          <w:szCs w:val="17"/>
          <w:color w:val="003551"/>
        </w:rPr>
        <w:t>A person entitled to a share as the result of a Transmission Event may vote at a general meeting in respect of that share as if the person were registered as the holder of that share at the Record Time if at least 48 hours before the meeting the board determines that the person is entitled to the share. Any vote exercised by the person so entitled must be accepted and the company must disregard any vote of the registered holder of those shares.</w:t>
      </w:r>
    </w:p>
    <w:p>
      <w:pPr>
        <w:spacing w:after="0" w:line="63"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10.13</w:t>
        <w:tab/>
        <w:t>Restrictions on voting rights</w:t>
      </w:r>
    </w:p>
    <w:p>
      <w:pPr>
        <w:spacing w:after="0" w:line="134"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A member is not entitled to vote on a resolution at a general meeting:</w:t>
      </w:r>
    </w:p>
    <w:p>
      <w:pPr>
        <w:spacing w:after="0" w:line="106" w:lineRule="exact"/>
        <w:rPr>
          <w:sz w:val="20"/>
          <w:szCs w:val="20"/>
          <w:color w:val="auto"/>
        </w:rPr>
      </w:pPr>
    </w:p>
    <w:p>
      <w:pPr>
        <w:ind w:left="2320" w:hanging="335"/>
        <w:spacing w:after="0"/>
        <w:tabs>
          <w:tab w:leader="none" w:pos="2320" w:val="left"/>
        </w:tabs>
        <w:numPr>
          <w:ilvl w:val="0"/>
          <w:numId w:val="129"/>
        </w:numPr>
        <w:rPr>
          <w:rFonts w:ascii="Arial" w:cs="Arial" w:eastAsia="Arial" w:hAnsi="Arial"/>
          <w:sz w:val="17"/>
          <w:szCs w:val="17"/>
          <w:color w:val="003551"/>
        </w:rPr>
      </w:pPr>
      <w:r>
        <w:rPr>
          <w:rFonts w:ascii="Arial" w:cs="Arial" w:eastAsia="Arial" w:hAnsi="Arial"/>
          <w:sz w:val="17"/>
          <w:szCs w:val="17"/>
          <w:color w:val="003551"/>
        </w:rPr>
        <w:t>in respect of any share on which a call is due and payable and has not been paid; or</w:t>
      </w:r>
    </w:p>
    <w:p>
      <w:pPr>
        <w:spacing w:after="0" w:line="105" w:lineRule="exact"/>
        <w:rPr>
          <w:rFonts w:ascii="Arial" w:cs="Arial" w:eastAsia="Arial" w:hAnsi="Arial"/>
          <w:sz w:val="17"/>
          <w:szCs w:val="17"/>
          <w:color w:val="003551"/>
        </w:rPr>
      </w:pPr>
    </w:p>
    <w:p>
      <w:pPr>
        <w:ind w:left="2320" w:right="779" w:hanging="335"/>
        <w:spacing w:after="0" w:line="283" w:lineRule="auto"/>
        <w:tabs>
          <w:tab w:leader="none" w:pos="2320" w:val="left"/>
        </w:tabs>
        <w:numPr>
          <w:ilvl w:val="0"/>
          <w:numId w:val="129"/>
        </w:numPr>
        <w:rPr>
          <w:rFonts w:ascii="Arial" w:cs="Arial" w:eastAsia="Arial" w:hAnsi="Arial"/>
          <w:sz w:val="17"/>
          <w:szCs w:val="17"/>
          <w:color w:val="003551"/>
        </w:rPr>
      </w:pPr>
      <w:r>
        <w:rPr>
          <w:rFonts w:ascii="Arial" w:cs="Arial" w:eastAsia="Arial" w:hAnsi="Arial"/>
          <w:sz w:val="17"/>
          <w:szCs w:val="17"/>
          <w:color w:val="003551"/>
        </w:rPr>
        <w:t>if prevented from doing so by the Corporations Act, the Listing Rules</w:t>
      </w:r>
      <w:r>
        <w:rPr>
          <w:rFonts w:ascii="Arial" w:cs="Arial" w:eastAsia="Arial" w:hAnsi="Arial"/>
          <w:sz w:val="17"/>
          <w:szCs w:val="17"/>
          <w:u w:val="single" w:color="auto"/>
          <w:color w:val="0000FF"/>
        </w:rPr>
        <w:t>, the Securities</w:t>
      </w:r>
      <w:r>
        <w:rPr>
          <w:rFonts w:ascii="Arial" w:cs="Arial" w:eastAsia="Arial" w:hAnsi="Arial"/>
          <w:sz w:val="17"/>
          <w:szCs w:val="17"/>
          <w:color w:val="003551"/>
        </w:rPr>
        <w:t xml:space="preserve"> </w:t>
      </w:r>
      <w:r>
        <w:rPr>
          <w:rFonts w:ascii="Arial" w:cs="Arial" w:eastAsia="Arial" w:hAnsi="Arial"/>
          <w:sz w:val="17"/>
          <w:szCs w:val="17"/>
          <w:u w:val="single" w:color="auto"/>
          <w:color w:val="0000FF"/>
        </w:rPr>
        <w:t>Laws</w:t>
      </w:r>
      <w:r>
        <w:rPr>
          <w:rFonts w:ascii="Arial" w:cs="Arial" w:eastAsia="Arial" w:hAnsi="Arial"/>
          <w:sz w:val="17"/>
          <w:szCs w:val="17"/>
          <w:color w:val="0000FF"/>
        </w:rPr>
        <w:t xml:space="preserve"> </w:t>
      </w:r>
      <w:r>
        <w:rPr>
          <w:rFonts w:ascii="Arial" w:cs="Arial" w:eastAsia="Arial" w:hAnsi="Arial"/>
          <w:sz w:val="17"/>
          <w:szCs w:val="17"/>
          <w:color w:val="000000"/>
        </w:rPr>
        <w:t>or any rule of this constitution.</w:t>
      </w:r>
    </w:p>
    <w:p>
      <w:pPr>
        <w:spacing w:after="0" w:line="37" w:lineRule="exact"/>
        <w:rPr>
          <w:sz w:val="20"/>
          <w:szCs w:val="20"/>
          <w:color w:val="auto"/>
        </w:rPr>
      </w:pPr>
    </w:p>
    <w:p>
      <w:pPr>
        <w:ind w:left="1640" w:right="719"/>
        <w:spacing w:after="0" w:line="283" w:lineRule="auto"/>
        <w:rPr>
          <w:sz w:val="20"/>
          <w:szCs w:val="20"/>
          <w:color w:val="auto"/>
        </w:rPr>
      </w:pPr>
      <w:r>
        <w:rPr>
          <w:rFonts w:ascii="Arial" w:cs="Arial" w:eastAsia="Arial" w:hAnsi="Arial"/>
          <w:sz w:val="17"/>
          <w:szCs w:val="17"/>
          <w:color w:val="003551"/>
        </w:rPr>
        <w:t xml:space="preserve">The company must disregard any vote purported to be cast on a resolution by a member or a corporate representative, proxy or attorney of a member in breach of this </w:t>
      </w:r>
      <w:r>
        <w:rPr>
          <w:rFonts w:ascii="Arial" w:cs="Arial" w:eastAsia="Arial" w:hAnsi="Arial"/>
          <w:sz w:val="17"/>
          <w:szCs w:val="17"/>
          <w:u w:val="single" w:color="auto"/>
          <w:color w:val="003551"/>
        </w:rPr>
        <w:t>rule 10.13</w:t>
      </w:r>
      <w:r>
        <w:rPr>
          <w:rFonts w:ascii="Arial" w:cs="Arial" w:eastAsia="Arial" w:hAnsi="Arial"/>
          <w:sz w:val="17"/>
          <w:szCs w:val="17"/>
          <w:color w:val="003551"/>
        </w:rPr>
        <w:t>.</w:t>
      </w:r>
    </w:p>
    <w:p>
      <w:pPr>
        <w:spacing w:after="0" w:line="35"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10.14</w:t>
        <w:tab/>
        <w:t>Objection to voting qualification</w:t>
      </w:r>
    </w:p>
    <w:p>
      <w:pPr>
        <w:spacing w:after="0" w:line="108" w:lineRule="exact"/>
        <w:rPr>
          <w:sz w:val="20"/>
          <w:szCs w:val="20"/>
          <w:color w:val="auto"/>
        </w:rPr>
      </w:pPr>
    </w:p>
    <w:p>
      <w:pPr>
        <w:ind w:left="1640" w:right="539"/>
        <w:spacing w:after="0" w:line="283" w:lineRule="auto"/>
        <w:rPr>
          <w:sz w:val="20"/>
          <w:szCs w:val="20"/>
          <w:color w:val="auto"/>
        </w:rPr>
      </w:pPr>
      <w:r>
        <w:rPr>
          <w:rFonts w:ascii="Arial" w:cs="Arial" w:eastAsia="Arial" w:hAnsi="Arial"/>
          <w:sz w:val="17"/>
          <w:szCs w:val="17"/>
          <w:color w:val="003551"/>
        </w:rPr>
        <w:t>An objection to the right of a person to attend or vote at a general meeting or adjourned general meeting must be:</w:t>
      </w:r>
    </w:p>
    <w:p>
      <w:pPr>
        <w:spacing w:after="0" w:line="37" w:lineRule="exact"/>
        <w:rPr>
          <w:sz w:val="20"/>
          <w:szCs w:val="20"/>
          <w:color w:val="auto"/>
        </w:rPr>
      </w:pPr>
    </w:p>
    <w:p>
      <w:pPr>
        <w:ind w:left="2320" w:hanging="335"/>
        <w:spacing w:after="0"/>
        <w:tabs>
          <w:tab w:leader="none" w:pos="2320" w:val="left"/>
        </w:tabs>
        <w:numPr>
          <w:ilvl w:val="0"/>
          <w:numId w:val="130"/>
        </w:numPr>
        <w:rPr>
          <w:rFonts w:ascii="Arial" w:cs="Arial" w:eastAsia="Arial" w:hAnsi="Arial"/>
          <w:sz w:val="17"/>
          <w:szCs w:val="17"/>
          <w:color w:val="003551"/>
        </w:rPr>
      </w:pPr>
      <w:r>
        <w:rPr>
          <w:rFonts w:ascii="Arial" w:cs="Arial" w:eastAsia="Arial" w:hAnsi="Arial"/>
          <w:sz w:val="17"/>
          <w:szCs w:val="17"/>
          <w:color w:val="003551"/>
        </w:rPr>
        <w:t>raised before or immediately after the result of the vote is declared; and</w:t>
      </w:r>
    </w:p>
    <w:p>
      <w:pPr>
        <w:spacing w:after="0" w:line="105" w:lineRule="exact"/>
        <w:rPr>
          <w:rFonts w:ascii="Arial" w:cs="Arial" w:eastAsia="Arial" w:hAnsi="Arial"/>
          <w:sz w:val="17"/>
          <w:szCs w:val="17"/>
          <w:color w:val="003551"/>
        </w:rPr>
      </w:pPr>
    </w:p>
    <w:p>
      <w:pPr>
        <w:ind w:left="2320" w:hanging="335"/>
        <w:spacing w:after="0"/>
        <w:tabs>
          <w:tab w:leader="none" w:pos="2320" w:val="left"/>
        </w:tabs>
        <w:numPr>
          <w:ilvl w:val="0"/>
          <w:numId w:val="130"/>
        </w:numPr>
        <w:rPr>
          <w:rFonts w:ascii="Arial" w:cs="Arial" w:eastAsia="Arial" w:hAnsi="Arial"/>
          <w:sz w:val="17"/>
          <w:szCs w:val="17"/>
          <w:color w:val="003551"/>
        </w:rPr>
      </w:pPr>
      <w:r>
        <w:rPr>
          <w:rFonts w:ascii="Arial" w:cs="Arial" w:eastAsia="Arial" w:hAnsi="Arial"/>
          <w:sz w:val="17"/>
          <w:szCs w:val="17"/>
          <w:color w:val="003551"/>
        </w:rPr>
        <w:t>referred to the chair of the meeting, whose decision is final and binding on all members.</w:t>
      </w:r>
    </w:p>
    <w:p>
      <w:pPr>
        <w:spacing w:after="0" w:line="106" w:lineRule="exact"/>
        <w:rPr>
          <w:sz w:val="20"/>
          <w:szCs w:val="20"/>
          <w:color w:val="auto"/>
        </w:rPr>
      </w:pPr>
    </w:p>
    <w:p>
      <w:pPr>
        <w:ind w:left="1640" w:right="419"/>
        <w:spacing w:after="0" w:line="283" w:lineRule="auto"/>
        <w:rPr>
          <w:sz w:val="20"/>
          <w:szCs w:val="20"/>
          <w:color w:val="auto"/>
        </w:rPr>
      </w:pPr>
      <w:r>
        <w:rPr>
          <w:rFonts w:ascii="Arial" w:cs="Arial" w:eastAsia="Arial" w:hAnsi="Arial"/>
          <w:sz w:val="17"/>
          <w:szCs w:val="17"/>
          <w:color w:val="003551"/>
        </w:rPr>
        <w:t>If any objection is raised to the right of a person to vote and the chair disallows the objection then the vote cast by that person is valid for all purposes.</w:t>
      </w:r>
    </w:p>
    <w:p>
      <w:pPr>
        <w:spacing w:after="0" w:line="142"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127635</wp:posOffset>
            </wp:positionV>
            <wp:extent cx="6786880" cy="1651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40" w:right="2959" w:hanging="3"/>
        <w:spacing w:after="0" w:line="371" w:lineRule="auto"/>
        <w:tabs>
          <w:tab w:leader="none" w:pos="1634" w:val="left"/>
        </w:tabs>
        <w:numPr>
          <w:ilvl w:val="0"/>
          <w:numId w:val="131"/>
        </w:numPr>
        <w:rPr>
          <w:rFonts w:ascii="Arial" w:cs="Arial" w:eastAsia="Arial" w:hAnsi="Arial"/>
          <w:sz w:val="17"/>
          <w:szCs w:val="17"/>
          <w:b w:val="1"/>
          <w:bCs w:val="1"/>
          <w:color w:val="003551"/>
        </w:rPr>
      </w:pPr>
      <w:r>
        <w:rPr>
          <w:rFonts w:ascii="Arial" w:cs="Arial" w:eastAsia="Arial" w:hAnsi="Arial"/>
          <w:sz w:val="17"/>
          <w:szCs w:val="17"/>
          <w:b w:val="1"/>
          <w:bCs w:val="1"/>
          <w:color w:val="003551"/>
        </w:rPr>
        <w:t>REPRESENTATION OF MEMBERS AT GENERAL MEETINGS 11.1 How members may attend and vote</w:t>
      </w:r>
    </w:p>
    <w:p>
      <w:pPr>
        <w:ind w:left="1640" w:right="479"/>
        <w:spacing w:after="0" w:line="283" w:lineRule="auto"/>
        <w:rPr>
          <w:sz w:val="20"/>
          <w:szCs w:val="20"/>
          <w:color w:val="auto"/>
        </w:rPr>
      </w:pPr>
      <w:r>
        <w:rPr>
          <w:rFonts w:ascii="Arial" w:cs="Arial" w:eastAsia="Arial" w:hAnsi="Arial"/>
          <w:sz w:val="17"/>
          <w:szCs w:val="17"/>
          <w:color w:val="003551"/>
        </w:rPr>
        <w:t xml:space="preserve">Subject to this constitution </w:t>
      </w:r>
      <w:r>
        <w:rPr>
          <w:rFonts w:ascii="Arial" w:cs="Arial" w:eastAsia="Arial" w:hAnsi="Arial"/>
          <w:sz w:val="17"/>
          <w:szCs w:val="17"/>
          <w:color w:val="FF0000"/>
        </w:rPr>
        <w:t>and</w:t>
      </w:r>
      <w:r>
        <w:rPr>
          <w:rFonts w:ascii="Arial" w:cs="Arial" w:eastAsia="Arial" w:hAnsi="Arial"/>
          <w:sz w:val="17"/>
          <w:szCs w:val="17"/>
          <w:u w:val="single" w:color="auto"/>
          <w:color w:val="0000FF"/>
        </w:rPr>
        <w:t>,</w:t>
      </w:r>
      <w:r>
        <w:rPr>
          <w:rFonts w:ascii="Arial" w:cs="Arial" w:eastAsia="Arial" w:hAnsi="Arial"/>
          <w:sz w:val="17"/>
          <w:szCs w:val="17"/>
          <w:color w:val="003551"/>
        </w:rPr>
        <w:t xml:space="preserve"> </w:t>
      </w:r>
      <w:r>
        <w:rPr>
          <w:rFonts w:ascii="Arial" w:cs="Arial" w:eastAsia="Arial" w:hAnsi="Arial"/>
          <w:sz w:val="17"/>
          <w:szCs w:val="17"/>
          <w:color w:val="000000"/>
        </w:rPr>
        <w:t>the Listing Rules</w:t>
      </w:r>
      <w:r>
        <w:rPr>
          <w:rFonts w:ascii="Arial" w:cs="Arial" w:eastAsia="Arial" w:hAnsi="Arial"/>
          <w:sz w:val="17"/>
          <w:szCs w:val="17"/>
          <w:color w:val="003551"/>
        </w:rPr>
        <w:t xml:space="preserve"> </w:t>
      </w:r>
      <w:r>
        <w:rPr>
          <w:rFonts w:ascii="Arial" w:cs="Arial" w:eastAsia="Arial" w:hAnsi="Arial"/>
          <w:sz w:val="17"/>
          <w:szCs w:val="17"/>
          <w:color w:val="0000FF"/>
        </w:rPr>
        <w:t>and the Securities Laws</w:t>
      </w:r>
      <w:r>
        <w:rPr>
          <w:rFonts w:ascii="Arial" w:cs="Arial" w:eastAsia="Arial" w:hAnsi="Arial"/>
          <w:sz w:val="17"/>
          <w:szCs w:val="17"/>
          <w:color w:val="000000"/>
        </w:rPr>
        <w:t>, each member entitled</w:t>
      </w:r>
      <w:r>
        <w:rPr>
          <w:rFonts w:ascii="Arial" w:cs="Arial" w:eastAsia="Arial" w:hAnsi="Arial"/>
          <w:sz w:val="17"/>
          <w:szCs w:val="17"/>
          <w:color w:val="003551"/>
        </w:rPr>
        <w:t xml:space="preserve"> </w:t>
      </w:r>
      <w:r>
        <w:rPr>
          <w:rFonts w:ascii="Arial" w:cs="Arial" w:eastAsia="Arial" w:hAnsi="Arial"/>
          <w:sz w:val="17"/>
          <w:szCs w:val="17"/>
          <w:color w:val="000000"/>
        </w:rPr>
        <w:t>to vote at a general meeting may attend and vote at that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2326640</wp:posOffset>
            </wp:positionH>
            <wp:positionV relativeFrom="paragraph">
              <wp:posOffset>-222885</wp:posOffset>
            </wp:positionV>
            <wp:extent cx="21590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15900" cy="825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-156845</wp:posOffset>
            </wp:positionV>
            <wp:extent cx="120586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05865" cy="825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-173355</wp:posOffset>
            </wp:positionV>
            <wp:extent cx="120777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07770" cy="8255"/>
                    </a:xfrm>
                    <a:prstGeom prst="rect">
                      <a:avLst/>
                    </a:prstGeom>
                    <a:noFill/>
                  </pic:spPr>
                </pic:pic>
              </a:graphicData>
            </a:graphic>
          </wp:anchor>
        </w:drawing>
      </w:r>
    </w:p>
    <w:p>
      <w:pPr>
        <w:spacing w:after="0" w:line="17" w:lineRule="exact"/>
        <w:rPr>
          <w:sz w:val="20"/>
          <w:szCs w:val="20"/>
          <w:color w:val="auto"/>
        </w:rPr>
      </w:pPr>
    </w:p>
    <w:p>
      <w:pPr>
        <w:ind w:left="2320" w:hanging="335"/>
        <w:spacing w:after="0"/>
        <w:tabs>
          <w:tab w:leader="none" w:pos="2320" w:val="left"/>
        </w:tabs>
        <w:numPr>
          <w:ilvl w:val="0"/>
          <w:numId w:val="132"/>
        </w:numPr>
        <w:rPr>
          <w:rFonts w:ascii="Arial" w:cs="Arial" w:eastAsia="Arial" w:hAnsi="Arial"/>
          <w:sz w:val="17"/>
          <w:szCs w:val="17"/>
          <w:color w:val="003551"/>
        </w:rPr>
      </w:pPr>
      <w:r>
        <w:rPr>
          <w:rFonts w:ascii="Arial" w:cs="Arial" w:eastAsia="Arial" w:hAnsi="Arial"/>
          <w:sz w:val="17"/>
          <w:szCs w:val="17"/>
          <w:color w:val="003551"/>
        </w:rPr>
        <w:t>in person or, where a member is a body corporate, by its corporate representative; or</w:t>
      </w:r>
    </w:p>
    <w:p>
      <w:pPr>
        <w:spacing w:after="0" w:line="105" w:lineRule="exact"/>
        <w:rPr>
          <w:rFonts w:ascii="Arial" w:cs="Arial" w:eastAsia="Arial" w:hAnsi="Arial"/>
          <w:sz w:val="17"/>
          <w:szCs w:val="17"/>
          <w:color w:val="003551"/>
        </w:rPr>
      </w:pPr>
    </w:p>
    <w:p>
      <w:pPr>
        <w:ind w:left="2320" w:hanging="335"/>
        <w:spacing w:after="0"/>
        <w:tabs>
          <w:tab w:leader="none" w:pos="2320" w:val="left"/>
        </w:tabs>
        <w:numPr>
          <w:ilvl w:val="0"/>
          <w:numId w:val="132"/>
        </w:numPr>
        <w:rPr>
          <w:rFonts w:ascii="Arial" w:cs="Arial" w:eastAsia="Arial" w:hAnsi="Arial"/>
          <w:sz w:val="17"/>
          <w:szCs w:val="17"/>
          <w:color w:val="003551"/>
        </w:rPr>
      </w:pPr>
      <w:r>
        <w:rPr>
          <w:rFonts w:ascii="Arial" w:cs="Arial" w:eastAsia="Arial" w:hAnsi="Arial"/>
          <w:sz w:val="17"/>
          <w:szCs w:val="17"/>
          <w:color w:val="003551"/>
        </w:rPr>
        <w:t>by not more than 2 proxies or attorneys.</w:t>
      </w:r>
    </w:p>
    <w:p>
      <w:pPr>
        <w:spacing w:after="0" w:line="132"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A corporate representative, proxy or attorney may, but need not, be a member of the company.</w:t>
      </w:r>
    </w:p>
    <w:p>
      <w:pPr>
        <w:spacing w:after="0" w:line="104"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11.2</w:t>
      </w:r>
      <w:r>
        <w:rPr>
          <w:sz w:val="20"/>
          <w:szCs w:val="20"/>
          <w:color w:val="auto"/>
        </w:rPr>
        <w:tab/>
      </w:r>
      <w:r>
        <w:rPr>
          <w:rFonts w:ascii="Arial" w:cs="Arial" w:eastAsia="Arial" w:hAnsi="Arial"/>
          <w:sz w:val="17"/>
          <w:szCs w:val="17"/>
          <w:b w:val="1"/>
          <w:bCs w:val="1"/>
          <w:color w:val="003551"/>
        </w:rPr>
        <w:t>Corporate representatives</w:t>
      </w:r>
    </w:p>
    <w:p>
      <w:pPr>
        <w:spacing w:after="0" w:line="108" w:lineRule="exact"/>
        <w:rPr>
          <w:sz w:val="20"/>
          <w:szCs w:val="20"/>
          <w:color w:val="auto"/>
        </w:rPr>
      </w:pPr>
    </w:p>
    <w:p>
      <w:pPr>
        <w:ind w:left="1640" w:right="399"/>
        <w:spacing w:after="0" w:line="247" w:lineRule="auto"/>
        <w:rPr>
          <w:sz w:val="20"/>
          <w:szCs w:val="20"/>
          <w:color w:val="auto"/>
        </w:rPr>
      </w:pPr>
      <w:r>
        <w:rPr>
          <w:rFonts w:ascii="Arial" w:cs="Arial" w:eastAsia="Arial" w:hAnsi="Arial"/>
          <w:sz w:val="17"/>
          <w:szCs w:val="17"/>
          <w:color w:val="003551"/>
        </w:rPr>
        <w:t>The chair of a meeting may request a person claiming to be a corporate representative to provide evidence satisfactory to the chair that they have been validly appointed. If such evidence is not provided the chair may nevertheless permit that person to exercise the powers of a corporate representative at that meeting but may make it a condition of the exercise of any voting rights by that person that the person produce such evidence within a time after the conclusion of the meeting set by the chair. If the chair attaches such a condition to the exercise of any voting rights then that condition may be waived by notice in writing to the relevant member at any time before the time specified by the chair.</w:t>
      </w:r>
    </w:p>
    <w:p>
      <w:pPr>
        <w:spacing w:after="0" w:line="65"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11.3</w:t>
      </w:r>
      <w:r>
        <w:rPr>
          <w:sz w:val="20"/>
          <w:szCs w:val="20"/>
          <w:color w:val="auto"/>
        </w:rPr>
        <w:tab/>
      </w:r>
      <w:r>
        <w:rPr>
          <w:rFonts w:ascii="Arial" w:cs="Arial" w:eastAsia="Arial" w:hAnsi="Arial"/>
          <w:sz w:val="17"/>
          <w:szCs w:val="17"/>
          <w:b w:val="1"/>
          <w:bCs w:val="1"/>
          <w:color w:val="003551"/>
        </w:rPr>
        <w:t>Form of proxy appointments</w:t>
      </w:r>
    </w:p>
    <w:p>
      <w:pPr>
        <w:spacing w:after="0" w:line="147"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The appointment of a proxy for a general meeting must be:</w:t>
      </w:r>
    </w:p>
    <w:p>
      <w:pPr>
        <w:spacing w:after="0" w:line="106" w:lineRule="exact"/>
        <w:rPr>
          <w:sz w:val="20"/>
          <w:szCs w:val="20"/>
          <w:color w:val="auto"/>
        </w:rPr>
      </w:pPr>
    </w:p>
    <w:p>
      <w:pPr>
        <w:ind w:left="2320" w:right="1159" w:hanging="335"/>
        <w:spacing w:after="0" w:line="283" w:lineRule="auto"/>
        <w:tabs>
          <w:tab w:leader="none" w:pos="2320" w:val="left"/>
        </w:tabs>
        <w:numPr>
          <w:ilvl w:val="0"/>
          <w:numId w:val="133"/>
        </w:numPr>
        <w:rPr>
          <w:rFonts w:ascii="Arial" w:cs="Arial" w:eastAsia="Arial" w:hAnsi="Arial"/>
          <w:sz w:val="17"/>
          <w:szCs w:val="17"/>
          <w:color w:val="003551"/>
        </w:rPr>
      </w:pPr>
      <w:r>
        <w:rPr>
          <w:rFonts w:ascii="Arial" w:cs="Arial" w:eastAsia="Arial" w:hAnsi="Arial"/>
          <w:sz w:val="17"/>
          <w:szCs w:val="17"/>
          <w:color w:val="003551"/>
        </w:rPr>
        <w:t>in the form approved by the board for the purposes of that meeting and sent or otherwise made available to members by or on behalf of the company; or</w:t>
      </w:r>
    </w:p>
    <w:p>
      <w:pPr>
        <w:spacing w:after="0" w:line="36" w:lineRule="exact"/>
        <w:rPr>
          <w:rFonts w:ascii="Arial" w:cs="Arial" w:eastAsia="Arial" w:hAnsi="Arial"/>
          <w:sz w:val="17"/>
          <w:szCs w:val="17"/>
          <w:color w:val="003551"/>
        </w:rPr>
      </w:pPr>
    </w:p>
    <w:p>
      <w:pPr>
        <w:ind w:left="2320" w:right="599" w:hanging="335"/>
        <w:spacing w:after="0" w:line="283" w:lineRule="auto"/>
        <w:tabs>
          <w:tab w:leader="none" w:pos="2320" w:val="left"/>
        </w:tabs>
        <w:numPr>
          <w:ilvl w:val="0"/>
          <w:numId w:val="133"/>
        </w:numPr>
        <w:rPr>
          <w:rFonts w:ascii="Arial" w:cs="Arial" w:eastAsia="Arial" w:hAnsi="Arial"/>
          <w:sz w:val="17"/>
          <w:szCs w:val="17"/>
          <w:color w:val="003551"/>
        </w:rPr>
      </w:pPr>
      <w:r>
        <w:rPr>
          <w:rFonts w:ascii="Arial" w:cs="Arial" w:eastAsia="Arial" w:hAnsi="Arial"/>
          <w:sz w:val="17"/>
          <w:szCs w:val="17"/>
          <w:color w:val="003551"/>
        </w:rPr>
        <w:t xml:space="preserve">in any other form which complies with the Corporations Act </w:t>
      </w:r>
      <w:r>
        <w:rPr>
          <w:rFonts w:ascii="Arial" w:cs="Arial" w:eastAsia="Arial" w:hAnsi="Arial"/>
          <w:sz w:val="17"/>
          <w:szCs w:val="17"/>
          <w:color w:val="FF0000"/>
          <w:strike w:val="1"/>
        </w:rPr>
        <w:t>and</w:t>
      </w:r>
      <w:r>
        <w:rPr>
          <w:rFonts w:ascii="Arial" w:cs="Arial" w:eastAsia="Arial" w:hAnsi="Arial"/>
          <w:sz w:val="17"/>
          <w:szCs w:val="17"/>
          <w:u w:val="single" w:color="auto"/>
          <w:color w:val="0000FF"/>
        </w:rPr>
        <w:t>,</w:t>
      </w:r>
      <w:r>
        <w:rPr>
          <w:rFonts w:ascii="Arial" w:cs="Arial" w:eastAsia="Arial" w:hAnsi="Arial"/>
          <w:sz w:val="17"/>
          <w:szCs w:val="17"/>
          <w:color w:val="003551"/>
        </w:rPr>
        <w:t xml:space="preserve"> </w:t>
      </w:r>
      <w:r>
        <w:rPr>
          <w:rFonts w:ascii="Arial" w:cs="Arial" w:eastAsia="Arial" w:hAnsi="Arial"/>
          <w:sz w:val="17"/>
          <w:szCs w:val="17"/>
          <w:color w:val="000000"/>
        </w:rPr>
        <w:t>the Listing Rules</w:t>
      </w:r>
      <w:r>
        <w:rPr>
          <w:rFonts w:ascii="Arial" w:cs="Arial" w:eastAsia="Arial" w:hAnsi="Arial"/>
          <w:sz w:val="17"/>
          <w:szCs w:val="17"/>
          <w:color w:val="003551"/>
        </w:rPr>
        <w:t xml:space="preserve"> </w:t>
      </w:r>
      <w:r>
        <w:rPr>
          <w:rFonts w:ascii="Arial" w:cs="Arial" w:eastAsia="Arial" w:hAnsi="Arial"/>
          <w:sz w:val="17"/>
          <w:szCs w:val="17"/>
          <w:u w:val="single" w:color="auto"/>
          <w:color w:val="0000FF"/>
        </w:rPr>
        <w:t>and</w:t>
      </w:r>
      <w:r>
        <w:rPr>
          <w:rFonts w:ascii="Arial" w:cs="Arial" w:eastAsia="Arial" w:hAnsi="Arial"/>
          <w:sz w:val="17"/>
          <w:szCs w:val="17"/>
          <w:color w:val="003551"/>
        </w:rPr>
        <w:t xml:space="preserve"> </w:t>
      </w:r>
      <w:r>
        <w:rPr>
          <w:rFonts w:ascii="Arial" w:cs="Arial" w:eastAsia="Arial" w:hAnsi="Arial"/>
          <w:sz w:val="17"/>
          <w:szCs w:val="17"/>
          <w:u w:val="single" w:color="auto"/>
          <w:color w:val="0000FF"/>
        </w:rPr>
        <w:t>the Securities Laws</w:t>
      </w:r>
      <w:r>
        <w:rPr>
          <w:rFonts w:ascii="Arial" w:cs="Arial" w:eastAsia="Arial" w:hAnsi="Arial"/>
          <w:sz w:val="17"/>
          <w:szCs w:val="17"/>
          <w:color w:val="000000"/>
        </w:rPr>
        <w:t>.</w:t>
      </w:r>
    </w:p>
    <w:p>
      <w:pPr>
        <w:spacing w:after="0" w:line="35"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11.4</w:t>
      </w:r>
      <w:r>
        <w:rPr>
          <w:sz w:val="20"/>
          <w:szCs w:val="20"/>
          <w:color w:val="auto"/>
        </w:rPr>
        <w:tab/>
      </w:r>
      <w:r>
        <w:rPr>
          <w:rFonts w:ascii="Arial" w:cs="Arial" w:eastAsia="Arial" w:hAnsi="Arial"/>
          <w:sz w:val="17"/>
          <w:szCs w:val="17"/>
          <w:b w:val="1"/>
          <w:bCs w:val="1"/>
          <w:color w:val="003551"/>
        </w:rPr>
        <w:t>Signature or authentication of proxy appointments</w:t>
      </w:r>
    </w:p>
    <w:p>
      <w:pPr>
        <w:spacing w:after="0" w:line="147"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The appointment of a proxy for a general meeting must be:</w:t>
      </w:r>
    </w:p>
    <w:p>
      <w:pPr>
        <w:spacing w:after="0" w:line="106" w:lineRule="exact"/>
        <w:rPr>
          <w:sz w:val="20"/>
          <w:szCs w:val="20"/>
          <w:color w:val="auto"/>
        </w:rPr>
      </w:pPr>
    </w:p>
    <w:p>
      <w:pPr>
        <w:ind w:left="2320" w:right="519" w:hanging="335"/>
        <w:spacing w:after="0" w:line="255" w:lineRule="auto"/>
        <w:tabs>
          <w:tab w:leader="none" w:pos="2320" w:val="left"/>
        </w:tabs>
        <w:numPr>
          <w:ilvl w:val="0"/>
          <w:numId w:val="134"/>
        </w:numPr>
        <w:rPr>
          <w:rFonts w:ascii="Arial" w:cs="Arial" w:eastAsia="Arial" w:hAnsi="Arial"/>
          <w:sz w:val="17"/>
          <w:szCs w:val="17"/>
          <w:color w:val="003551"/>
        </w:rPr>
      </w:pPr>
      <w:r>
        <w:rPr>
          <w:rFonts w:ascii="Arial" w:cs="Arial" w:eastAsia="Arial" w:hAnsi="Arial"/>
          <w:sz w:val="17"/>
          <w:szCs w:val="17"/>
          <w:color w:val="003551"/>
        </w:rPr>
        <w:t xml:space="preserve">signed by the member making the appointment or a duly authorised agent of the member or, in the case of a member that is a body corporate, executed by the member in accordance with the Corporations Act </w:t>
      </w:r>
      <w:r>
        <w:rPr>
          <w:rFonts w:ascii="Arial" w:cs="Arial" w:eastAsia="Arial" w:hAnsi="Arial"/>
          <w:sz w:val="17"/>
          <w:szCs w:val="17"/>
          <w:color w:val="FF0000"/>
        </w:rPr>
        <w:t>and</w:t>
      </w:r>
      <w:r>
        <w:rPr>
          <w:rFonts w:ascii="Arial" w:cs="Arial" w:eastAsia="Arial" w:hAnsi="Arial"/>
          <w:sz w:val="17"/>
          <w:szCs w:val="17"/>
          <w:u w:val="single" w:color="auto"/>
          <w:color w:val="0000FF"/>
        </w:rPr>
        <w:t>,</w:t>
      </w:r>
      <w:r>
        <w:rPr>
          <w:rFonts w:ascii="Arial" w:cs="Arial" w:eastAsia="Arial" w:hAnsi="Arial"/>
          <w:sz w:val="17"/>
          <w:szCs w:val="17"/>
          <w:color w:val="003551"/>
        </w:rPr>
        <w:t xml:space="preserve"> </w:t>
      </w:r>
      <w:r>
        <w:rPr>
          <w:rFonts w:ascii="Arial" w:cs="Arial" w:eastAsia="Arial" w:hAnsi="Arial"/>
          <w:sz w:val="17"/>
          <w:szCs w:val="17"/>
          <w:color w:val="000000"/>
        </w:rPr>
        <w:t>Listing Rules</w:t>
      </w:r>
      <w:r>
        <w:rPr>
          <w:rFonts w:ascii="Arial" w:cs="Arial" w:eastAsia="Arial" w:hAnsi="Arial"/>
          <w:sz w:val="17"/>
          <w:szCs w:val="17"/>
          <w:color w:val="003551"/>
        </w:rPr>
        <w:t xml:space="preserve"> </w:t>
      </w:r>
      <w:r>
        <w:rPr>
          <w:rFonts w:ascii="Arial" w:cs="Arial" w:eastAsia="Arial" w:hAnsi="Arial"/>
          <w:sz w:val="17"/>
          <w:szCs w:val="17"/>
          <w:color w:val="0000FF"/>
        </w:rPr>
        <w:t>and the Securities Laws</w:t>
      </w:r>
      <w:r>
        <w:rPr>
          <w:rFonts w:ascii="Arial" w:cs="Arial" w:eastAsia="Arial" w:hAnsi="Arial"/>
          <w:sz w:val="17"/>
          <w:szCs w:val="17"/>
          <w:color w:val="000000"/>
        </w:rPr>
        <w:t>, or</w:t>
      </w:r>
      <w:r>
        <w:rPr>
          <w:rFonts w:ascii="Arial" w:cs="Arial" w:eastAsia="Arial" w:hAnsi="Arial"/>
          <w:sz w:val="17"/>
          <w:szCs w:val="17"/>
          <w:color w:val="003551"/>
        </w:rPr>
        <w:t xml:space="preserve"> </w:t>
      </w:r>
      <w:r>
        <w:rPr>
          <w:rFonts w:ascii="Arial" w:cs="Arial" w:eastAsia="Arial" w:hAnsi="Arial"/>
          <w:sz w:val="17"/>
          <w:szCs w:val="17"/>
          <w:color w:val="000000"/>
        </w:rPr>
        <w:t>signed by an officer or agent authorised for that purpose; or</w:t>
      </w:r>
    </w:p>
    <w:p>
      <w:pPr>
        <w:spacing w:after="0" w:line="59" w:lineRule="exact"/>
        <w:rPr>
          <w:rFonts w:ascii="Arial" w:cs="Arial" w:eastAsia="Arial" w:hAnsi="Arial"/>
          <w:sz w:val="17"/>
          <w:szCs w:val="17"/>
          <w:color w:val="003551"/>
        </w:rPr>
      </w:pPr>
    </w:p>
    <w:p>
      <w:pPr>
        <w:jc w:val="both"/>
        <w:ind w:left="2320" w:right="439" w:hanging="335"/>
        <w:spacing w:after="0" w:line="262" w:lineRule="auto"/>
        <w:tabs>
          <w:tab w:leader="none" w:pos="2320" w:val="left"/>
        </w:tabs>
        <w:numPr>
          <w:ilvl w:val="0"/>
          <w:numId w:val="134"/>
        </w:numPr>
        <w:rPr>
          <w:rFonts w:ascii="Arial" w:cs="Arial" w:eastAsia="Arial" w:hAnsi="Arial"/>
          <w:sz w:val="17"/>
          <w:szCs w:val="17"/>
          <w:color w:val="003551"/>
        </w:rPr>
      </w:pPr>
      <w:r>
        <w:rPr>
          <w:rFonts w:ascii="Arial" w:cs="Arial" w:eastAsia="Arial" w:hAnsi="Arial"/>
          <w:sz w:val="17"/>
          <w:szCs w:val="17"/>
          <w:color w:val="003551"/>
        </w:rPr>
        <w:t xml:space="preserve">authenticated by the member in any manner approved by the board and specified in the notice convening that meeting or in any other manner permitted by the Corporations Act </w:t>
      </w:r>
      <w:r>
        <w:rPr>
          <w:rFonts w:ascii="Arial" w:cs="Arial" w:eastAsia="Arial" w:hAnsi="Arial"/>
          <w:sz w:val="17"/>
          <w:szCs w:val="17"/>
          <w:color w:val="FF0000"/>
          <w:strike w:val="1"/>
        </w:rPr>
        <w:t>and</w:t>
      </w:r>
      <w:r>
        <w:rPr>
          <w:rFonts w:ascii="Arial" w:cs="Arial" w:eastAsia="Arial" w:hAnsi="Arial"/>
          <w:sz w:val="17"/>
          <w:szCs w:val="17"/>
          <w:u w:val="single" w:color="auto"/>
          <w:color w:val="0000FF"/>
        </w:rPr>
        <w:t>,</w:t>
      </w:r>
      <w:r>
        <w:rPr>
          <w:rFonts w:ascii="Arial" w:cs="Arial" w:eastAsia="Arial" w:hAnsi="Arial"/>
          <w:sz w:val="17"/>
          <w:szCs w:val="17"/>
          <w:color w:val="FF0000"/>
        </w:rPr>
        <w:t xml:space="preserve"> </w:t>
      </w:r>
      <w:r>
        <w:rPr>
          <w:rFonts w:ascii="Arial" w:cs="Arial" w:eastAsia="Arial" w:hAnsi="Arial"/>
          <w:sz w:val="17"/>
          <w:szCs w:val="17"/>
          <w:color w:val="000000"/>
        </w:rPr>
        <w:t>Listing Rules</w:t>
      </w:r>
      <w:r>
        <w:rPr>
          <w:rFonts w:ascii="Arial" w:cs="Arial" w:eastAsia="Arial" w:hAnsi="Arial"/>
          <w:sz w:val="17"/>
          <w:szCs w:val="17"/>
          <w:color w:val="FF0000"/>
        </w:rPr>
        <w:t xml:space="preserve"> </w:t>
      </w:r>
      <w:r>
        <w:rPr>
          <w:rFonts w:ascii="Arial" w:cs="Arial" w:eastAsia="Arial" w:hAnsi="Arial"/>
          <w:sz w:val="17"/>
          <w:szCs w:val="17"/>
          <w:color w:val="0000FF"/>
        </w:rPr>
        <w:t>and the Securities Laws</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-652780</wp:posOffset>
            </wp:positionV>
            <wp:extent cx="21590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15900" cy="8255"/>
                    </a:xfrm>
                    <a:prstGeom prst="rect">
                      <a:avLst/>
                    </a:prstGeom>
                    <a:noFill/>
                  </pic:spPr>
                </pic:pic>
              </a:graphicData>
            </a:graphic>
          </wp:anchor>
        </w:drawing>
        <w:drawing>
          <wp:anchor simplePos="0" relativeHeight="251657728" behindDoc="1" locked="0" layoutInCell="0" allowOverlap="1">
            <wp:simplePos x="0" y="0"/>
            <wp:positionH relativeFrom="column">
              <wp:posOffset>4346575</wp:posOffset>
            </wp:positionH>
            <wp:positionV relativeFrom="paragraph">
              <wp:posOffset>-586740</wp:posOffset>
            </wp:positionV>
            <wp:extent cx="120586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05865" cy="8255"/>
                    </a:xfrm>
                    <a:prstGeom prst="rect">
                      <a:avLst/>
                    </a:prstGeom>
                    <a:noFill/>
                  </pic:spPr>
                </pic:pic>
              </a:graphicData>
            </a:graphic>
          </wp:anchor>
        </w:drawing>
        <w:drawing>
          <wp:anchor simplePos="0" relativeHeight="251657728" behindDoc="1" locked="0" layoutInCell="0" allowOverlap="1">
            <wp:simplePos x="0" y="0"/>
            <wp:positionH relativeFrom="column">
              <wp:posOffset>4347845</wp:posOffset>
            </wp:positionH>
            <wp:positionV relativeFrom="paragraph">
              <wp:posOffset>-603250</wp:posOffset>
            </wp:positionV>
            <wp:extent cx="120777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07770" cy="8255"/>
                    </a:xfrm>
                    <a:prstGeom prst="rect">
                      <a:avLst/>
                    </a:prstGeom>
                    <a:noFill/>
                  </pic:spPr>
                </pic:pic>
              </a:graphicData>
            </a:graphic>
          </wp:anchor>
        </w:drawing>
        <w:drawing>
          <wp:anchor simplePos="0" relativeHeight="251657728" behindDoc="1" locked="0" layoutInCell="0" allowOverlap="1">
            <wp:simplePos x="0" y="0"/>
            <wp:positionH relativeFrom="column">
              <wp:posOffset>2358390</wp:posOffset>
            </wp:positionH>
            <wp:positionV relativeFrom="paragraph">
              <wp:posOffset>-20955</wp:posOffset>
            </wp:positionV>
            <wp:extent cx="120586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05865" cy="8255"/>
                    </a:xfrm>
                    <a:prstGeom prst="rect">
                      <a:avLst/>
                    </a:prstGeom>
                    <a:noFill/>
                  </pic:spPr>
                </pic:pic>
              </a:graphicData>
            </a:graphic>
          </wp:anchor>
        </w:drawing>
        <w:drawing>
          <wp:anchor simplePos="0" relativeHeight="251657728" behindDoc="1" locked="0" layoutInCell="0" allowOverlap="1">
            <wp:simplePos x="0" y="0"/>
            <wp:positionH relativeFrom="column">
              <wp:posOffset>2357755</wp:posOffset>
            </wp:positionH>
            <wp:positionV relativeFrom="paragraph">
              <wp:posOffset>-37465</wp:posOffset>
            </wp:positionV>
            <wp:extent cx="120777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07770" cy="8255"/>
                    </a:xfrm>
                    <a:prstGeom prst="rect">
                      <a:avLst/>
                    </a:prstGeom>
                    <a:noFill/>
                  </pic:spPr>
                </pic:pic>
              </a:graphicData>
            </a:graphic>
          </wp:anchor>
        </w:drawing>
      </w:r>
    </w:p>
    <w:p>
      <w:pPr>
        <w:spacing w:after="0" w:line="32"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11.5</w:t>
      </w:r>
      <w:r>
        <w:rPr>
          <w:sz w:val="20"/>
          <w:szCs w:val="20"/>
          <w:color w:val="auto"/>
        </w:rPr>
        <w:tab/>
      </w:r>
      <w:r>
        <w:rPr>
          <w:rFonts w:ascii="Arial" w:cs="Arial" w:eastAsia="Arial" w:hAnsi="Arial"/>
          <w:sz w:val="17"/>
          <w:szCs w:val="17"/>
          <w:b w:val="1"/>
          <w:bCs w:val="1"/>
          <w:color w:val="003551"/>
        </w:rPr>
        <w:t>Name of proxy not completed</w:t>
      </w:r>
    </w:p>
    <w:p>
      <w:pPr>
        <w:spacing w:after="0" w:line="108" w:lineRule="exact"/>
        <w:rPr>
          <w:sz w:val="20"/>
          <w:szCs w:val="20"/>
          <w:color w:val="auto"/>
        </w:rPr>
      </w:pPr>
    </w:p>
    <w:p>
      <w:pPr>
        <w:ind w:left="1640" w:right="519"/>
        <w:spacing w:after="0" w:line="283" w:lineRule="auto"/>
        <w:rPr>
          <w:sz w:val="20"/>
          <w:szCs w:val="20"/>
          <w:color w:val="auto"/>
        </w:rPr>
      </w:pPr>
      <w:r>
        <w:rPr>
          <w:rFonts w:ascii="Arial" w:cs="Arial" w:eastAsia="Arial" w:hAnsi="Arial"/>
          <w:sz w:val="17"/>
          <w:szCs w:val="17"/>
          <w:color w:val="003551"/>
        </w:rPr>
        <w:t>If the name or office of the proxy in a proxy appointment has not been completed then the proxy appointed under that appointment is:</w:t>
      </w:r>
    </w:p>
    <w:p>
      <w:pPr>
        <w:spacing w:after="0" w:line="37" w:lineRule="exact"/>
        <w:rPr>
          <w:sz w:val="20"/>
          <w:szCs w:val="20"/>
          <w:color w:val="auto"/>
        </w:rPr>
      </w:pPr>
    </w:p>
    <w:p>
      <w:pPr>
        <w:ind w:left="2320" w:right="419" w:hanging="335"/>
        <w:spacing w:after="0" w:line="262" w:lineRule="auto"/>
        <w:tabs>
          <w:tab w:leader="none" w:pos="2320" w:val="left"/>
        </w:tabs>
        <w:numPr>
          <w:ilvl w:val="0"/>
          <w:numId w:val="135"/>
        </w:numPr>
        <w:rPr>
          <w:rFonts w:ascii="Arial" w:cs="Arial" w:eastAsia="Arial" w:hAnsi="Arial"/>
          <w:sz w:val="17"/>
          <w:szCs w:val="17"/>
          <w:color w:val="003551"/>
        </w:rPr>
      </w:pPr>
      <w:r>
        <w:rPr>
          <w:rFonts w:ascii="Arial" w:cs="Arial" w:eastAsia="Arial" w:hAnsi="Arial"/>
          <w:sz w:val="17"/>
          <w:szCs w:val="17"/>
          <w:color w:val="003551"/>
        </w:rPr>
        <w:t>in the case of a proxy appointment in a form made available to members by or on behalf of the company, the person specified in that form of proxy appointment as the proxy to be appointed if the member does not nominate a proxy, if any; or</w:t>
      </w:r>
    </w:p>
    <w:p>
      <w:pPr>
        <w:spacing w:after="0" w:line="54" w:lineRule="exact"/>
        <w:rPr>
          <w:rFonts w:ascii="Arial" w:cs="Arial" w:eastAsia="Arial" w:hAnsi="Arial"/>
          <w:sz w:val="17"/>
          <w:szCs w:val="17"/>
          <w:color w:val="003551"/>
        </w:rPr>
      </w:pPr>
    </w:p>
    <w:p>
      <w:pPr>
        <w:ind w:left="2320" w:hanging="335"/>
        <w:spacing w:after="0"/>
        <w:tabs>
          <w:tab w:leader="none" w:pos="2320" w:val="left"/>
        </w:tabs>
        <w:numPr>
          <w:ilvl w:val="0"/>
          <w:numId w:val="135"/>
        </w:numPr>
        <w:rPr>
          <w:rFonts w:ascii="Arial" w:cs="Arial" w:eastAsia="Arial" w:hAnsi="Arial"/>
          <w:sz w:val="17"/>
          <w:szCs w:val="17"/>
          <w:color w:val="003551"/>
        </w:rPr>
      </w:pPr>
      <w:r>
        <w:rPr>
          <w:rFonts w:ascii="Arial" w:cs="Arial" w:eastAsia="Arial" w:hAnsi="Arial"/>
          <w:sz w:val="17"/>
          <w:szCs w:val="17"/>
          <w:color w:val="003551"/>
        </w:rPr>
        <w:t>in any other case, the chair of the meeting.</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119380</wp:posOffset>
            </wp:positionV>
            <wp:extent cx="6786880" cy="1651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11.6</w:t>
      </w:r>
      <w:r>
        <w:rPr>
          <w:sz w:val="20"/>
          <w:szCs w:val="20"/>
          <w:color w:val="auto"/>
        </w:rPr>
        <w:tab/>
      </w:r>
      <w:r>
        <w:rPr>
          <w:rFonts w:ascii="Arial" w:cs="Arial" w:eastAsia="Arial" w:hAnsi="Arial"/>
          <w:sz w:val="17"/>
          <w:szCs w:val="17"/>
          <w:b w:val="1"/>
          <w:bCs w:val="1"/>
          <w:color w:val="003551"/>
        </w:rPr>
        <w:t>Time for receipt of proxy appointment</w:t>
      </w:r>
    </w:p>
    <w:p>
      <w:pPr>
        <w:spacing w:after="0" w:line="108" w:lineRule="exact"/>
        <w:rPr>
          <w:sz w:val="20"/>
          <w:szCs w:val="20"/>
          <w:color w:val="auto"/>
        </w:rPr>
      </w:pPr>
    </w:p>
    <w:p>
      <w:pPr>
        <w:ind w:left="1980" w:right="459" w:hanging="344"/>
        <w:spacing w:after="0" w:line="249" w:lineRule="auto"/>
        <w:tabs>
          <w:tab w:leader="none" w:pos="1980" w:val="left"/>
        </w:tabs>
        <w:numPr>
          <w:ilvl w:val="0"/>
          <w:numId w:val="136"/>
        </w:numPr>
        <w:rPr>
          <w:rFonts w:ascii="Arial" w:cs="Arial" w:eastAsia="Arial" w:hAnsi="Arial"/>
          <w:sz w:val="17"/>
          <w:szCs w:val="17"/>
          <w:color w:val="003551"/>
        </w:rPr>
      </w:pPr>
      <w:r>
        <w:rPr>
          <w:rFonts w:ascii="Arial" w:cs="Arial" w:eastAsia="Arial" w:hAnsi="Arial"/>
          <w:sz w:val="17"/>
          <w:szCs w:val="17"/>
          <w:color w:val="003551"/>
        </w:rPr>
        <w:t xml:space="preserve">Subject to rule 11‎.7 </w:t>
      </w:r>
      <w:r>
        <w:rPr>
          <w:rFonts w:ascii="Arial" w:cs="Arial" w:eastAsia="Arial" w:hAnsi="Arial"/>
          <w:sz w:val="17"/>
          <w:szCs w:val="17"/>
          <w:color w:val="FF0000"/>
        </w:rPr>
        <w:t>and</w:t>
      </w:r>
      <w:r>
        <w:rPr>
          <w:rFonts w:ascii="Arial" w:cs="Arial" w:eastAsia="Arial" w:hAnsi="Arial"/>
          <w:sz w:val="17"/>
          <w:szCs w:val="17"/>
          <w:u w:val="single" w:color="auto"/>
          <w:color w:val="0000FF"/>
        </w:rPr>
        <w:t>,</w:t>
      </w:r>
      <w:r>
        <w:rPr>
          <w:rFonts w:ascii="Arial" w:cs="Arial" w:eastAsia="Arial" w:hAnsi="Arial"/>
          <w:sz w:val="17"/>
          <w:szCs w:val="17"/>
          <w:color w:val="003551"/>
        </w:rPr>
        <w:t xml:space="preserve"> </w:t>
      </w:r>
      <w:r>
        <w:rPr>
          <w:rFonts w:ascii="Arial" w:cs="Arial" w:eastAsia="Arial" w:hAnsi="Arial"/>
          <w:sz w:val="17"/>
          <w:szCs w:val="17"/>
          <w:color w:val="000000"/>
        </w:rPr>
        <w:t>the Listing Rules</w:t>
      </w:r>
      <w:r>
        <w:rPr>
          <w:rFonts w:ascii="Arial" w:cs="Arial" w:eastAsia="Arial" w:hAnsi="Arial"/>
          <w:sz w:val="17"/>
          <w:szCs w:val="17"/>
          <w:color w:val="003551"/>
        </w:rPr>
        <w:t xml:space="preserve"> </w:t>
      </w:r>
      <w:r>
        <w:rPr>
          <w:rFonts w:ascii="Arial" w:cs="Arial" w:eastAsia="Arial" w:hAnsi="Arial"/>
          <w:sz w:val="17"/>
          <w:szCs w:val="17"/>
          <w:color w:val="0000FF"/>
        </w:rPr>
        <w:t>and the Securities Laws</w:t>
      </w:r>
      <w:r>
        <w:rPr>
          <w:rFonts w:ascii="Arial" w:cs="Arial" w:eastAsia="Arial" w:hAnsi="Arial"/>
          <w:sz w:val="17"/>
          <w:szCs w:val="17"/>
          <w:color w:val="000000"/>
        </w:rPr>
        <w:t>, for the appointment of a</w:t>
      </w:r>
      <w:r>
        <w:rPr>
          <w:rFonts w:ascii="Arial" w:cs="Arial" w:eastAsia="Arial" w:hAnsi="Arial"/>
          <w:sz w:val="17"/>
          <w:szCs w:val="17"/>
          <w:color w:val="003551"/>
        </w:rPr>
        <w:t xml:space="preserve"> </w:t>
      </w:r>
      <w:r>
        <w:rPr>
          <w:rFonts w:ascii="Arial" w:cs="Arial" w:eastAsia="Arial" w:hAnsi="Arial"/>
          <w:sz w:val="17"/>
          <w:szCs w:val="17"/>
          <w:color w:val="000000"/>
        </w:rPr>
        <w:t>proxy to be effective for a general meeting (or an adjourned or postponed meeting as the case may be), the company must receive the proxy appointment, together with an original or certified copy of any authority under which the appointment was signed, executed or authenticated, at least 48 hours before the time appointed for holding the meeting (or such other period determined by the board).</w:t>
      </w:r>
    </w:p>
    <w:p>
      <w:pPr>
        <w:spacing w:after="0" w:line="66" w:lineRule="exact"/>
        <w:rPr>
          <w:rFonts w:ascii="Arial" w:cs="Arial" w:eastAsia="Arial" w:hAnsi="Arial"/>
          <w:sz w:val="17"/>
          <w:szCs w:val="17"/>
          <w:color w:val="003551"/>
        </w:rPr>
      </w:pPr>
    </w:p>
    <w:p>
      <w:pPr>
        <w:ind w:left="1980" w:right="1039" w:hanging="344"/>
        <w:spacing w:after="0" w:line="283" w:lineRule="auto"/>
        <w:tabs>
          <w:tab w:leader="none" w:pos="1980" w:val="left"/>
        </w:tabs>
        <w:numPr>
          <w:ilvl w:val="0"/>
          <w:numId w:val="136"/>
        </w:numPr>
        <w:rPr>
          <w:rFonts w:ascii="Arial" w:cs="Arial" w:eastAsia="Arial" w:hAnsi="Arial"/>
          <w:sz w:val="17"/>
          <w:szCs w:val="17"/>
          <w:color w:val="003551"/>
        </w:rPr>
      </w:pPr>
      <w:r>
        <w:rPr>
          <w:rFonts w:ascii="Arial" w:cs="Arial" w:eastAsia="Arial" w:hAnsi="Arial"/>
          <w:sz w:val="17"/>
          <w:szCs w:val="17"/>
          <w:color w:val="003551"/>
        </w:rPr>
        <w:t xml:space="preserve">A document referred to in this </w:t>
      </w:r>
      <w:r>
        <w:rPr>
          <w:rFonts w:ascii="Arial" w:cs="Arial" w:eastAsia="Arial" w:hAnsi="Arial"/>
          <w:sz w:val="17"/>
          <w:szCs w:val="17"/>
          <w:u w:val="single" w:color="auto"/>
          <w:color w:val="003551"/>
        </w:rPr>
        <w:t>rule 11.6</w:t>
      </w:r>
      <w:r>
        <w:rPr>
          <w:rFonts w:ascii="Arial" w:cs="Arial" w:eastAsia="Arial" w:hAnsi="Arial"/>
          <w:sz w:val="17"/>
          <w:szCs w:val="17"/>
          <w:color w:val="003551"/>
        </w:rPr>
        <w:t xml:space="preserve"> is taken to be received by the company if it is received at:</w:t>
      </w:r>
    </w:p>
    <w:p>
      <w:pPr>
        <w:spacing w:after="0" w:line="36" w:lineRule="exact"/>
        <w:rPr>
          <w:rFonts w:ascii="Arial" w:cs="Arial" w:eastAsia="Arial" w:hAnsi="Arial"/>
          <w:sz w:val="17"/>
          <w:szCs w:val="17"/>
          <w:color w:val="003551"/>
        </w:rPr>
      </w:pPr>
    </w:p>
    <w:p>
      <w:pPr>
        <w:ind w:left="2320" w:hanging="335"/>
        <w:spacing w:after="0"/>
        <w:tabs>
          <w:tab w:leader="none" w:pos="2320" w:val="left"/>
        </w:tabs>
        <w:numPr>
          <w:ilvl w:val="1"/>
          <w:numId w:val="136"/>
        </w:numPr>
        <w:rPr>
          <w:rFonts w:ascii="Arial" w:cs="Arial" w:eastAsia="Arial" w:hAnsi="Arial"/>
          <w:sz w:val="17"/>
          <w:szCs w:val="17"/>
          <w:color w:val="003551"/>
        </w:rPr>
      </w:pPr>
      <w:r>
        <w:rPr>
          <w:rFonts w:ascii="Arial" w:cs="Arial" w:eastAsia="Arial" w:hAnsi="Arial"/>
          <w:sz w:val="17"/>
          <w:szCs w:val="17"/>
          <w:color w:val="003551"/>
        </w:rPr>
        <w:t>an electronic address specified in the notice of general meeting; or</w:t>
      </w:r>
    </w:p>
    <w:p>
      <w:pPr>
        <w:spacing w:after="0" w:line="105" w:lineRule="exact"/>
        <w:rPr>
          <w:rFonts w:ascii="Arial" w:cs="Arial" w:eastAsia="Arial" w:hAnsi="Arial"/>
          <w:sz w:val="17"/>
          <w:szCs w:val="17"/>
          <w:color w:val="003551"/>
        </w:rPr>
      </w:pPr>
    </w:p>
    <w:p>
      <w:pPr>
        <w:ind w:left="2320" w:right="919" w:hanging="335"/>
        <w:spacing w:after="0" w:line="283" w:lineRule="auto"/>
        <w:tabs>
          <w:tab w:leader="none" w:pos="2320" w:val="left"/>
        </w:tabs>
        <w:numPr>
          <w:ilvl w:val="1"/>
          <w:numId w:val="136"/>
        </w:numPr>
        <w:rPr>
          <w:rFonts w:ascii="Arial" w:cs="Arial" w:eastAsia="Arial" w:hAnsi="Arial"/>
          <w:sz w:val="17"/>
          <w:szCs w:val="17"/>
          <w:color w:val="003551"/>
        </w:rPr>
      </w:pPr>
      <w:r>
        <w:rPr>
          <w:rFonts w:ascii="Arial" w:cs="Arial" w:eastAsia="Arial" w:hAnsi="Arial"/>
          <w:sz w:val="17"/>
          <w:szCs w:val="17"/>
          <w:color w:val="003551"/>
        </w:rPr>
        <w:t>any of the places or by any of the means specified in the Corporations Act, for the receipt of proxy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1778635</wp:posOffset>
            </wp:positionH>
            <wp:positionV relativeFrom="paragraph">
              <wp:posOffset>-1496060</wp:posOffset>
            </wp:positionV>
            <wp:extent cx="42291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422910" cy="8255"/>
                    </a:xfrm>
                    <a:prstGeom prst="rect">
                      <a:avLst/>
                    </a:prstGeom>
                    <a:noFill/>
                  </pic:spPr>
                </pic:pic>
              </a:graphicData>
            </a:graphic>
          </wp:anchor>
        </w:drawing>
        <w:drawing>
          <wp:anchor simplePos="0" relativeHeight="251657728" behindDoc="1" locked="0" layoutInCell="0" allowOverlap="1">
            <wp:simplePos x="0" y="0"/>
            <wp:positionH relativeFrom="column">
              <wp:posOffset>2202180</wp:posOffset>
            </wp:positionH>
            <wp:positionV relativeFrom="paragraph">
              <wp:posOffset>-1545590</wp:posOffset>
            </wp:positionV>
            <wp:extent cx="21590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215900" cy="825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-1478915</wp:posOffset>
            </wp:positionV>
            <wp:extent cx="120586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05865" cy="8255"/>
                    </a:xfrm>
                    <a:prstGeom prst="rect">
                      <a:avLst/>
                    </a:prstGeom>
                    <a:noFill/>
                  </pic:spPr>
                </pic:pic>
              </a:graphicData>
            </a:graphic>
          </wp:anchor>
        </w:drawing>
        <w:drawing>
          <wp:anchor simplePos="0" relativeHeight="251657728" behindDoc="1" locked="0" layoutInCell="0" allowOverlap="1">
            <wp:simplePos x="0" y="0"/>
            <wp:positionH relativeFrom="column">
              <wp:posOffset>3298825</wp:posOffset>
            </wp:positionH>
            <wp:positionV relativeFrom="paragraph">
              <wp:posOffset>-1496060</wp:posOffset>
            </wp:positionV>
            <wp:extent cx="120777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07770" cy="8255"/>
                    </a:xfrm>
                    <a:prstGeom prst="rect">
                      <a:avLst/>
                    </a:prstGeom>
                    <a:noFill/>
                  </pic:spPr>
                </pic:pic>
              </a:graphicData>
            </a:graphic>
          </wp:anchor>
        </w:drawing>
      </w:r>
    </w:p>
    <w:p>
      <w:pPr>
        <w:spacing w:after="0" w:line="15"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11.7</w:t>
      </w:r>
      <w:r>
        <w:rPr>
          <w:sz w:val="20"/>
          <w:szCs w:val="20"/>
          <w:color w:val="auto"/>
        </w:rPr>
        <w:tab/>
      </w:r>
      <w:r>
        <w:rPr>
          <w:rFonts w:ascii="Arial" w:cs="Arial" w:eastAsia="Arial" w:hAnsi="Arial"/>
          <w:sz w:val="17"/>
          <w:szCs w:val="17"/>
          <w:b w:val="1"/>
          <w:bCs w:val="1"/>
          <w:color w:val="003551"/>
        </w:rPr>
        <w:t>Incomplete proxy appointment</w:t>
      </w:r>
    </w:p>
    <w:p>
      <w:pPr>
        <w:spacing w:after="0" w:line="108" w:lineRule="exact"/>
        <w:rPr>
          <w:sz w:val="20"/>
          <w:szCs w:val="20"/>
          <w:color w:val="auto"/>
        </w:rPr>
      </w:pPr>
    </w:p>
    <w:p>
      <w:pPr>
        <w:ind w:left="1640" w:right="399"/>
        <w:spacing w:after="0" w:line="251" w:lineRule="auto"/>
        <w:rPr>
          <w:sz w:val="20"/>
          <w:szCs w:val="20"/>
          <w:color w:val="auto"/>
        </w:rPr>
      </w:pPr>
      <w:r>
        <w:rPr>
          <w:rFonts w:ascii="Arial" w:cs="Arial" w:eastAsia="Arial" w:hAnsi="Arial"/>
          <w:sz w:val="17"/>
          <w:szCs w:val="17"/>
          <w:color w:val="003551"/>
        </w:rPr>
        <w:t xml:space="preserve">If a proxy appointment has been received by the company within the period specified in </w:t>
      </w:r>
      <w:r>
        <w:rPr>
          <w:rFonts w:ascii="Arial" w:cs="Arial" w:eastAsia="Arial" w:hAnsi="Arial"/>
          <w:sz w:val="17"/>
          <w:szCs w:val="17"/>
          <w:u w:val="single" w:color="auto"/>
          <w:color w:val="003551"/>
        </w:rPr>
        <w:t>rule 11.6</w:t>
      </w:r>
      <w:r>
        <w:rPr>
          <w:rFonts w:ascii="Arial" w:cs="Arial" w:eastAsia="Arial" w:hAnsi="Arial"/>
          <w:sz w:val="17"/>
          <w:szCs w:val="17"/>
          <w:color w:val="003551"/>
        </w:rPr>
        <w:t xml:space="preserve"> and the board considers that the proxy appointment has not been properly signed, executed or authenticated or is otherwise incomplete (other than by reason only that the name or office of the proxy has not been completed), the board, in its discretion, may direct that the proxy appointment be returned to the member appointing the proxy and may request that the member:</w:t>
      </w:r>
    </w:p>
    <w:p>
      <w:pPr>
        <w:spacing w:after="0" w:line="65" w:lineRule="exact"/>
        <w:rPr>
          <w:sz w:val="20"/>
          <w:szCs w:val="20"/>
          <w:color w:val="auto"/>
        </w:rPr>
      </w:pPr>
    </w:p>
    <w:p>
      <w:pPr>
        <w:ind w:left="2320" w:right="739" w:hanging="335"/>
        <w:spacing w:after="0" w:line="283" w:lineRule="auto"/>
        <w:tabs>
          <w:tab w:leader="none" w:pos="2320" w:val="left"/>
        </w:tabs>
        <w:numPr>
          <w:ilvl w:val="0"/>
          <w:numId w:val="137"/>
        </w:numPr>
        <w:rPr>
          <w:rFonts w:ascii="Arial" w:cs="Arial" w:eastAsia="Arial" w:hAnsi="Arial"/>
          <w:sz w:val="17"/>
          <w:szCs w:val="17"/>
          <w:color w:val="003551"/>
        </w:rPr>
      </w:pPr>
      <w:r>
        <w:rPr>
          <w:rFonts w:ascii="Arial" w:cs="Arial" w:eastAsia="Arial" w:hAnsi="Arial"/>
          <w:sz w:val="17"/>
          <w:szCs w:val="17"/>
          <w:color w:val="003551"/>
        </w:rPr>
        <w:t>take such steps as the board requires to complete, sign, execute or authenticate the proxy appointment; and</w:t>
      </w:r>
    </w:p>
    <w:p>
      <w:pPr>
        <w:spacing w:after="0" w:line="36" w:lineRule="exact"/>
        <w:rPr>
          <w:rFonts w:ascii="Arial" w:cs="Arial" w:eastAsia="Arial" w:hAnsi="Arial"/>
          <w:sz w:val="17"/>
          <w:szCs w:val="17"/>
          <w:color w:val="003551"/>
        </w:rPr>
      </w:pPr>
    </w:p>
    <w:p>
      <w:pPr>
        <w:jc w:val="both"/>
        <w:ind w:left="2320" w:right="979" w:hanging="335"/>
        <w:spacing w:after="0" w:line="262" w:lineRule="auto"/>
        <w:tabs>
          <w:tab w:leader="none" w:pos="2320" w:val="left"/>
        </w:tabs>
        <w:numPr>
          <w:ilvl w:val="0"/>
          <w:numId w:val="137"/>
        </w:numPr>
        <w:rPr>
          <w:rFonts w:ascii="Arial" w:cs="Arial" w:eastAsia="Arial" w:hAnsi="Arial"/>
          <w:sz w:val="17"/>
          <w:szCs w:val="17"/>
          <w:color w:val="003551"/>
        </w:rPr>
      </w:pPr>
      <w:r>
        <w:rPr>
          <w:rFonts w:ascii="Arial" w:cs="Arial" w:eastAsia="Arial" w:hAnsi="Arial"/>
          <w:sz w:val="17"/>
          <w:szCs w:val="17"/>
          <w:color w:val="003551"/>
        </w:rPr>
        <w:t xml:space="preserve">return the proxy appointment as completed, signed, executed or authenticated in accordance with </w:t>
      </w:r>
      <w:r>
        <w:rPr>
          <w:rFonts w:ascii="Arial" w:cs="Arial" w:eastAsia="Arial" w:hAnsi="Arial"/>
          <w:sz w:val="17"/>
          <w:szCs w:val="17"/>
          <w:u w:val="single" w:color="auto"/>
          <w:color w:val="003551"/>
        </w:rPr>
        <w:t>rule 11.7(a)</w:t>
      </w:r>
      <w:r>
        <w:rPr>
          <w:rFonts w:ascii="Arial" w:cs="Arial" w:eastAsia="Arial" w:hAnsi="Arial"/>
          <w:sz w:val="17"/>
          <w:szCs w:val="17"/>
          <w:color w:val="003551"/>
        </w:rPr>
        <w:t xml:space="preserve"> to the company within the time period notified to the member.</w:t>
      </w:r>
    </w:p>
    <w:p>
      <w:pPr>
        <w:spacing w:after="0" w:line="54" w:lineRule="exact"/>
        <w:rPr>
          <w:sz w:val="20"/>
          <w:szCs w:val="20"/>
          <w:color w:val="auto"/>
        </w:rPr>
      </w:pPr>
    </w:p>
    <w:p>
      <w:pPr>
        <w:ind w:left="1640" w:right="1119"/>
        <w:spacing w:after="0" w:line="283" w:lineRule="auto"/>
        <w:rPr>
          <w:sz w:val="20"/>
          <w:szCs w:val="20"/>
          <w:color w:val="auto"/>
        </w:rPr>
      </w:pPr>
      <w:r>
        <w:rPr>
          <w:rFonts w:ascii="Arial" w:cs="Arial" w:eastAsia="Arial" w:hAnsi="Arial"/>
          <w:sz w:val="17"/>
          <w:szCs w:val="17"/>
          <w:color w:val="003551"/>
        </w:rPr>
        <w:t xml:space="preserve">Without limiting any discretion of the chair, a proxy appointment which is received by the company in accordance with </w:t>
      </w:r>
      <w:r>
        <w:rPr>
          <w:rFonts w:ascii="Arial" w:cs="Arial" w:eastAsia="Arial" w:hAnsi="Arial"/>
          <w:sz w:val="17"/>
          <w:szCs w:val="17"/>
          <w:u w:val="single" w:color="auto"/>
          <w:color w:val="003551"/>
        </w:rPr>
        <w:t>rule 11.7(b)</w:t>
      </w:r>
      <w:r>
        <w:rPr>
          <w:rFonts w:ascii="Arial" w:cs="Arial" w:eastAsia="Arial" w:hAnsi="Arial"/>
          <w:sz w:val="17"/>
          <w:szCs w:val="17"/>
          <w:color w:val="003551"/>
        </w:rPr>
        <w:t xml:space="preserve"> is effective.</w:t>
      </w:r>
    </w:p>
    <w:p>
      <w:pPr>
        <w:spacing w:after="0" w:line="35"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11.8</w:t>
      </w:r>
      <w:r>
        <w:rPr>
          <w:sz w:val="20"/>
          <w:szCs w:val="20"/>
          <w:color w:val="auto"/>
        </w:rPr>
        <w:tab/>
      </w:r>
      <w:r>
        <w:rPr>
          <w:rFonts w:ascii="Arial" w:cs="Arial" w:eastAsia="Arial" w:hAnsi="Arial"/>
          <w:sz w:val="17"/>
          <w:szCs w:val="17"/>
          <w:b w:val="1"/>
          <w:bCs w:val="1"/>
          <w:color w:val="003551"/>
        </w:rPr>
        <w:t>Attorneys</w:t>
      </w:r>
    </w:p>
    <w:p>
      <w:pPr>
        <w:spacing w:after="0" w:line="108" w:lineRule="exact"/>
        <w:rPr>
          <w:sz w:val="20"/>
          <w:szCs w:val="20"/>
          <w:color w:val="auto"/>
        </w:rPr>
      </w:pPr>
    </w:p>
    <w:p>
      <w:pPr>
        <w:ind w:left="1980" w:right="419" w:hanging="344"/>
        <w:spacing w:after="0" w:line="249" w:lineRule="auto"/>
        <w:tabs>
          <w:tab w:leader="none" w:pos="1980" w:val="left"/>
        </w:tabs>
        <w:numPr>
          <w:ilvl w:val="0"/>
          <w:numId w:val="138"/>
        </w:numPr>
        <w:rPr>
          <w:rFonts w:ascii="Arial" w:cs="Arial" w:eastAsia="Arial" w:hAnsi="Arial"/>
          <w:sz w:val="17"/>
          <w:szCs w:val="17"/>
          <w:color w:val="003551"/>
        </w:rPr>
      </w:pPr>
      <w:r>
        <w:rPr>
          <w:rFonts w:ascii="Arial" w:cs="Arial" w:eastAsia="Arial" w:hAnsi="Arial"/>
          <w:sz w:val="17"/>
          <w:szCs w:val="17"/>
          <w:color w:val="003551"/>
        </w:rPr>
        <w:t>Unless otherwise determined by the board, an attorney may not attend a general meeting (or an adjourned or postponed meeting as the case may be) or exercise any of the rights of the appointing member unless the company receives the copy of the power of attorney or operative provisions of any contract which grant the power of attorney, together with any authority requested by the board under which the power of attorney was signed or executed, at least 48 hours before the time appointed for holding the meeting.</w:t>
      </w:r>
    </w:p>
    <w:p>
      <w:pPr>
        <w:spacing w:after="0" w:line="66" w:lineRule="exact"/>
        <w:rPr>
          <w:rFonts w:ascii="Arial" w:cs="Arial" w:eastAsia="Arial" w:hAnsi="Arial"/>
          <w:sz w:val="17"/>
          <w:szCs w:val="17"/>
          <w:color w:val="003551"/>
        </w:rPr>
      </w:pPr>
    </w:p>
    <w:p>
      <w:pPr>
        <w:ind w:left="1980" w:right="719" w:hanging="344"/>
        <w:spacing w:after="0" w:line="262" w:lineRule="auto"/>
        <w:tabs>
          <w:tab w:leader="none" w:pos="1980" w:val="left"/>
        </w:tabs>
        <w:numPr>
          <w:ilvl w:val="0"/>
          <w:numId w:val="138"/>
        </w:numPr>
        <w:rPr>
          <w:rFonts w:ascii="Arial" w:cs="Arial" w:eastAsia="Arial" w:hAnsi="Arial"/>
          <w:sz w:val="17"/>
          <w:szCs w:val="17"/>
          <w:color w:val="003551"/>
        </w:rPr>
      </w:pPr>
      <w:r>
        <w:rPr>
          <w:rFonts w:ascii="Arial" w:cs="Arial" w:eastAsia="Arial" w:hAnsi="Arial"/>
          <w:sz w:val="17"/>
          <w:szCs w:val="17"/>
          <w:color w:val="003551"/>
        </w:rPr>
        <w:t xml:space="preserve">A document referred to in this </w:t>
      </w:r>
      <w:r>
        <w:rPr>
          <w:rFonts w:ascii="Arial" w:cs="Arial" w:eastAsia="Arial" w:hAnsi="Arial"/>
          <w:sz w:val="17"/>
          <w:szCs w:val="17"/>
          <w:u w:val="single" w:color="auto"/>
          <w:color w:val="003551"/>
        </w:rPr>
        <w:t>rule 11.8</w:t>
      </w:r>
      <w:r>
        <w:rPr>
          <w:rFonts w:ascii="Arial" w:cs="Arial" w:eastAsia="Arial" w:hAnsi="Arial"/>
          <w:sz w:val="17"/>
          <w:szCs w:val="17"/>
          <w:color w:val="003551"/>
        </w:rPr>
        <w:t xml:space="preserve"> is taken to be received by the company if it is received by any of the means specified in this constitution or the Corporations Act for the receipt of proxy documents.</w:t>
      </w:r>
    </w:p>
    <w:p>
      <w:pPr>
        <w:spacing w:after="0" w:line="15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119380</wp:posOffset>
            </wp:positionV>
            <wp:extent cx="6786880" cy="1651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11.9</w:t>
      </w:r>
      <w:r>
        <w:rPr>
          <w:sz w:val="20"/>
          <w:szCs w:val="20"/>
          <w:color w:val="auto"/>
        </w:rPr>
        <w:tab/>
      </w:r>
      <w:r>
        <w:rPr>
          <w:rFonts w:ascii="Arial" w:cs="Arial" w:eastAsia="Arial" w:hAnsi="Arial"/>
          <w:sz w:val="17"/>
          <w:szCs w:val="17"/>
          <w:b w:val="1"/>
          <w:bCs w:val="1"/>
          <w:color w:val="003551"/>
        </w:rPr>
        <w:t>Rights of corporate representatives, proxies and attorneys</w:t>
      </w:r>
    </w:p>
    <w:p>
      <w:pPr>
        <w:spacing w:after="0" w:line="108" w:lineRule="exact"/>
        <w:rPr>
          <w:sz w:val="20"/>
          <w:szCs w:val="20"/>
          <w:color w:val="auto"/>
        </w:rPr>
      </w:pPr>
    </w:p>
    <w:p>
      <w:pPr>
        <w:ind w:left="1640" w:right="659"/>
        <w:spacing w:after="0" w:line="283" w:lineRule="auto"/>
        <w:rPr>
          <w:sz w:val="20"/>
          <w:szCs w:val="20"/>
          <w:color w:val="auto"/>
        </w:rPr>
      </w:pPr>
      <w:r>
        <w:rPr>
          <w:rFonts w:ascii="Arial" w:cs="Arial" w:eastAsia="Arial" w:hAnsi="Arial"/>
          <w:sz w:val="17"/>
          <w:szCs w:val="17"/>
          <w:color w:val="003551"/>
        </w:rPr>
        <w:t xml:space="preserve">Subject to </w:t>
      </w:r>
      <w:r>
        <w:rPr>
          <w:rFonts w:ascii="Arial" w:cs="Arial" w:eastAsia="Arial" w:hAnsi="Arial"/>
          <w:sz w:val="17"/>
          <w:szCs w:val="17"/>
          <w:u w:val="single" w:color="auto"/>
          <w:color w:val="003551"/>
        </w:rPr>
        <w:t>rules 11.10</w:t>
      </w:r>
      <w:r>
        <w:rPr>
          <w:rFonts w:ascii="Arial" w:cs="Arial" w:eastAsia="Arial" w:hAnsi="Arial"/>
          <w:sz w:val="17"/>
          <w:szCs w:val="17"/>
          <w:color w:val="003551"/>
        </w:rPr>
        <w:t xml:space="preserve"> to 11.14, unless the terms of appointment of a corporate representative, proxy or attorney provide otherwise, the corporate representative, proxy or attorney:</w:t>
      </w:r>
    </w:p>
    <w:p>
      <w:pPr>
        <w:spacing w:after="0" w:line="37" w:lineRule="exact"/>
        <w:rPr>
          <w:sz w:val="20"/>
          <w:szCs w:val="20"/>
          <w:color w:val="auto"/>
        </w:rPr>
      </w:pPr>
    </w:p>
    <w:p>
      <w:pPr>
        <w:jc w:val="both"/>
        <w:ind w:left="2320" w:right="399" w:hanging="335"/>
        <w:spacing w:after="0" w:line="283" w:lineRule="auto"/>
        <w:tabs>
          <w:tab w:leader="none" w:pos="2320" w:val="left"/>
        </w:tabs>
        <w:numPr>
          <w:ilvl w:val="0"/>
          <w:numId w:val="139"/>
        </w:numPr>
        <w:rPr>
          <w:rFonts w:ascii="Arial" w:cs="Arial" w:eastAsia="Arial" w:hAnsi="Arial"/>
          <w:sz w:val="17"/>
          <w:szCs w:val="17"/>
          <w:color w:val="003551"/>
        </w:rPr>
      </w:pPr>
      <w:r>
        <w:rPr>
          <w:rFonts w:ascii="Arial" w:cs="Arial" w:eastAsia="Arial" w:hAnsi="Arial"/>
          <w:sz w:val="17"/>
          <w:szCs w:val="17"/>
          <w:color w:val="003551"/>
        </w:rPr>
        <w:t>has the same rights to speak, demand a poll, join in demanding a poll or act generally at the meeting as the appointing member would have had if the member had been present;</w:t>
      </w:r>
    </w:p>
    <w:p>
      <w:pPr>
        <w:spacing w:after="0" w:line="36" w:lineRule="exact"/>
        <w:rPr>
          <w:rFonts w:ascii="Arial" w:cs="Arial" w:eastAsia="Arial" w:hAnsi="Arial"/>
          <w:sz w:val="17"/>
          <w:szCs w:val="17"/>
          <w:color w:val="003551"/>
        </w:rPr>
      </w:pPr>
    </w:p>
    <w:p>
      <w:pPr>
        <w:ind w:left="2320" w:right="539" w:hanging="335"/>
        <w:spacing w:after="0" w:line="255" w:lineRule="auto"/>
        <w:tabs>
          <w:tab w:leader="none" w:pos="2320" w:val="left"/>
        </w:tabs>
        <w:numPr>
          <w:ilvl w:val="0"/>
          <w:numId w:val="139"/>
        </w:numPr>
        <w:rPr>
          <w:rFonts w:ascii="Arial" w:cs="Arial" w:eastAsia="Arial" w:hAnsi="Arial"/>
          <w:sz w:val="17"/>
          <w:szCs w:val="17"/>
          <w:color w:val="003551"/>
        </w:rPr>
      </w:pPr>
      <w:r>
        <w:rPr>
          <w:rFonts w:ascii="Arial" w:cs="Arial" w:eastAsia="Arial" w:hAnsi="Arial"/>
          <w:sz w:val="17"/>
          <w:szCs w:val="17"/>
          <w:color w:val="003551"/>
        </w:rPr>
        <w:t>is taken to have the authority to vote on any amendment moved to the proposed resolutions, any motion that the proposed resolutions not be put or any similar motion and any procedural resolution, including any resolution for the election of a chair or the adjournment of a general meeting; and</w:t>
      </w:r>
    </w:p>
    <w:p>
      <w:pPr>
        <w:spacing w:after="0" w:line="59" w:lineRule="exact"/>
        <w:rPr>
          <w:rFonts w:ascii="Arial" w:cs="Arial" w:eastAsia="Arial" w:hAnsi="Arial"/>
          <w:sz w:val="17"/>
          <w:szCs w:val="17"/>
          <w:color w:val="003551"/>
        </w:rPr>
      </w:pPr>
    </w:p>
    <w:p>
      <w:pPr>
        <w:ind w:left="2320" w:right="599" w:hanging="335"/>
        <w:spacing w:after="0" w:line="262" w:lineRule="auto"/>
        <w:tabs>
          <w:tab w:leader="none" w:pos="2320" w:val="left"/>
        </w:tabs>
        <w:numPr>
          <w:ilvl w:val="0"/>
          <w:numId w:val="139"/>
        </w:numPr>
        <w:rPr>
          <w:rFonts w:ascii="Arial" w:cs="Arial" w:eastAsia="Arial" w:hAnsi="Arial"/>
          <w:sz w:val="17"/>
          <w:szCs w:val="17"/>
          <w:color w:val="003551"/>
        </w:rPr>
      </w:pPr>
      <w:r>
        <w:rPr>
          <w:rFonts w:ascii="Arial" w:cs="Arial" w:eastAsia="Arial" w:hAnsi="Arial"/>
          <w:sz w:val="17"/>
          <w:szCs w:val="17"/>
          <w:color w:val="003551"/>
        </w:rPr>
        <w:t>may attend and vote at any postponed or adjourned meeting unless the appointing member gives the company notice in writing to the contrary not less than 48 hours before the time to which the holding of the meeting has been postponed or adjourned.</w:t>
      </w:r>
    </w:p>
    <w:p>
      <w:pPr>
        <w:spacing w:after="0" w:line="54" w:lineRule="exact"/>
        <w:rPr>
          <w:sz w:val="20"/>
          <w:szCs w:val="20"/>
          <w:color w:val="auto"/>
        </w:rPr>
      </w:pPr>
    </w:p>
    <w:p>
      <w:pPr>
        <w:ind w:left="1640" w:right="699"/>
        <w:spacing w:after="0" w:line="283" w:lineRule="auto"/>
        <w:rPr>
          <w:sz w:val="20"/>
          <w:szCs w:val="20"/>
          <w:color w:val="auto"/>
        </w:rPr>
      </w:pPr>
      <w:r>
        <w:rPr>
          <w:rFonts w:ascii="Arial" w:cs="Arial" w:eastAsia="Arial" w:hAnsi="Arial"/>
          <w:sz w:val="17"/>
          <w:szCs w:val="17"/>
          <w:color w:val="003551"/>
        </w:rPr>
        <w:t xml:space="preserve">This </w:t>
      </w:r>
      <w:r>
        <w:rPr>
          <w:rFonts w:ascii="Arial" w:cs="Arial" w:eastAsia="Arial" w:hAnsi="Arial"/>
          <w:sz w:val="17"/>
          <w:szCs w:val="17"/>
          <w:u w:val="single" w:color="auto"/>
          <w:color w:val="003551"/>
        </w:rPr>
        <w:t>rule 11.9</w:t>
      </w:r>
      <w:r>
        <w:rPr>
          <w:rFonts w:ascii="Arial" w:cs="Arial" w:eastAsia="Arial" w:hAnsi="Arial"/>
          <w:sz w:val="17"/>
          <w:szCs w:val="17"/>
          <w:color w:val="003551"/>
        </w:rPr>
        <w:t xml:space="preserve"> applies even if the terms of appointment of a corporate representative, proxy or attorney refers to specific resolutions or to a specific meeting to be held at a specific time.</w:t>
      </w:r>
    </w:p>
    <w:p>
      <w:pPr>
        <w:spacing w:after="0" w:line="35"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11.10</w:t>
        <w:tab/>
        <w:t>Validity of votes cast by proxy or attorney</w:t>
      </w:r>
    </w:p>
    <w:p>
      <w:pPr>
        <w:spacing w:after="0" w:line="108" w:lineRule="exact"/>
        <w:rPr>
          <w:sz w:val="20"/>
          <w:szCs w:val="20"/>
          <w:color w:val="auto"/>
        </w:rPr>
      </w:pPr>
    </w:p>
    <w:p>
      <w:pPr>
        <w:ind w:left="1640" w:right="699"/>
        <w:spacing w:after="0" w:line="283" w:lineRule="auto"/>
        <w:rPr>
          <w:sz w:val="20"/>
          <w:szCs w:val="20"/>
          <w:color w:val="auto"/>
        </w:rPr>
      </w:pPr>
      <w:r>
        <w:rPr>
          <w:rFonts w:ascii="Arial" w:cs="Arial" w:eastAsia="Arial" w:hAnsi="Arial"/>
          <w:sz w:val="17"/>
          <w:szCs w:val="17"/>
          <w:color w:val="003551"/>
        </w:rPr>
        <w:t>Subject to the Corporations Act, the Listing Rules</w:t>
      </w:r>
      <w:r>
        <w:rPr>
          <w:rFonts w:ascii="Arial" w:cs="Arial" w:eastAsia="Arial" w:hAnsi="Arial"/>
          <w:sz w:val="17"/>
          <w:szCs w:val="17"/>
          <w:u w:val="single" w:color="auto"/>
          <w:color w:val="0000FF"/>
        </w:rPr>
        <w:t>, the Securities Laws</w:t>
      </w:r>
      <w:r>
        <w:rPr>
          <w:rFonts w:ascii="Arial" w:cs="Arial" w:eastAsia="Arial" w:hAnsi="Arial"/>
          <w:sz w:val="17"/>
          <w:szCs w:val="17"/>
          <w:color w:val="003551"/>
        </w:rPr>
        <w:t xml:space="preserve"> </w:t>
      </w:r>
      <w:r>
        <w:rPr>
          <w:rFonts w:ascii="Arial" w:cs="Arial" w:eastAsia="Arial" w:hAnsi="Arial"/>
          <w:sz w:val="17"/>
          <w:szCs w:val="17"/>
          <w:color w:val="000000"/>
        </w:rPr>
        <w:t>and this constitution, a</w:t>
      </w:r>
      <w:r>
        <w:rPr>
          <w:rFonts w:ascii="Arial" w:cs="Arial" w:eastAsia="Arial" w:hAnsi="Arial"/>
          <w:sz w:val="17"/>
          <w:szCs w:val="17"/>
          <w:color w:val="003551"/>
        </w:rPr>
        <w:t xml:space="preserve"> </w:t>
      </w:r>
      <w:r>
        <w:rPr>
          <w:rFonts w:ascii="Arial" w:cs="Arial" w:eastAsia="Arial" w:hAnsi="Arial"/>
          <w:sz w:val="17"/>
          <w:szCs w:val="17"/>
          <w:color w:val="000000"/>
        </w:rPr>
        <w:t>vote cast by a person as proxy or attorney at a general meeting is valid:</w:t>
      </w:r>
    </w:p>
    <w:p>
      <w:pPr>
        <w:spacing w:after="0" w:line="37" w:lineRule="exact"/>
        <w:rPr>
          <w:sz w:val="20"/>
          <w:szCs w:val="20"/>
          <w:color w:val="auto"/>
        </w:rPr>
      </w:pPr>
    </w:p>
    <w:p>
      <w:pPr>
        <w:ind w:left="2320" w:right="399" w:hanging="335"/>
        <w:spacing w:after="0" w:line="283" w:lineRule="auto"/>
        <w:tabs>
          <w:tab w:leader="none" w:pos="2320" w:val="left"/>
        </w:tabs>
        <w:numPr>
          <w:ilvl w:val="0"/>
          <w:numId w:val="140"/>
        </w:numPr>
        <w:rPr>
          <w:rFonts w:ascii="Arial" w:cs="Arial" w:eastAsia="Arial" w:hAnsi="Arial"/>
          <w:sz w:val="17"/>
          <w:szCs w:val="17"/>
          <w:color w:val="003551"/>
        </w:rPr>
      </w:pPr>
      <w:r>
        <w:rPr>
          <w:rFonts w:ascii="Arial" w:cs="Arial" w:eastAsia="Arial" w:hAnsi="Arial"/>
          <w:sz w:val="17"/>
          <w:szCs w:val="17"/>
          <w:color w:val="003551"/>
        </w:rPr>
        <w:t>despite the transfer of the shares in respect of which the proxy or attorney is appointed if the transfer is not registered or given effect to before the Record Time for that meeting;</w:t>
      </w:r>
    </w:p>
    <w:p>
      <w:pPr>
        <w:spacing w:after="0" w:line="36" w:lineRule="exact"/>
        <w:rPr>
          <w:rFonts w:ascii="Arial" w:cs="Arial" w:eastAsia="Arial" w:hAnsi="Arial"/>
          <w:sz w:val="17"/>
          <w:szCs w:val="17"/>
          <w:color w:val="003551"/>
        </w:rPr>
      </w:pPr>
    </w:p>
    <w:p>
      <w:pPr>
        <w:ind w:left="2320" w:right="399" w:hanging="335"/>
        <w:spacing w:after="0" w:line="257" w:lineRule="auto"/>
        <w:tabs>
          <w:tab w:leader="none" w:pos="2320" w:val="left"/>
        </w:tabs>
        <w:numPr>
          <w:ilvl w:val="0"/>
          <w:numId w:val="140"/>
        </w:numPr>
        <w:rPr>
          <w:rFonts w:ascii="Arial" w:cs="Arial" w:eastAsia="Arial" w:hAnsi="Arial"/>
          <w:sz w:val="17"/>
          <w:szCs w:val="17"/>
          <w:color w:val="003551"/>
        </w:rPr>
      </w:pPr>
      <w:r>
        <w:rPr>
          <w:rFonts w:ascii="Arial" w:cs="Arial" w:eastAsia="Arial" w:hAnsi="Arial"/>
          <w:sz w:val="17"/>
          <w:szCs w:val="17"/>
          <w:color w:val="003551"/>
        </w:rPr>
        <w:t xml:space="preserve">despite the occurrence of a Transmission Event in respect of the member that appointed the proxy or attorney unless the board has determined in accordance with </w:t>
      </w:r>
      <w:r>
        <w:rPr>
          <w:rFonts w:ascii="Arial" w:cs="Arial" w:eastAsia="Arial" w:hAnsi="Arial"/>
          <w:sz w:val="17"/>
          <w:szCs w:val="17"/>
          <w:u w:val="single" w:color="auto"/>
          <w:color w:val="003551"/>
        </w:rPr>
        <w:t>rule 10.12</w:t>
      </w:r>
      <w:r>
        <w:rPr>
          <w:rFonts w:ascii="Arial" w:cs="Arial" w:eastAsia="Arial" w:hAnsi="Arial"/>
          <w:sz w:val="17"/>
          <w:szCs w:val="17"/>
          <w:color w:val="003551"/>
        </w:rPr>
        <w:t xml:space="preserve"> that a person other than the member appointing the proxy or attorney is entitled to the share; and</w:t>
      </w:r>
    </w:p>
    <w:p>
      <w:pPr>
        <w:spacing w:after="0" w:line="262" w:lineRule="exact"/>
        <w:rPr>
          <w:rFonts w:ascii="Arial" w:cs="Arial" w:eastAsia="Arial" w:hAnsi="Arial"/>
          <w:sz w:val="17"/>
          <w:szCs w:val="17"/>
          <w:color w:val="003551"/>
        </w:rPr>
      </w:pPr>
    </w:p>
    <w:p>
      <w:pPr>
        <w:ind w:left="2320" w:right="459" w:hanging="335"/>
        <w:spacing w:after="0" w:line="262" w:lineRule="auto"/>
        <w:tabs>
          <w:tab w:leader="none" w:pos="2320" w:val="left"/>
        </w:tabs>
        <w:numPr>
          <w:ilvl w:val="0"/>
          <w:numId w:val="140"/>
        </w:numPr>
        <w:rPr>
          <w:rFonts w:ascii="Arial" w:cs="Arial" w:eastAsia="Arial" w:hAnsi="Arial"/>
          <w:sz w:val="17"/>
          <w:szCs w:val="17"/>
          <w:color w:val="003551"/>
        </w:rPr>
      </w:pPr>
      <w:r>
        <w:rPr>
          <w:rFonts w:ascii="Arial" w:cs="Arial" w:eastAsia="Arial" w:hAnsi="Arial"/>
          <w:sz w:val="17"/>
          <w:szCs w:val="17"/>
          <w:color w:val="003551"/>
        </w:rPr>
        <w:t>despite the revocation of the appointment of the proxy or attorney or the authority under which a third party appointed the proxy or attorney, unless the board determines otherwise.</w:t>
      </w:r>
    </w:p>
    <w:p>
      <w:pPr>
        <w:spacing w:after="0" w:line="52"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11.11</w:t>
        <w:tab/>
        <w:t>No right to speak or vote if appointing member present</w:t>
      </w:r>
    </w:p>
    <w:p>
      <w:pPr>
        <w:spacing w:after="0" w:line="108" w:lineRule="exact"/>
        <w:rPr>
          <w:sz w:val="20"/>
          <w:szCs w:val="20"/>
          <w:color w:val="auto"/>
        </w:rPr>
      </w:pPr>
    </w:p>
    <w:p>
      <w:pPr>
        <w:ind w:left="1640" w:right="399"/>
        <w:spacing w:after="0" w:line="255" w:lineRule="auto"/>
        <w:rPr>
          <w:sz w:val="20"/>
          <w:szCs w:val="20"/>
          <w:color w:val="auto"/>
        </w:rPr>
      </w:pPr>
      <w:r>
        <w:rPr>
          <w:rFonts w:ascii="Arial" w:cs="Arial" w:eastAsia="Arial" w:hAnsi="Arial"/>
          <w:sz w:val="17"/>
          <w:szCs w:val="17"/>
          <w:color w:val="003551"/>
        </w:rPr>
        <w:t>The appointment of a proxy or attorney is not revoked if the appointing member is present in person or by corporate representative at a general meeting, but the proxy or attorney must not speak or vote at the meeting while the appointing member is present, and the appointing member will retain the right to vote in lieu of the proxy or attorney.</w:t>
      </w:r>
    </w:p>
    <w:p>
      <w:pPr>
        <w:spacing w:after="0" w:line="58"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11.12</w:t>
        <w:tab/>
        <w:t>Rights where 2 proxies or attorneys are appointed</w:t>
      </w:r>
    </w:p>
    <w:p>
      <w:pPr>
        <w:spacing w:after="0" w:line="108" w:lineRule="exact"/>
        <w:rPr>
          <w:sz w:val="20"/>
          <w:szCs w:val="20"/>
          <w:color w:val="auto"/>
        </w:rPr>
      </w:pPr>
    </w:p>
    <w:p>
      <w:pPr>
        <w:ind w:left="1640" w:right="819"/>
        <w:spacing w:after="0" w:line="283" w:lineRule="auto"/>
        <w:rPr>
          <w:sz w:val="20"/>
          <w:szCs w:val="20"/>
          <w:color w:val="auto"/>
        </w:rPr>
      </w:pPr>
      <w:r>
        <w:rPr>
          <w:rFonts w:ascii="Arial" w:cs="Arial" w:eastAsia="Arial" w:hAnsi="Arial"/>
          <w:sz w:val="17"/>
          <w:szCs w:val="17"/>
          <w:color w:val="003551"/>
        </w:rPr>
        <w:t xml:space="preserve">Subject to the Listing Rules </w:t>
      </w:r>
      <w:r>
        <w:rPr>
          <w:rFonts w:ascii="Arial" w:cs="Arial" w:eastAsia="Arial" w:hAnsi="Arial"/>
          <w:sz w:val="17"/>
          <w:szCs w:val="17"/>
          <w:color w:val="0000FF"/>
        </w:rPr>
        <w:t>and the Securities Laws</w:t>
      </w:r>
      <w:r>
        <w:rPr>
          <w:rFonts w:ascii="Arial" w:cs="Arial" w:eastAsia="Arial" w:hAnsi="Arial"/>
          <w:sz w:val="17"/>
          <w:szCs w:val="17"/>
          <w:color w:val="000000"/>
        </w:rPr>
        <w:t>, where a member appoints 2 proxies or</w:t>
      </w:r>
      <w:r>
        <w:rPr>
          <w:rFonts w:ascii="Arial" w:cs="Arial" w:eastAsia="Arial" w:hAnsi="Arial"/>
          <w:sz w:val="17"/>
          <w:szCs w:val="17"/>
          <w:color w:val="003551"/>
        </w:rPr>
        <w:t xml:space="preserve"> </w:t>
      </w:r>
      <w:r>
        <w:rPr>
          <w:rFonts w:ascii="Arial" w:cs="Arial" w:eastAsia="Arial" w:hAnsi="Arial"/>
          <w:sz w:val="17"/>
          <w:szCs w:val="17"/>
          <w:color w:val="000000"/>
        </w:rPr>
        <w:t>attorneys to vote at the same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2383155</wp:posOffset>
            </wp:positionH>
            <wp:positionV relativeFrom="paragraph">
              <wp:posOffset>-156845</wp:posOffset>
            </wp:positionV>
            <wp:extent cx="120586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05865" cy="8255"/>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-173355</wp:posOffset>
            </wp:positionV>
            <wp:extent cx="120777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07770" cy="8255"/>
                    </a:xfrm>
                    <a:prstGeom prst="rect">
                      <a:avLst/>
                    </a:prstGeom>
                    <a:noFill/>
                  </pic:spPr>
                </pic:pic>
              </a:graphicData>
            </a:graphic>
          </wp:anchor>
        </w:drawing>
      </w:r>
    </w:p>
    <w:p>
      <w:pPr>
        <w:spacing w:after="0" w:line="17" w:lineRule="exact"/>
        <w:rPr>
          <w:sz w:val="20"/>
          <w:szCs w:val="20"/>
          <w:color w:val="auto"/>
        </w:rPr>
      </w:pPr>
    </w:p>
    <w:p>
      <w:pPr>
        <w:ind w:left="2320" w:right="779" w:hanging="335"/>
        <w:spacing w:after="0" w:line="283" w:lineRule="auto"/>
        <w:tabs>
          <w:tab w:leader="none" w:pos="2320" w:val="left"/>
        </w:tabs>
        <w:numPr>
          <w:ilvl w:val="0"/>
          <w:numId w:val="141"/>
        </w:numPr>
        <w:rPr>
          <w:rFonts w:ascii="Arial" w:cs="Arial" w:eastAsia="Arial" w:hAnsi="Arial"/>
          <w:sz w:val="17"/>
          <w:szCs w:val="17"/>
          <w:color w:val="003551"/>
        </w:rPr>
      </w:pPr>
      <w:r>
        <w:rPr>
          <w:rFonts w:ascii="Arial" w:cs="Arial" w:eastAsia="Arial" w:hAnsi="Arial"/>
          <w:sz w:val="17"/>
          <w:szCs w:val="17"/>
          <w:color w:val="003551"/>
        </w:rPr>
        <w:t>if the appointment does not specify the proportion or number of the member’s votes each proxy or attorney may exercise, each may exercise half the member’s votes;</w:t>
      </w:r>
    </w:p>
    <w:p>
      <w:pPr>
        <w:spacing w:after="0" w:line="36" w:lineRule="exact"/>
        <w:rPr>
          <w:rFonts w:ascii="Arial" w:cs="Arial" w:eastAsia="Arial" w:hAnsi="Arial"/>
          <w:sz w:val="17"/>
          <w:szCs w:val="17"/>
          <w:color w:val="003551"/>
        </w:rPr>
      </w:pPr>
    </w:p>
    <w:p>
      <w:pPr>
        <w:ind w:left="2320" w:right="539" w:hanging="335"/>
        <w:spacing w:after="0" w:line="283" w:lineRule="auto"/>
        <w:tabs>
          <w:tab w:leader="none" w:pos="2320" w:val="left"/>
        </w:tabs>
        <w:numPr>
          <w:ilvl w:val="0"/>
          <w:numId w:val="141"/>
        </w:numPr>
        <w:rPr>
          <w:rFonts w:ascii="Arial" w:cs="Arial" w:eastAsia="Arial" w:hAnsi="Arial"/>
          <w:sz w:val="17"/>
          <w:szCs w:val="17"/>
          <w:color w:val="003551"/>
        </w:rPr>
      </w:pPr>
      <w:r>
        <w:rPr>
          <w:rFonts w:ascii="Arial" w:cs="Arial" w:eastAsia="Arial" w:hAnsi="Arial"/>
          <w:sz w:val="17"/>
          <w:szCs w:val="17"/>
          <w:color w:val="003551"/>
        </w:rPr>
        <w:t>if the appointment specifies different ways to vote on the resolution, the proxy must not vote on a show of hands; and</w:t>
      </w:r>
    </w:p>
    <w:p>
      <w:pPr>
        <w:spacing w:after="0" w:line="36" w:lineRule="exact"/>
        <w:rPr>
          <w:rFonts w:ascii="Arial" w:cs="Arial" w:eastAsia="Arial" w:hAnsi="Arial"/>
          <w:sz w:val="17"/>
          <w:szCs w:val="17"/>
          <w:color w:val="003551"/>
        </w:rPr>
      </w:pPr>
    </w:p>
    <w:p>
      <w:pPr>
        <w:ind w:left="2320" w:right="559" w:hanging="335"/>
        <w:spacing w:after="0" w:line="283" w:lineRule="auto"/>
        <w:tabs>
          <w:tab w:leader="none" w:pos="2320" w:val="left"/>
        </w:tabs>
        <w:numPr>
          <w:ilvl w:val="0"/>
          <w:numId w:val="141"/>
        </w:numPr>
        <w:rPr>
          <w:rFonts w:ascii="Arial" w:cs="Arial" w:eastAsia="Arial" w:hAnsi="Arial"/>
          <w:sz w:val="17"/>
          <w:szCs w:val="17"/>
          <w:color w:val="003551"/>
        </w:rPr>
      </w:pPr>
      <w:r>
        <w:rPr>
          <w:rFonts w:ascii="Arial" w:cs="Arial" w:eastAsia="Arial" w:hAnsi="Arial"/>
          <w:sz w:val="17"/>
          <w:szCs w:val="17"/>
          <w:color w:val="003551"/>
        </w:rPr>
        <w:t>on a poll, each proxy or attorney may only exercise votes in respect of those shares or voting rights the proxy or attorney represents.</w:t>
      </w:r>
    </w:p>
    <w:p>
      <w:pPr>
        <w:spacing w:after="0" w:line="142"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119380</wp:posOffset>
            </wp:positionV>
            <wp:extent cx="6786880" cy="1651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11.13</w:t>
        <w:tab/>
        <w:t>More than one corporate representative present</w:t>
      </w:r>
    </w:p>
    <w:p>
      <w:pPr>
        <w:spacing w:after="0" w:line="108" w:lineRule="exact"/>
        <w:rPr>
          <w:sz w:val="20"/>
          <w:szCs w:val="20"/>
          <w:color w:val="auto"/>
        </w:rPr>
      </w:pPr>
    </w:p>
    <w:p>
      <w:pPr>
        <w:ind w:left="1640" w:right="499"/>
        <w:spacing w:after="0" w:line="262" w:lineRule="auto"/>
        <w:rPr>
          <w:sz w:val="20"/>
          <w:szCs w:val="20"/>
          <w:color w:val="auto"/>
        </w:rPr>
      </w:pPr>
      <w:r>
        <w:rPr>
          <w:rFonts w:ascii="Arial" w:cs="Arial" w:eastAsia="Arial" w:hAnsi="Arial"/>
          <w:sz w:val="17"/>
          <w:szCs w:val="17"/>
          <w:color w:val="003551"/>
        </w:rPr>
        <w:t>If more than one corporate representative appointed by a member (and in respect of whose appointment the company has not received notice of revocation) is present at a general meeting then:</w:t>
      </w:r>
    </w:p>
    <w:p>
      <w:pPr>
        <w:spacing w:after="0" w:line="54" w:lineRule="exact"/>
        <w:rPr>
          <w:sz w:val="20"/>
          <w:szCs w:val="20"/>
          <w:color w:val="auto"/>
        </w:rPr>
      </w:pPr>
    </w:p>
    <w:p>
      <w:pPr>
        <w:ind w:left="2320" w:right="419" w:hanging="335"/>
        <w:spacing w:after="0" w:line="283" w:lineRule="auto"/>
        <w:tabs>
          <w:tab w:leader="none" w:pos="2320" w:val="left"/>
        </w:tabs>
        <w:numPr>
          <w:ilvl w:val="0"/>
          <w:numId w:val="142"/>
        </w:numPr>
        <w:rPr>
          <w:rFonts w:ascii="Arial" w:cs="Arial" w:eastAsia="Arial" w:hAnsi="Arial"/>
          <w:sz w:val="17"/>
          <w:szCs w:val="17"/>
          <w:color w:val="003551"/>
        </w:rPr>
      </w:pPr>
      <w:r>
        <w:rPr>
          <w:rFonts w:ascii="Arial" w:cs="Arial" w:eastAsia="Arial" w:hAnsi="Arial"/>
          <w:sz w:val="17"/>
          <w:szCs w:val="17"/>
          <w:color w:val="003551"/>
        </w:rPr>
        <w:t>a corporate representative appointed for that particular meeting may act to the exclusion of a corporate representative whose appointment is a standing appointment; and</w:t>
      </w:r>
    </w:p>
    <w:p>
      <w:pPr>
        <w:spacing w:after="0" w:line="36" w:lineRule="exact"/>
        <w:rPr>
          <w:rFonts w:ascii="Arial" w:cs="Arial" w:eastAsia="Arial" w:hAnsi="Arial"/>
          <w:sz w:val="17"/>
          <w:szCs w:val="17"/>
          <w:color w:val="003551"/>
        </w:rPr>
      </w:pPr>
    </w:p>
    <w:p>
      <w:pPr>
        <w:ind w:left="2320" w:right="459" w:hanging="335"/>
        <w:spacing w:after="0" w:line="283" w:lineRule="auto"/>
        <w:tabs>
          <w:tab w:leader="none" w:pos="2320" w:val="left"/>
        </w:tabs>
        <w:numPr>
          <w:ilvl w:val="0"/>
          <w:numId w:val="142"/>
        </w:numPr>
        <w:rPr>
          <w:rFonts w:ascii="Arial" w:cs="Arial" w:eastAsia="Arial" w:hAnsi="Arial"/>
          <w:sz w:val="17"/>
          <w:szCs w:val="17"/>
          <w:color w:val="003551"/>
        </w:rPr>
      </w:pPr>
      <w:r>
        <w:rPr>
          <w:rFonts w:ascii="Arial" w:cs="Arial" w:eastAsia="Arial" w:hAnsi="Arial"/>
          <w:sz w:val="17"/>
          <w:szCs w:val="17"/>
          <w:color w:val="003551"/>
        </w:rPr>
        <w:t xml:space="preserve">subject to </w:t>
      </w:r>
      <w:r>
        <w:rPr>
          <w:rFonts w:ascii="Arial" w:cs="Arial" w:eastAsia="Arial" w:hAnsi="Arial"/>
          <w:sz w:val="17"/>
          <w:szCs w:val="17"/>
          <w:u w:val="single" w:color="auto"/>
          <w:color w:val="003551"/>
        </w:rPr>
        <w:t>paragraph (a)</w:t>
      </w:r>
      <w:r>
        <w:rPr>
          <w:rFonts w:ascii="Arial" w:cs="Arial" w:eastAsia="Arial" w:hAnsi="Arial"/>
          <w:sz w:val="17"/>
          <w:szCs w:val="17"/>
          <w:color w:val="003551"/>
        </w:rPr>
        <w:t xml:space="preserve"> above, the corporate representative appointed most recently in time may act to the exclusion of a corporate representative appointed earlier.</w:t>
      </w:r>
    </w:p>
    <w:p>
      <w:pPr>
        <w:spacing w:after="0" w:line="35"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11.14</w:t>
        <w:tab/>
        <w:t>More than two proxies or attorneys appointed</w:t>
      </w:r>
    </w:p>
    <w:p>
      <w:pPr>
        <w:spacing w:after="0" w:line="108" w:lineRule="exact"/>
        <w:rPr>
          <w:sz w:val="20"/>
          <w:szCs w:val="20"/>
          <w:color w:val="auto"/>
        </w:rPr>
      </w:pPr>
    </w:p>
    <w:p>
      <w:pPr>
        <w:ind w:left="1640" w:right="539"/>
        <w:spacing w:after="0" w:line="255" w:lineRule="auto"/>
        <w:rPr>
          <w:sz w:val="20"/>
          <w:szCs w:val="20"/>
          <w:color w:val="auto"/>
        </w:rPr>
      </w:pPr>
      <w:r>
        <w:rPr>
          <w:rFonts w:ascii="Arial" w:cs="Arial" w:eastAsia="Arial" w:hAnsi="Arial"/>
          <w:sz w:val="17"/>
          <w:szCs w:val="17"/>
          <w:color w:val="003551"/>
        </w:rPr>
        <w:t>If the company receives notice of the appointment of a proxy or attorney in accordance with this constitution that results in more than 2 proxies or attorneys being entitled to act at a general meeting then, in determining which proxies or attorneys may act at that meeting, the board will determine which 2 attorneys or proxies may act at the general meeting.</w:t>
      </w:r>
    </w:p>
    <w:p>
      <w:pPr>
        <w:spacing w:after="0" w:line="58"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11.15</w:t>
        <w:tab/>
        <w:t>Identity of person acting as corporate representative, proxy or attorney</w:t>
      </w:r>
    </w:p>
    <w:p>
      <w:pPr>
        <w:spacing w:after="0" w:line="108" w:lineRule="exact"/>
        <w:rPr>
          <w:sz w:val="20"/>
          <w:szCs w:val="20"/>
          <w:color w:val="auto"/>
        </w:rPr>
      </w:pPr>
    </w:p>
    <w:p>
      <w:pPr>
        <w:ind w:left="1980" w:right="399" w:hanging="344"/>
        <w:spacing w:after="0" w:line="249" w:lineRule="auto"/>
        <w:tabs>
          <w:tab w:leader="none" w:pos="1980" w:val="left"/>
        </w:tabs>
        <w:numPr>
          <w:ilvl w:val="0"/>
          <w:numId w:val="143"/>
        </w:numPr>
        <w:rPr>
          <w:rFonts w:ascii="Arial" w:cs="Arial" w:eastAsia="Arial" w:hAnsi="Arial"/>
          <w:sz w:val="17"/>
          <w:szCs w:val="17"/>
          <w:color w:val="003551"/>
        </w:rPr>
      </w:pPr>
      <w:r>
        <w:rPr>
          <w:rFonts w:ascii="Arial" w:cs="Arial" w:eastAsia="Arial" w:hAnsi="Arial"/>
          <w:sz w:val="17"/>
          <w:szCs w:val="17"/>
          <w:color w:val="003551"/>
        </w:rPr>
        <w:t>The chair of a meeting may require a person acting as a corporate representative, proxy or attorney to establish to the chair’s satisfaction that the person is the person duly appointed to act. If the person fails to do so, the chair may exclude the person from attending or voting at the meeting or permit the person to exercise the powers of a corporate representative, proxy or attorney on the condition that, if required by the company, they produce evidence of the appointment within the time set by the chair.</w:t>
      </w:r>
    </w:p>
    <w:p>
      <w:pPr>
        <w:spacing w:after="0" w:line="66" w:lineRule="exact"/>
        <w:rPr>
          <w:rFonts w:ascii="Arial" w:cs="Arial" w:eastAsia="Arial" w:hAnsi="Arial"/>
          <w:sz w:val="17"/>
          <w:szCs w:val="17"/>
          <w:color w:val="003551"/>
        </w:rPr>
      </w:pPr>
    </w:p>
    <w:p>
      <w:pPr>
        <w:ind w:left="1980" w:hanging="344"/>
        <w:spacing w:after="0"/>
        <w:tabs>
          <w:tab w:leader="none" w:pos="1980" w:val="left"/>
        </w:tabs>
        <w:numPr>
          <w:ilvl w:val="0"/>
          <w:numId w:val="143"/>
        </w:numPr>
        <w:rPr>
          <w:rFonts w:ascii="Arial" w:cs="Arial" w:eastAsia="Arial" w:hAnsi="Arial"/>
          <w:sz w:val="17"/>
          <w:szCs w:val="17"/>
          <w:color w:val="003551"/>
        </w:rPr>
      </w:pPr>
      <w:r>
        <w:rPr>
          <w:rFonts w:ascii="Arial" w:cs="Arial" w:eastAsia="Arial" w:hAnsi="Arial"/>
          <w:sz w:val="17"/>
          <w:szCs w:val="17"/>
          <w:color w:val="003551"/>
        </w:rPr>
        <w:t xml:space="preserve">The chair may delegate the chair’s powers under this </w:t>
      </w:r>
      <w:r>
        <w:rPr>
          <w:rFonts w:ascii="Arial" w:cs="Arial" w:eastAsia="Arial" w:hAnsi="Arial"/>
          <w:sz w:val="17"/>
          <w:szCs w:val="17"/>
          <w:u w:val="single" w:color="auto"/>
          <w:color w:val="003551"/>
        </w:rPr>
        <w:t>rule</w:t>
      </w:r>
      <w:r>
        <w:rPr>
          <w:rFonts w:ascii="Arial" w:cs="Arial" w:eastAsia="Arial" w:hAnsi="Arial"/>
          <w:sz w:val="17"/>
          <w:szCs w:val="17"/>
          <w:color w:val="003551"/>
        </w:rPr>
        <w:t xml:space="preserve"> </w:t>
      </w:r>
      <w:r>
        <w:rPr>
          <w:rFonts w:ascii="Arial" w:cs="Arial" w:eastAsia="Arial" w:hAnsi="Arial"/>
          <w:sz w:val="17"/>
          <w:szCs w:val="17"/>
          <w:color w:val="FF0000"/>
          <w:strike w:val="1"/>
        </w:rPr>
        <w:t>11.14</w:t>
      </w:r>
      <w:r>
        <w:rPr>
          <w:rFonts w:ascii="Arial" w:cs="Arial" w:eastAsia="Arial" w:hAnsi="Arial"/>
          <w:sz w:val="17"/>
          <w:szCs w:val="17"/>
          <w:u w:val="single" w:color="auto"/>
          <w:color w:val="0000FF"/>
        </w:rPr>
        <w:t>11.15</w:t>
      </w:r>
      <w:r>
        <w:rPr>
          <w:rFonts w:ascii="Arial" w:cs="Arial" w:eastAsia="Arial" w:hAnsi="Arial"/>
          <w:sz w:val="17"/>
          <w:szCs w:val="17"/>
          <w:color w:val="003551"/>
        </w:rPr>
        <w:t xml:space="preserve"> </w:t>
      </w:r>
      <w:r>
        <w:rPr>
          <w:rFonts w:ascii="Arial" w:cs="Arial" w:eastAsia="Arial" w:hAnsi="Arial"/>
          <w:sz w:val="17"/>
          <w:szCs w:val="17"/>
          <w:color w:val="000000"/>
        </w:rPr>
        <w:t>to any person.</w:t>
      </w:r>
    </w:p>
    <w:p>
      <w:pPr>
        <w:spacing w:after="0" w:line="104"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12</w:t>
      </w:r>
      <w:r>
        <w:rPr>
          <w:sz w:val="20"/>
          <w:szCs w:val="20"/>
          <w:color w:val="auto"/>
        </w:rPr>
        <w:tab/>
      </w:r>
      <w:r>
        <w:rPr>
          <w:rFonts w:ascii="Arial" w:cs="Arial" w:eastAsia="Arial" w:hAnsi="Arial"/>
          <w:sz w:val="17"/>
          <w:szCs w:val="17"/>
          <w:b w:val="1"/>
          <w:bCs w:val="1"/>
          <w:color w:val="003551"/>
        </w:rPr>
        <w:t>SHARE CAPITAL</w:t>
      </w:r>
    </w:p>
    <w:p>
      <w:pPr>
        <w:spacing w:after="0" w:line="106"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12.1</w:t>
      </w:r>
      <w:r>
        <w:rPr>
          <w:sz w:val="20"/>
          <w:szCs w:val="20"/>
          <w:color w:val="auto"/>
        </w:rPr>
        <w:tab/>
      </w:r>
      <w:r>
        <w:rPr>
          <w:rFonts w:ascii="Arial" w:cs="Arial" w:eastAsia="Arial" w:hAnsi="Arial"/>
          <w:sz w:val="17"/>
          <w:szCs w:val="17"/>
          <w:b w:val="1"/>
          <w:bCs w:val="1"/>
          <w:color w:val="003551"/>
        </w:rPr>
        <w:t>Power of board to issue shares</w:t>
      </w:r>
    </w:p>
    <w:p>
      <w:pPr>
        <w:spacing w:after="0" w:line="108" w:lineRule="exact"/>
        <w:rPr>
          <w:sz w:val="20"/>
          <w:szCs w:val="20"/>
          <w:color w:val="auto"/>
        </w:rPr>
      </w:pPr>
    </w:p>
    <w:p>
      <w:pPr>
        <w:jc w:val="both"/>
        <w:ind w:left="1640" w:right="499"/>
        <w:spacing w:after="0" w:line="262" w:lineRule="auto"/>
        <w:rPr>
          <w:sz w:val="20"/>
          <w:szCs w:val="20"/>
          <w:color w:val="auto"/>
        </w:rPr>
      </w:pPr>
      <w:r>
        <w:rPr>
          <w:rFonts w:ascii="Arial" w:cs="Arial" w:eastAsia="Arial" w:hAnsi="Arial"/>
          <w:sz w:val="17"/>
          <w:szCs w:val="17"/>
          <w:color w:val="003551"/>
        </w:rPr>
        <w:t>Subject to the Corporations Act, this constitution and any rights attaching to any class of shares, the board may issue, allot, grant options over or otherwise deal with or dispose of any shares to such persons, at such times, on such terms and for such consideration, as the directors think fit.</w:t>
      </w:r>
    </w:p>
    <w:p>
      <w:pPr>
        <w:spacing w:after="0" w:line="52"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12.2</w:t>
      </w:r>
      <w:r>
        <w:rPr>
          <w:sz w:val="20"/>
          <w:szCs w:val="20"/>
          <w:color w:val="auto"/>
        </w:rPr>
        <w:tab/>
      </w:r>
      <w:r>
        <w:rPr>
          <w:rFonts w:ascii="Arial" w:cs="Arial" w:eastAsia="Arial" w:hAnsi="Arial"/>
          <w:sz w:val="17"/>
          <w:szCs w:val="17"/>
          <w:b w:val="1"/>
          <w:bCs w:val="1"/>
          <w:color w:val="003551"/>
        </w:rPr>
        <w:t>Alteration of share capital</w:t>
      </w:r>
    </w:p>
    <w:p>
      <w:pPr>
        <w:spacing w:after="0" w:line="108" w:lineRule="exact"/>
        <w:rPr>
          <w:sz w:val="20"/>
          <w:szCs w:val="20"/>
          <w:color w:val="auto"/>
        </w:rPr>
      </w:pPr>
    </w:p>
    <w:p>
      <w:pPr>
        <w:jc w:val="both"/>
        <w:ind w:left="1640" w:right="499"/>
        <w:spacing w:after="0" w:line="262" w:lineRule="auto"/>
        <w:rPr>
          <w:sz w:val="20"/>
          <w:szCs w:val="20"/>
          <w:color w:val="auto"/>
        </w:rPr>
      </w:pPr>
      <w:r>
        <w:rPr>
          <w:rFonts w:ascii="Arial" w:cs="Arial" w:eastAsia="Arial" w:hAnsi="Arial"/>
          <w:sz w:val="17"/>
          <w:szCs w:val="17"/>
          <w:color w:val="003551"/>
        </w:rPr>
        <w:t>Subject to the Corporations Act, this constitution and any rights attaching to any class of shares, the company may exercise the powers conferred by the Corporations Act to alter the company’s share capital including by:</w:t>
      </w:r>
    </w:p>
    <w:p>
      <w:pPr>
        <w:spacing w:after="0" w:line="54" w:lineRule="exact"/>
        <w:rPr>
          <w:sz w:val="20"/>
          <w:szCs w:val="20"/>
          <w:color w:val="auto"/>
        </w:rPr>
      </w:pPr>
    </w:p>
    <w:p>
      <w:pPr>
        <w:ind w:left="2320" w:hanging="335"/>
        <w:spacing w:after="0"/>
        <w:tabs>
          <w:tab w:leader="none" w:pos="2320" w:val="left"/>
        </w:tabs>
        <w:numPr>
          <w:ilvl w:val="0"/>
          <w:numId w:val="144"/>
        </w:numPr>
        <w:rPr>
          <w:rFonts w:ascii="Arial" w:cs="Arial" w:eastAsia="Arial" w:hAnsi="Arial"/>
          <w:sz w:val="17"/>
          <w:szCs w:val="17"/>
          <w:color w:val="003551"/>
        </w:rPr>
      </w:pPr>
      <w:r>
        <w:rPr>
          <w:rFonts w:ascii="Arial" w:cs="Arial" w:eastAsia="Arial" w:hAnsi="Arial"/>
          <w:sz w:val="17"/>
          <w:szCs w:val="17"/>
          <w:color w:val="003551"/>
        </w:rPr>
        <w:t>reducing or buying back its share capital;</w:t>
      </w:r>
    </w:p>
    <w:p>
      <w:pPr>
        <w:spacing w:after="0" w:line="105" w:lineRule="exact"/>
        <w:rPr>
          <w:rFonts w:ascii="Arial" w:cs="Arial" w:eastAsia="Arial" w:hAnsi="Arial"/>
          <w:sz w:val="17"/>
          <w:szCs w:val="17"/>
          <w:color w:val="003551"/>
        </w:rPr>
      </w:pPr>
    </w:p>
    <w:p>
      <w:pPr>
        <w:ind w:left="2320" w:hanging="335"/>
        <w:spacing w:after="0"/>
        <w:tabs>
          <w:tab w:leader="none" w:pos="2320" w:val="left"/>
        </w:tabs>
        <w:numPr>
          <w:ilvl w:val="0"/>
          <w:numId w:val="144"/>
        </w:numPr>
        <w:rPr>
          <w:rFonts w:ascii="Arial" w:cs="Arial" w:eastAsia="Arial" w:hAnsi="Arial"/>
          <w:sz w:val="17"/>
          <w:szCs w:val="17"/>
          <w:color w:val="003551"/>
        </w:rPr>
      </w:pPr>
      <w:r>
        <w:rPr>
          <w:rFonts w:ascii="Arial" w:cs="Arial" w:eastAsia="Arial" w:hAnsi="Arial"/>
          <w:sz w:val="17"/>
          <w:szCs w:val="17"/>
          <w:color w:val="003551"/>
        </w:rPr>
        <w:t>sub-dividing or consolidating all or any of its share capital; or</w:t>
      </w:r>
    </w:p>
    <w:p>
      <w:pPr>
        <w:spacing w:after="0" w:line="105" w:lineRule="exact"/>
        <w:rPr>
          <w:rFonts w:ascii="Arial" w:cs="Arial" w:eastAsia="Arial" w:hAnsi="Arial"/>
          <w:sz w:val="17"/>
          <w:szCs w:val="17"/>
          <w:color w:val="003551"/>
        </w:rPr>
      </w:pPr>
    </w:p>
    <w:p>
      <w:pPr>
        <w:ind w:left="2320" w:hanging="335"/>
        <w:spacing w:after="0"/>
        <w:tabs>
          <w:tab w:leader="none" w:pos="2320" w:val="left"/>
        </w:tabs>
        <w:numPr>
          <w:ilvl w:val="0"/>
          <w:numId w:val="144"/>
        </w:numPr>
        <w:rPr>
          <w:rFonts w:ascii="Arial" w:cs="Arial" w:eastAsia="Arial" w:hAnsi="Arial"/>
          <w:sz w:val="17"/>
          <w:szCs w:val="17"/>
          <w:color w:val="003551"/>
        </w:rPr>
      </w:pPr>
      <w:r>
        <w:rPr>
          <w:rFonts w:ascii="Arial" w:cs="Arial" w:eastAsia="Arial" w:hAnsi="Arial"/>
          <w:sz w:val="17"/>
          <w:szCs w:val="17"/>
          <w:color w:val="003551"/>
        </w:rPr>
        <w:t>converting or reclassifying shares from one class to another,</w:t>
      </w:r>
    </w:p>
    <w:p>
      <w:pPr>
        <w:spacing w:after="0" w:line="106" w:lineRule="exact"/>
        <w:rPr>
          <w:sz w:val="20"/>
          <w:szCs w:val="20"/>
          <w:color w:val="auto"/>
        </w:rPr>
      </w:pPr>
    </w:p>
    <w:p>
      <w:pPr>
        <w:ind w:left="1640" w:right="919"/>
        <w:spacing w:after="0" w:line="283" w:lineRule="auto"/>
        <w:rPr>
          <w:sz w:val="20"/>
          <w:szCs w:val="20"/>
          <w:color w:val="auto"/>
        </w:rPr>
      </w:pPr>
      <w:r>
        <w:rPr>
          <w:rFonts w:ascii="Arial" w:cs="Arial" w:eastAsia="Arial" w:hAnsi="Arial"/>
          <w:sz w:val="17"/>
          <w:szCs w:val="17"/>
          <w:color w:val="003551"/>
        </w:rPr>
        <w:t>and the board may take such action as the directors think fit to give effect to any resolution altering the company’s share capital.</w:t>
      </w:r>
    </w:p>
    <w:p>
      <w:pPr>
        <w:spacing w:after="0" w:line="142"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119380</wp:posOffset>
            </wp:positionV>
            <wp:extent cx="6786880" cy="1651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12.3</w:t>
      </w:r>
      <w:r>
        <w:rPr>
          <w:sz w:val="20"/>
          <w:szCs w:val="20"/>
          <w:color w:val="auto"/>
        </w:rPr>
        <w:tab/>
      </w:r>
      <w:r>
        <w:rPr>
          <w:rFonts w:ascii="Arial" w:cs="Arial" w:eastAsia="Arial" w:hAnsi="Arial"/>
          <w:sz w:val="17"/>
          <w:szCs w:val="17"/>
          <w:b w:val="1"/>
          <w:bCs w:val="1"/>
          <w:color w:val="003551"/>
        </w:rPr>
        <w:t>Fractions of shares</w:t>
      </w:r>
    </w:p>
    <w:p>
      <w:pPr>
        <w:spacing w:after="0" w:line="108" w:lineRule="exact"/>
        <w:rPr>
          <w:sz w:val="20"/>
          <w:szCs w:val="20"/>
          <w:color w:val="auto"/>
        </w:rPr>
      </w:pPr>
    </w:p>
    <w:p>
      <w:pPr>
        <w:ind w:left="1640" w:right="399"/>
        <w:spacing w:after="0" w:line="262" w:lineRule="auto"/>
        <w:rPr>
          <w:sz w:val="20"/>
          <w:szCs w:val="20"/>
          <w:color w:val="auto"/>
        </w:rPr>
      </w:pPr>
      <w:r>
        <w:rPr>
          <w:rFonts w:ascii="Arial" w:cs="Arial" w:eastAsia="Arial" w:hAnsi="Arial"/>
          <w:sz w:val="17"/>
          <w:szCs w:val="17"/>
          <w:color w:val="003551"/>
        </w:rPr>
        <w:t>If as a result of any issue of shares or any alteration to the company’s share capital any members would become entitled to fractions of a share, the board may deal with those fractions as the directors think fit, including by:</w:t>
      </w:r>
    </w:p>
    <w:p>
      <w:pPr>
        <w:spacing w:after="0" w:line="54" w:lineRule="exact"/>
        <w:rPr>
          <w:sz w:val="20"/>
          <w:szCs w:val="20"/>
          <w:color w:val="auto"/>
        </w:rPr>
      </w:pPr>
    </w:p>
    <w:p>
      <w:pPr>
        <w:ind w:left="2320" w:right="1359" w:hanging="335"/>
        <w:spacing w:after="0" w:line="283" w:lineRule="auto"/>
        <w:tabs>
          <w:tab w:leader="none" w:pos="2320" w:val="left"/>
        </w:tabs>
        <w:numPr>
          <w:ilvl w:val="0"/>
          <w:numId w:val="145"/>
        </w:numPr>
        <w:rPr>
          <w:rFonts w:ascii="Arial" w:cs="Arial" w:eastAsia="Arial" w:hAnsi="Arial"/>
          <w:sz w:val="17"/>
          <w:szCs w:val="17"/>
          <w:color w:val="003551"/>
        </w:rPr>
      </w:pPr>
      <w:r>
        <w:rPr>
          <w:rFonts w:ascii="Arial" w:cs="Arial" w:eastAsia="Arial" w:hAnsi="Arial"/>
          <w:sz w:val="17"/>
          <w:szCs w:val="17"/>
          <w:color w:val="003551"/>
        </w:rPr>
        <w:t>ignoring fractional entitlements or making cash payments in lieu of fractional entitlements;</w:t>
      </w:r>
    </w:p>
    <w:p>
      <w:pPr>
        <w:spacing w:after="0" w:line="36" w:lineRule="exact"/>
        <w:rPr>
          <w:rFonts w:ascii="Arial" w:cs="Arial" w:eastAsia="Arial" w:hAnsi="Arial"/>
          <w:sz w:val="17"/>
          <w:szCs w:val="17"/>
          <w:color w:val="003551"/>
        </w:rPr>
      </w:pPr>
    </w:p>
    <w:p>
      <w:pPr>
        <w:ind w:left="2320" w:right="399" w:hanging="335"/>
        <w:spacing w:after="0" w:line="262" w:lineRule="auto"/>
        <w:tabs>
          <w:tab w:leader="none" w:pos="2320" w:val="left"/>
        </w:tabs>
        <w:numPr>
          <w:ilvl w:val="0"/>
          <w:numId w:val="145"/>
        </w:numPr>
        <w:rPr>
          <w:rFonts w:ascii="Arial" w:cs="Arial" w:eastAsia="Arial" w:hAnsi="Arial"/>
          <w:sz w:val="17"/>
          <w:szCs w:val="17"/>
          <w:color w:val="003551"/>
        </w:rPr>
      </w:pPr>
      <w:r>
        <w:rPr>
          <w:rFonts w:ascii="Arial" w:cs="Arial" w:eastAsia="Arial" w:hAnsi="Arial"/>
          <w:sz w:val="17"/>
          <w:szCs w:val="17"/>
          <w:color w:val="003551"/>
        </w:rPr>
        <w:t xml:space="preserve">rounding up each fractional entitlement to a whole share by capitalising any amount available for capitalisation under </w:t>
      </w:r>
      <w:r>
        <w:rPr>
          <w:rFonts w:ascii="Arial" w:cs="Arial" w:eastAsia="Arial" w:hAnsi="Arial"/>
          <w:sz w:val="17"/>
          <w:szCs w:val="17"/>
          <w:u w:val="single" w:color="auto"/>
          <w:color w:val="003551"/>
        </w:rPr>
        <w:t>rule 16.3</w:t>
      </w:r>
      <w:r>
        <w:rPr>
          <w:rFonts w:ascii="Arial" w:cs="Arial" w:eastAsia="Arial" w:hAnsi="Arial"/>
          <w:sz w:val="17"/>
          <w:szCs w:val="17"/>
          <w:color w:val="003551"/>
        </w:rPr>
        <w:t xml:space="preserve"> (even though not all members may participate in that capitalisation); or</w:t>
      </w:r>
    </w:p>
    <w:p>
      <w:pPr>
        <w:spacing w:after="0" w:line="54" w:lineRule="exact"/>
        <w:rPr>
          <w:rFonts w:ascii="Arial" w:cs="Arial" w:eastAsia="Arial" w:hAnsi="Arial"/>
          <w:sz w:val="17"/>
          <w:szCs w:val="17"/>
          <w:color w:val="003551"/>
        </w:rPr>
      </w:pPr>
    </w:p>
    <w:p>
      <w:pPr>
        <w:ind w:left="2320" w:right="399" w:hanging="335"/>
        <w:spacing w:after="0" w:line="283" w:lineRule="auto"/>
        <w:tabs>
          <w:tab w:leader="none" w:pos="2320" w:val="left"/>
        </w:tabs>
        <w:numPr>
          <w:ilvl w:val="0"/>
          <w:numId w:val="145"/>
        </w:numPr>
        <w:rPr>
          <w:rFonts w:ascii="Arial" w:cs="Arial" w:eastAsia="Arial" w:hAnsi="Arial"/>
          <w:sz w:val="17"/>
          <w:szCs w:val="17"/>
          <w:color w:val="003551"/>
        </w:rPr>
      </w:pPr>
      <w:r>
        <w:rPr>
          <w:rFonts w:ascii="Arial" w:cs="Arial" w:eastAsia="Arial" w:hAnsi="Arial"/>
          <w:sz w:val="17"/>
          <w:szCs w:val="17"/>
          <w:color w:val="003551"/>
        </w:rPr>
        <w:t>appointing a trustee to aggregate and sell the shares representing those fractions and to distribute the net proceeds of sale among members entitled to them.</w:t>
      </w:r>
    </w:p>
    <w:p>
      <w:pPr>
        <w:spacing w:after="0" w:line="35"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12.4</w:t>
      </w:r>
      <w:r>
        <w:rPr>
          <w:sz w:val="20"/>
          <w:szCs w:val="20"/>
          <w:color w:val="auto"/>
        </w:rPr>
        <w:tab/>
      </w:r>
      <w:r>
        <w:rPr>
          <w:rFonts w:ascii="Arial" w:cs="Arial" w:eastAsia="Arial" w:hAnsi="Arial"/>
          <w:sz w:val="17"/>
          <w:szCs w:val="17"/>
          <w:b w:val="1"/>
          <w:bCs w:val="1"/>
          <w:color w:val="003551"/>
        </w:rPr>
        <w:t>Redeemable shares</w:t>
      </w:r>
    </w:p>
    <w:p>
      <w:pPr>
        <w:spacing w:after="0" w:line="108" w:lineRule="exact"/>
        <w:rPr>
          <w:sz w:val="20"/>
          <w:szCs w:val="20"/>
          <w:color w:val="auto"/>
        </w:rPr>
      </w:pPr>
    </w:p>
    <w:p>
      <w:pPr>
        <w:jc w:val="both"/>
        <w:ind w:left="1640" w:right="559"/>
        <w:spacing w:after="0" w:line="262" w:lineRule="auto"/>
        <w:rPr>
          <w:sz w:val="20"/>
          <w:szCs w:val="20"/>
          <w:color w:val="auto"/>
        </w:rPr>
      </w:pPr>
      <w:r>
        <w:rPr>
          <w:rFonts w:ascii="Arial" w:cs="Arial" w:eastAsia="Arial" w:hAnsi="Arial"/>
          <w:sz w:val="17"/>
          <w:szCs w:val="17"/>
          <w:color w:val="003551"/>
        </w:rPr>
        <w:t>Subject to the Corporations Act, the company may issue shares which are redeemable or liable to be redeemed at the option of the company or the holder and the directors may determine the terms, conditions and manner of redemption of such shares.</w:t>
      </w:r>
    </w:p>
    <w:p>
      <w:pPr>
        <w:spacing w:after="0" w:line="52"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12.5</w:t>
      </w:r>
      <w:r>
        <w:rPr>
          <w:sz w:val="20"/>
          <w:szCs w:val="20"/>
          <w:color w:val="auto"/>
        </w:rPr>
        <w:tab/>
      </w:r>
      <w:r>
        <w:rPr>
          <w:rFonts w:ascii="Arial" w:cs="Arial" w:eastAsia="Arial" w:hAnsi="Arial"/>
          <w:sz w:val="17"/>
          <w:szCs w:val="17"/>
          <w:b w:val="1"/>
          <w:bCs w:val="1"/>
          <w:color w:val="003551"/>
        </w:rPr>
        <w:t>Preference shares</w:t>
      </w:r>
    </w:p>
    <w:p>
      <w:pPr>
        <w:spacing w:after="0" w:line="108" w:lineRule="exact"/>
        <w:rPr>
          <w:sz w:val="20"/>
          <w:szCs w:val="20"/>
          <w:color w:val="auto"/>
        </w:rPr>
      </w:pPr>
    </w:p>
    <w:p>
      <w:pPr>
        <w:ind w:left="1640" w:right="419"/>
        <w:spacing w:after="0" w:line="255" w:lineRule="auto"/>
        <w:rPr>
          <w:sz w:val="20"/>
          <w:szCs w:val="20"/>
          <w:color w:val="auto"/>
        </w:rPr>
      </w:pPr>
      <w:r>
        <w:rPr>
          <w:rFonts w:ascii="Arial" w:cs="Arial" w:eastAsia="Arial" w:hAnsi="Arial"/>
          <w:sz w:val="17"/>
          <w:szCs w:val="17"/>
          <w:color w:val="003551"/>
        </w:rPr>
        <w:t xml:space="preserve">Subject to </w:t>
      </w:r>
      <w:r>
        <w:rPr>
          <w:rFonts w:ascii="Arial" w:cs="Arial" w:eastAsia="Arial" w:hAnsi="Arial"/>
          <w:sz w:val="17"/>
          <w:szCs w:val="17"/>
          <w:u w:val="single" w:color="auto"/>
          <w:color w:val="003551"/>
        </w:rPr>
        <w:t>rule 12.6</w:t>
      </w:r>
      <w:r>
        <w:rPr>
          <w:rFonts w:ascii="Arial" w:cs="Arial" w:eastAsia="Arial" w:hAnsi="Arial"/>
          <w:sz w:val="17"/>
          <w:szCs w:val="17"/>
          <w:color w:val="003551"/>
        </w:rPr>
        <w:t>, the company may issue preference shares and may convert or reclassify any other issued shares into preference shares, including preference shares that are redeemable or convertible into ordinary shares, or may at the option of the company or the holder be redeemed or converted into ordinary shares.</w:t>
      </w:r>
    </w:p>
    <w:p>
      <w:pPr>
        <w:spacing w:after="0" w:line="58"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12.6</w:t>
      </w:r>
      <w:r>
        <w:rPr>
          <w:sz w:val="20"/>
          <w:szCs w:val="20"/>
          <w:color w:val="auto"/>
        </w:rPr>
        <w:tab/>
      </w:r>
      <w:r>
        <w:rPr>
          <w:rFonts w:ascii="Arial" w:cs="Arial" w:eastAsia="Arial" w:hAnsi="Arial"/>
          <w:sz w:val="17"/>
          <w:szCs w:val="17"/>
          <w:b w:val="1"/>
          <w:bCs w:val="1"/>
          <w:color w:val="003551"/>
        </w:rPr>
        <w:t>Rights attaching to preference shares</w:t>
      </w:r>
    </w:p>
    <w:p>
      <w:pPr>
        <w:spacing w:after="0" w:line="108" w:lineRule="exact"/>
        <w:rPr>
          <w:sz w:val="20"/>
          <w:szCs w:val="20"/>
          <w:color w:val="auto"/>
        </w:rPr>
      </w:pPr>
    </w:p>
    <w:p>
      <w:pPr>
        <w:ind w:left="1640" w:right="379"/>
        <w:spacing w:after="0" w:line="262" w:lineRule="auto"/>
        <w:rPr>
          <w:sz w:val="20"/>
          <w:szCs w:val="20"/>
          <w:color w:val="auto"/>
        </w:rPr>
      </w:pPr>
      <w:r>
        <w:rPr>
          <w:rFonts w:ascii="Arial" w:cs="Arial" w:eastAsia="Arial" w:hAnsi="Arial"/>
          <w:sz w:val="17"/>
          <w:szCs w:val="17"/>
          <w:color w:val="003551"/>
        </w:rPr>
        <w:t xml:space="preserve">The company may not issue preference shares unless the rights attaching to those preference shares are as set out in </w:t>
      </w:r>
      <w:r>
        <w:rPr>
          <w:rFonts w:ascii="Arial" w:cs="Arial" w:eastAsia="Arial" w:hAnsi="Arial"/>
          <w:sz w:val="17"/>
          <w:szCs w:val="17"/>
          <w:u w:val="single" w:color="auto"/>
          <w:color w:val="003551"/>
        </w:rPr>
        <w:t>Schedule 2</w:t>
      </w:r>
      <w:r>
        <w:rPr>
          <w:rFonts w:ascii="Arial" w:cs="Arial" w:eastAsia="Arial" w:hAnsi="Arial"/>
          <w:sz w:val="17"/>
          <w:szCs w:val="17"/>
          <w:color w:val="003551"/>
        </w:rPr>
        <w:t xml:space="preserve"> or have otherwise been approved by members in accordance with the Corporations Act.</w:t>
      </w:r>
    </w:p>
    <w:p>
      <w:pPr>
        <w:spacing w:after="0" w:line="52"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12.7</w:t>
      </w:r>
      <w:r>
        <w:rPr>
          <w:sz w:val="20"/>
          <w:szCs w:val="20"/>
          <w:color w:val="auto"/>
        </w:rPr>
        <w:tab/>
      </w:r>
      <w:r>
        <w:rPr>
          <w:rFonts w:ascii="Arial" w:cs="Arial" w:eastAsia="Arial" w:hAnsi="Arial"/>
          <w:sz w:val="17"/>
          <w:szCs w:val="17"/>
          <w:b w:val="1"/>
          <w:bCs w:val="1"/>
          <w:color w:val="003551"/>
        </w:rPr>
        <w:t>Variation of class rights</w:t>
      </w:r>
    </w:p>
    <w:p>
      <w:pPr>
        <w:spacing w:after="0" w:line="147"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Whenever the share capital of the company is divided into different classes of shares:</w:t>
      </w:r>
    </w:p>
    <w:p>
      <w:pPr>
        <w:spacing w:after="0" w:line="106" w:lineRule="exact"/>
        <w:rPr>
          <w:sz w:val="20"/>
          <w:szCs w:val="20"/>
          <w:color w:val="auto"/>
        </w:rPr>
      </w:pPr>
    </w:p>
    <w:p>
      <w:pPr>
        <w:ind w:left="2320" w:right="619" w:hanging="335"/>
        <w:spacing w:after="0" w:line="262" w:lineRule="auto"/>
        <w:tabs>
          <w:tab w:leader="none" w:pos="2320" w:val="left"/>
        </w:tabs>
        <w:numPr>
          <w:ilvl w:val="0"/>
          <w:numId w:val="146"/>
        </w:numPr>
        <w:rPr>
          <w:rFonts w:ascii="Arial" w:cs="Arial" w:eastAsia="Arial" w:hAnsi="Arial"/>
          <w:sz w:val="17"/>
          <w:szCs w:val="17"/>
          <w:color w:val="003551"/>
        </w:rPr>
      </w:pPr>
      <w:r>
        <w:rPr>
          <w:rFonts w:ascii="Arial" w:cs="Arial" w:eastAsia="Arial" w:hAnsi="Arial"/>
          <w:sz w:val="17"/>
          <w:szCs w:val="17"/>
          <w:color w:val="003551"/>
        </w:rPr>
        <w:t>all or any of the rights for the time being attached to any class of shares on issue may from time to time be varied in such manner as those rights may provide or, if no such provision is made, with the approval of the board and either:</w:t>
      </w:r>
    </w:p>
    <w:p>
      <w:pPr>
        <w:spacing w:after="0" w:line="54" w:lineRule="exact"/>
        <w:rPr>
          <w:rFonts w:ascii="Arial" w:cs="Arial" w:eastAsia="Arial" w:hAnsi="Arial"/>
          <w:sz w:val="17"/>
          <w:szCs w:val="17"/>
          <w:color w:val="003551"/>
        </w:rPr>
      </w:pPr>
    </w:p>
    <w:p>
      <w:pPr>
        <w:ind w:left="2680" w:right="519" w:hanging="346"/>
        <w:spacing w:after="0" w:line="283" w:lineRule="auto"/>
        <w:tabs>
          <w:tab w:leader="none" w:pos="2680" w:val="left"/>
        </w:tabs>
        <w:numPr>
          <w:ilvl w:val="1"/>
          <w:numId w:val="146"/>
        </w:numPr>
        <w:rPr>
          <w:rFonts w:ascii="Arial" w:cs="Arial" w:eastAsia="Arial" w:hAnsi="Arial"/>
          <w:sz w:val="17"/>
          <w:szCs w:val="17"/>
          <w:color w:val="003551"/>
        </w:rPr>
      </w:pPr>
      <w:r>
        <w:rPr>
          <w:rFonts w:ascii="Arial" w:cs="Arial" w:eastAsia="Arial" w:hAnsi="Arial"/>
          <w:sz w:val="17"/>
          <w:szCs w:val="17"/>
          <w:color w:val="003551"/>
        </w:rPr>
        <w:t>with the consent in writing of the holders of 75% of the issued shares of that class; or</w:t>
      </w:r>
    </w:p>
    <w:p>
      <w:pPr>
        <w:spacing w:after="0" w:line="36" w:lineRule="exact"/>
        <w:rPr>
          <w:rFonts w:ascii="Arial" w:cs="Arial" w:eastAsia="Arial" w:hAnsi="Arial"/>
          <w:sz w:val="17"/>
          <w:szCs w:val="17"/>
          <w:color w:val="003551"/>
        </w:rPr>
      </w:pPr>
    </w:p>
    <w:p>
      <w:pPr>
        <w:ind w:left="2680" w:right="979" w:hanging="346"/>
        <w:spacing w:after="0" w:line="283" w:lineRule="auto"/>
        <w:tabs>
          <w:tab w:leader="none" w:pos="2680" w:val="left"/>
        </w:tabs>
        <w:numPr>
          <w:ilvl w:val="1"/>
          <w:numId w:val="146"/>
        </w:numPr>
        <w:rPr>
          <w:rFonts w:ascii="Arial" w:cs="Arial" w:eastAsia="Arial" w:hAnsi="Arial"/>
          <w:sz w:val="17"/>
          <w:szCs w:val="17"/>
          <w:color w:val="003551"/>
        </w:rPr>
      </w:pPr>
      <w:r>
        <w:rPr>
          <w:rFonts w:ascii="Arial" w:cs="Arial" w:eastAsia="Arial" w:hAnsi="Arial"/>
          <w:sz w:val="17"/>
          <w:szCs w:val="17"/>
          <w:color w:val="003551"/>
        </w:rPr>
        <w:t>with the authority of a special resolution passed at a separate meeting of the holders of those shares; and</w:t>
      </w:r>
    </w:p>
    <w:p>
      <w:pPr>
        <w:spacing w:after="0" w:line="36" w:lineRule="exact"/>
        <w:rPr>
          <w:rFonts w:ascii="Arial" w:cs="Arial" w:eastAsia="Arial" w:hAnsi="Arial"/>
          <w:sz w:val="17"/>
          <w:szCs w:val="17"/>
          <w:color w:val="003551"/>
        </w:rPr>
      </w:pPr>
    </w:p>
    <w:p>
      <w:pPr>
        <w:ind w:left="2320" w:right="659" w:hanging="335"/>
        <w:spacing w:after="0" w:line="251" w:lineRule="auto"/>
        <w:tabs>
          <w:tab w:leader="none" w:pos="2320" w:val="left"/>
        </w:tabs>
        <w:numPr>
          <w:ilvl w:val="0"/>
          <w:numId w:val="146"/>
        </w:numPr>
        <w:rPr>
          <w:rFonts w:ascii="Arial" w:cs="Arial" w:eastAsia="Arial" w:hAnsi="Arial"/>
          <w:sz w:val="17"/>
          <w:szCs w:val="17"/>
          <w:color w:val="003551"/>
        </w:rPr>
      </w:pPr>
      <w:r>
        <w:rPr>
          <w:rFonts w:ascii="Arial" w:cs="Arial" w:eastAsia="Arial" w:hAnsi="Arial"/>
          <w:sz w:val="17"/>
          <w:szCs w:val="17"/>
          <w:color w:val="003551"/>
        </w:rPr>
        <w:t>unless the terms on which shares in that class were issued state otherwise, the provisions of this constitution relating to convening general meetings of the company, proceedings at general meetings, voting at general meetings and representation at general meetings apply to every separate meeting of the holders of a class of shares except that:</w:t>
      </w:r>
    </w:p>
    <w:p>
      <w:pPr>
        <w:spacing w:after="0" w:line="65" w:lineRule="exact"/>
        <w:rPr>
          <w:rFonts w:ascii="Arial" w:cs="Arial" w:eastAsia="Arial" w:hAnsi="Arial"/>
          <w:sz w:val="17"/>
          <w:szCs w:val="17"/>
          <w:color w:val="003551"/>
        </w:rPr>
      </w:pPr>
    </w:p>
    <w:p>
      <w:pPr>
        <w:ind w:left="2680" w:right="459" w:hanging="346"/>
        <w:spacing w:after="0" w:line="283" w:lineRule="auto"/>
        <w:tabs>
          <w:tab w:leader="none" w:pos="2680" w:val="left"/>
        </w:tabs>
        <w:numPr>
          <w:ilvl w:val="1"/>
          <w:numId w:val="146"/>
        </w:numPr>
        <w:rPr>
          <w:rFonts w:ascii="Arial" w:cs="Arial" w:eastAsia="Arial" w:hAnsi="Arial"/>
          <w:sz w:val="17"/>
          <w:szCs w:val="17"/>
          <w:color w:val="003551"/>
        </w:rPr>
      </w:pPr>
      <w:r>
        <w:rPr>
          <w:rFonts w:ascii="Arial" w:cs="Arial" w:eastAsia="Arial" w:hAnsi="Arial"/>
          <w:sz w:val="17"/>
          <w:szCs w:val="17"/>
          <w:color w:val="003551"/>
        </w:rPr>
        <w:t>the quorum at any such meeting is 2 persons who hold shares of that class present in person, by corporate representative, by proxy or by attorney;</w:t>
      </w:r>
    </w:p>
    <w:p>
      <w:pPr>
        <w:spacing w:after="0" w:line="36" w:lineRule="exact"/>
        <w:rPr>
          <w:rFonts w:ascii="Arial" w:cs="Arial" w:eastAsia="Arial" w:hAnsi="Arial"/>
          <w:sz w:val="17"/>
          <w:szCs w:val="17"/>
          <w:color w:val="003551"/>
        </w:rPr>
      </w:pPr>
    </w:p>
    <w:p>
      <w:pPr>
        <w:ind w:left="2680" w:right="399" w:hanging="346"/>
        <w:spacing w:after="0" w:line="262" w:lineRule="auto"/>
        <w:tabs>
          <w:tab w:leader="none" w:pos="2680" w:val="left"/>
        </w:tabs>
        <w:numPr>
          <w:ilvl w:val="1"/>
          <w:numId w:val="146"/>
        </w:numPr>
        <w:rPr>
          <w:rFonts w:ascii="Arial" w:cs="Arial" w:eastAsia="Arial" w:hAnsi="Arial"/>
          <w:sz w:val="17"/>
          <w:szCs w:val="17"/>
          <w:color w:val="003551"/>
        </w:rPr>
      </w:pPr>
      <w:r>
        <w:rPr>
          <w:rFonts w:ascii="Arial" w:cs="Arial" w:eastAsia="Arial" w:hAnsi="Arial"/>
          <w:sz w:val="17"/>
          <w:szCs w:val="17"/>
          <w:color w:val="003551"/>
        </w:rPr>
        <w:t>a poll may be demanded by any one holder of shares of the class, or, if there is only one holder of shares in that class, that person present in person, by corporate representative, by proxy or by attorney; and</w:t>
      </w:r>
    </w:p>
    <w:p>
      <w:pPr>
        <w:spacing w:after="0" w:line="54" w:lineRule="exact"/>
        <w:rPr>
          <w:rFonts w:ascii="Arial" w:cs="Arial" w:eastAsia="Arial" w:hAnsi="Arial"/>
          <w:sz w:val="17"/>
          <w:szCs w:val="17"/>
          <w:color w:val="003551"/>
        </w:rPr>
      </w:pPr>
    </w:p>
    <w:p>
      <w:pPr>
        <w:ind w:left="2680" w:right="439" w:hanging="346"/>
        <w:spacing w:after="0" w:line="283" w:lineRule="auto"/>
        <w:tabs>
          <w:tab w:leader="none" w:pos="2680" w:val="left"/>
        </w:tabs>
        <w:numPr>
          <w:ilvl w:val="1"/>
          <w:numId w:val="146"/>
        </w:numPr>
        <w:rPr>
          <w:rFonts w:ascii="Arial" w:cs="Arial" w:eastAsia="Arial" w:hAnsi="Arial"/>
          <w:sz w:val="17"/>
          <w:szCs w:val="17"/>
          <w:color w:val="003551"/>
        </w:rPr>
      </w:pPr>
      <w:r>
        <w:rPr>
          <w:rFonts w:ascii="Arial" w:cs="Arial" w:eastAsia="Arial" w:hAnsi="Arial"/>
          <w:sz w:val="17"/>
          <w:szCs w:val="17"/>
          <w:color w:val="003551"/>
        </w:rPr>
        <w:t>on a poll, every holder of shares of the class has one vote in respect of every share of the class held by that holder.</w:t>
      </w:r>
    </w:p>
    <w:p>
      <w:pPr>
        <w:spacing w:after="0" w:line="142"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119380</wp:posOffset>
            </wp:positionV>
            <wp:extent cx="6786880" cy="1651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12.8</w:t>
      </w:r>
      <w:r>
        <w:rPr>
          <w:sz w:val="20"/>
          <w:szCs w:val="20"/>
          <w:color w:val="auto"/>
        </w:rPr>
        <w:tab/>
      </w:r>
      <w:r>
        <w:rPr>
          <w:rFonts w:ascii="Arial" w:cs="Arial" w:eastAsia="Arial" w:hAnsi="Arial"/>
          <w:sz w:val="17"/>
          <w:szCs w:val="17"/>
          <w:b w:val="1"/>
          <w:bCs w:val="1"/>
          <w:color w:val="003551"/>
        </w:rPr>
        <w:t>Effect of share issue on class rights</w:t>
      </w:r>
    </w:p>
    <w:p>
      <w:pPr>
        <w:spacing w:after="0" w:line="108" w:lineRule="exact"/>
        <w:rPr>
          <w:sz w:val="20"/>
          <w:szCs w:val="20"/>
          <w:color w:val="auto"/>
        </w:rPr>
      </w:pPr>
    </w:p>
    <w:p>
      <w:pPr>
        <w:jc w:val="both"/>
        <w:ind w:left="1640" w:right="599"/>
        <w:spacing w:after="0" w:line="262" w:lineRule="auto"/>
        <w:rPr>
          <w:sz w:val="20"/>
          <w:szCs w:val="20"/>
          <w:color w:val="auto"/>
        </w:rPr>
      </w:pPr>
      <w:r>
        <w:rPr>
          <w:rFonts w:ascii="Arial" w:cs="Arial" w:eastAsia="Arial" w:hAnsi="Arial"/>
          <w:sz w:val="17"/>
          <w:szCs w:val="17"/>
          <w:color w:val="003551"/>
        </w:rPr>
        <w:t>The rights attached to any class of shares are not taken to be varied by the issue or creation of further shares ranking equally with them unless expressly provided by the terms of issue of the shares of that class.</w:t>
      </w:r>
    </w:p>
    <w:p>
      <w:pPr>
        <w:spacing w:after="0" w:line="52"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12.9</w:t>
      </w:r>
      <w:r>
        <w:rPr>
          <w:sz w:val="20"/>
          <w:szCs w:val="20"/>
          <w:color w:val="auto"/>
        </w:rPr>
        <w:tab/>
      </w:r>
      <w:r>
        <w:rPr>
          <w:rFonts w:ascii="Arial" w:cs="Arial" w:eastAsia="Arial" w:hAnsi="Arial"/>
          <w:sz w:val="17"/>
          <w:szCs w:val="17"/>
          <w:b w:val="1"/>
          <w:bCs w:val="1"/>
          <w:color w:val="003551"/>
        </w:rPr>
        <w:t>Calls on shares, liens on shares, forfeiture and surrender of shares</w:t>
      </w:r>
    </w:p>
    <w:p>
      <w:pPr>
        <w:spacing w:after="0" w:line="134"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 xml:space="preserve">The provisions of </w:t>
      </w:r>
      <w:r>
        <w:rPr>
          <w:rFonts w:ascii="Arial" w:cs="Arial" w:eastAsia="Arial" w:hAnsi="Arial"/>
          <w:sz w:val="17"/>
          <w:szCs w:val="17"/>
          <w:u w:val="single" w:color="auto"/>
          <w:color w:val="003551"/>
        </w:rPr>
        <w:t>Schedule 3, Schedule 4 and Schedule 5</w:t>
      </w:r>
      <w:r>
        <w:rPr>
          <w:rFonts w:ascii="Arial" w:cs="Arial" w:eastAsia="Arial" w:hAnsi="Arial"/>
          <w:sz w:val="17"/>
          <w:szCs w:val="17"/>
          <w:color w:val="003551"/>
        </w:rPr>
        <w:t xml:space="preserve"> apply.</w:t>
      </w:r>
    </w:p>
    <w:p>
      <w:pPr>
        <w:spacing w:after="0" w:line="104"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12.10</w:t>
        <w:tab/>
        <w:t>Joint holders of shares</w:t>
      </w:r>
    </w:p>
    <w:p>
      <w:pPr>
        <w:spacing w:after="0" w:line="108" w:lineRule="exact"/>
        <w:rPr>
          <w:sz w:val="20"/>
          <w:szCs w:val="20"/>
          <w:color w:val="auto"/>
        </w:rPr>
      </w:pPr>
    </w:p>
    <w:p>
      <w:pPr>
        <w:ind w:left="1640" w:right="659"/>
        <w:spacing w:after="0" w:line="262" w:lineRule="auto"/>
        <w:rPr>
          <w:sz w:val="20"/>
          <w:szCs w:val="20"/>
          <w:color w:val="auto"/>
        </w:rPr>
      </w:pPr>
      <w:r>
        <w:rPr>
          <w:rFonts w:ascii="Arial" w:cs="Arial" w:eastAsia="Arial" w:hAnsi="Arial"/>
          <w:sz w:val="17"/>
          <w:szCs w:val="17"/>
          <w:color w:val="003551"/>
        </w:rPr>
        <w:t>The company is not bound to register more than 3 persons as the joint holders of any share. Where 2 or more persons are registered as the holders of a share, they hold it as joint tenants with rights of survivorship.</w:t>
      </w:r>
    </w:p>
    <w:p>
      <w:pPr>
        <w:spacing w:after="0" w:line="52"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12.11</w:t>
        <w:tab/>
        <w:t>No recognition of third party interests</w:t>
      </w:r>
    </w:p>
    <w:p>
      <w:pPr>
        <w:spacing w:after="0" w:line="108" w:lineRule="exact"/>
        <w:rPr>
          <w:sz w:val="20"/>
          <w:szCs w:val="20"/>
          <w:color w:val="auto"/>
        </w:rPr>
      </w:pPr>
    </w:p>
    <w:p>
      <w:pPr>
        <w:ind w:left="1640" w:right="1039"/>
        <w:spacing w:after="0" w:line="283" w:lineRule="auto"/>
        <w:rPr>
          <w:sz w:val="20"/>
          <w:szCs w:val="20"/>
          <w:color w:val="auto"/>
        </w:rPr>
      </w:pPr>
      <w:r>
        <w:rPr>
          <w:rFonts w:ascii="Arial" w:cs="Arial" w:eastAsia="Arial" w:hAnsi="Arial"/>
          <w:sz w:val="17"/>
          <w:szCs w:val="17"/>
          <w:color w:val="003551"/>
        </w:rPr>
        <w:t>Except as required by law, the company may treat the registered holder of a share as the absolute owner of that share and:</w:t>
      </w:r>
    </w:p>
    <w:p>
      <w:pPr>
        <w:spacing w:after="0" w:line="37" w:lineRule="exact"/>
        <w:rPr>
          <w:sz w:val="20"/>
          <w:szCs w:val="20"/>
          <w:color w:val="auto"/>
        </w:rPr>
      </w:pPr>
    </w:p>
    <w:p>
      <w:pPr>
        <w:ind w:left="2320" w:right="859" w:hanging="335"/>
        <w:spacing w:after="0" w:line="283" w:lineRule="auto"/>
        <w:tabs>
          <w:tab w:leader="none" w:pos="2320" w:val="left"/>
        </w:tabs>
        <w:numPr>
          <w:ilvl w:val="0"/>
          <w:numId w:val="147"/>
        </w:numPr>
        <w:rPr>
          <w:rFonts w:ascii="Arial" w:cs="Arial" w:eastAsia="Arial" w:hAnsi="Arial"/>
          <w:sz w:val="17"/>
          <w:szCs w:val="17"/>
          <w:color w:val="003551"/>
        </w:rPr>
      </w:pPr>
      <w:r>
        <w:rPr>
          <w:rFonts w:ascii="Arial" w:cs="Arial" w:eastAsia="Arial" w:hAnsi="Arial"/>
          <w:sz w:val="17"/>
          <w:szCs w:val="17"/>
          <w:color w:val="003551"/>
        </w:rPr>
        <w:t>is not required to recognise a person as holding any share on any trust, even if the company has notice of the trust; and</w:t>
      </w:r>
    </w:p>
    <w:p>
      <w:pPr>
        <w:spacing w:after="0" w:line="36" w:lineRule="exact"/>
        <w:rPr>
          <w:rFonts w:ascii="Arial" w:cs="Arial" w:eastAsia="Arial" w:hAnsi="Arial"/>
          <w:sz w:val="17"/>
          <w:szCs w:val="17"/>
          <w:color w:val="003551"/>
        </w:rPr>
      </w:pPr>
    </w:p>
    <w:p>
      <w:pPr>
        <w:ind w:left="2320" w:right="599" w:hanging="335"/>
        <w:spacing w:after="0" w:line="262" w:lineRule="auto"/>
        <w:tabs>
          <w:tab w:leader="none" w:pos="2320" w:val="left"/>
        </w:tabs>
        <w:numPr>
          <w:ilvl w:val="0"/>
          <w:numId w:val="147"/>
        </w:numPr>
        <w:rPr>
          <w:rFonts w:ascii="Arial" w:cs="Arial" w:eastAsia="Arial" w:hAnsi="Arial"/>
          <w:sz w:val="17"/>
          <w:szCs w:val="17"/>
          <w:color w:val="003551"/>
        </w:rPr>
      </w:pPr>
      <w:r>
        <w:rPr>
          <w:rFonts w:ascii="Arial" w:cs="Arial" w:eastAsia="Arial" w:hAnsi="Arial"/>
          <w:sz w:val="17"/>
          <w:szCs w:val="17"/>
          <w:color w:val="003551"/>
        </w:rPr>
        <w:t>is not required to recognise, and is not bound by, any interest in or claim to any share, except for the registered holder’s absolute legal ownership of the share, even if the company has notice of that interest or claim.</w:t>
      </w:r>
    </w:p>
    <w:p>
      <w:pPr>
        <w:spacing w:after="0" w:line="52"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12.12</w:t>
        <w:tab/>
        <w:t>Certificates for shares</w:t>
      </w:r>
    </w:p>
    <w:p>
      <w:pPr>
        <w:spacing w:after="0" w:line="108" w:lineRule="exact"/>
        <w:rPr>
          <w:sz w:val="20"/>
          <w:szCs w:val="20"/>
          <w:color w:val="auto"/>
        </w:rPr>
      </w:pPr>
    </w:p>
    <w:p>
      <w:pPr>
        <w:jc w:val="both"/>
        <w:ind w:left="1980" w:right="399" w:hanging="344"/>
        <w:spacing w:after="0" w:line="255" w:lineRule="auto"/>
        <w:tabs>
          <w:tab w:leader="none" w:pos="1980" w:val="left"/>
        </w:tabs>
        <w:numPr>
          <w:ilvl w:val="0"/>
          <w:numId w:val="148"/>
        </w:numPr>
        <w:rPr>
          <w:rFonts w:ascii="Arial" w:cs="Arial" w:eastAsia="Arial" w:hAnsi="Arial"/>
          <w:sz w:val="17"/>
          <w:szCs w:val="17"/>
          <w:color w:val="003551"/>
        </w:rPr>
      </w:pPr>
      <w:r>
        <w:rPr>
          <w:rFonts w:ascii="Arial" w:cs="Arial" w:eastAsia="Arial" w:hAnsi="Arial"/>
          <w:sz w:val="17"/>
          <w:szCs w:val="17"/>
          <w:color w:val="003551"/>
        </w:rPr>
        <w:t xml:space="preserve">If the company participates in a computerised or electronic share transfer system conducted in accordance with the Listing Rules </w:t>
      </w:r>
      <w:r>
        <w:rPr>
          <w:rFonts w:ascii="Arial" w:cs="Arial" w:eastAsia="Arial" w:hAnsi="Arial"/>
          <w:sz w:val="17"/>
          <w:szCs w:val="17"/>
          <w:color w:val="0000FF"/>
        </w:rPr>
        <w:t>and the Securities Laws</w:t>
      </w:r>
      <w:r>
        <w:rPr>
          <w:rFonts w:ascii="Arial" w:cs="Arial" w:eastAsia="Arial" w:hAnsi="Arial"/>
          <w:sz w:val="17"/>
          <w:szCs w:val="17"/>
          <w:color w:val="000000"/>
        </w:rPr>
        <w:t>, the company is not required to</w:t>
      </w:r>
      <w:r>
        <w:rPr>
          <w:rFonts w:ascii="Arial" w:cs="Arial" w:eastAsia="Arial" w:hAnsi="Arial"/>
          <w:sz w:val="17"/>
          <w:szCs w:val="17"/>
          <w:color w:val="003551"/>
        </w:rPr>
        <w:t xml:space="preserve"> </w:t>
      </w:r>
      <w:r>
        <w:rPr>
          <w:rFonts w:ascii="Arial" w:cs="Arial" w:eastAsia="Arial" w:hAnsi="Arial"/>
          <w:sz w:val="17"/>
          <w:szCs w:val="17"/>
          <w:color w:val="000000"/>
        </w:rPr>
        <w:t xml:space="preserve">issue a certificate for the shares held by a holder and may cancel a certificate without issuing another certificate where permitted to do so by the Listing Rules </w:t>
      </w:r>
      <w:r>
        <w:rPr>
          <w:rFonts w:ascii="Arial" w:cs="Arial" w:eastAsia="Arial" w:hAnsi="Arial"/>
          <w:sz w:val="17"/>
          <w:szCs w:val="17"/>
          <w:color w:val="0000FF"/>
        </w:rPr>
        <w:t>and the Securities Laws</w:t>
      </w:r>
      <w:r>
        <w:rPr>
          <w:rFonts w:ascii="Arial" w:cs="Arial" w:eastAsia="Arial" w:hAnsi="Arial"/>
          <w:sz w:val="17"/>
          <w:szCs w:val="17"/>
          <w:color w:val="000000"/>
        </w:rPr>
        <w:t>.</w:t>
      </w:r>
    </w:p>
    <w:p>
      <w:pPr>
        <w:spacing w:after="0" w:line="59" w:lineRule="exact"/>
        <w:rPr>
          <w:rFonts w:ascii="Arial" w:cs="Arial" w:eastAsia="Arial" w:hAnsi="Arial"/>
          <w:sz w:val="17"/>
          <w:szCs w:val="17"/>
          <w:color w:val="003551"/>
        </w:rPr>
      </w:pPr>
    </w:p>
    <w:p>
      <w:pPr>
        <w:ind w:left="1980" w:right="759" w:hanging="344"/>
        <w:spacing w:after="0" w:line="262" w:lineRule="auto"/>
        <w:tabs>
          <w:tab w:leader="none" w:pos="1980" w:val="left"/>
        </w:tabs>
        <w:numPr>
          <w:ilvl w:val="0"/>
          <w:numId w:val="148"/>
        </w:numPr>
        <w:rPr>
          <w:rFonts w:ascii="Arial" w:cs="Arial" w:eastAsia="Arial" w:hAnsi="Arial"/>
          <w:sz w:val="17"/>
          <w:szCs w:val="17"/>
          <w:color w:val="003551"/>
        </w:rPr>
      </w:pPr>
      <w:r>
        <w:rPr>
          <w:rFonts w:ascii="Arial" w:cs="Arial" w:eastAsia="Arial" w:hAnsi="Arial"/>
          <w:sz w:val="17"/>
          <w:szCs w:val="17"/>
          <w:color w:val="003551"/>
        </w:rPr>
        <w:t>If shares are not subject to a computerised or electronic share transfer system and the company is required by the Corporations Act to issue certificates for any shares, or if the board otherwise determines to issue certificates for any shares, then the company:</w:t>
      </w:r>
    </w:p>
    <w:p>
      <w:pPr>
        <w:spacing w:after="0" w:line="54" w:lineRule="exact"/>
        <w:rPr>
          <w:rFonts w:ascii="Arial" w:cs="Arial" w:eastAsia="Arial" w:hAnsi="Arial"/>
          <w:sz w:val="17"/>
          <w:szCs w:val="17"/>
          <w:color w:val="003551"/>
        </w:rPr>
      </w:pPr>
    </w:p>
    <w:p>
      <w:pPr>
        <w:ind w:left="2680" w:right="1399" w:hanging="346"/>
        <w:spacing w:after="0" w:line="283" w:lineRule="auto"/>
        <w:tabs>
          <w:tab w:leader="none" w:pos="2680" w:val="left"/>
        </w:tabs>
        <w:numPr>
          <w:ilvl w:val="1"/>
          <w:numId w:val="148"/>
        </w:numPr>
        <w:rPr>
          <w:rFonts w:ascii="Arial" w:cs="Arial" w:eastAsia="Arial" w:hAnsi="Arial"/>
          <w:sz w:val="17"/>
          <w:szCs w:val="17"/>
          <w:color w:val="003551"/>
        </w:rPr>
      </w:pPr>
      <w:r>
        <w:rPr>
          <w:rFonts w:ascii="Arial" w:cs="Arial" w:eastAsia="Arial" w:hAnsi="Arial"/>
          <w:sz w:val="17"/>
          <w:szCs w:val="17"/>
          <w:color w:val="003551"/>
        </w:rPr>
        <w:t>must issue such certificates in accordance with the requirements of the Corporations Act and otherwise in such form as the directors think fit;</w:t>
      </w:r>
    </w:p>
    <w:p>
      <w:pPr>
        <w:spacing w:after="0" w:line="36" w:lineRule="exact"/>
        <w:rPr>
          <w:rFonts w:ascii="Arial" w:cs="Arial" w:eastAsia="Arial" w:hAnsi="Arial"/>
          <w:sz w:val="17"/>
          <w:szCs w:val="17"/>
          <w:color w:val="003551"/>
        </w:rPr>
      </w:pPr>
    </w:p>
    <w:p>
      <w:pPr>
        <w:ind w:left="2680" w:right="579" w:hanging="346"/>
        <w:spacing w:after="0" w:line="283" w:lineRule="auto"/>
        <w:tabs>
          <w:tab w:leader="none" w:pos="2680" w:val="left"/>
        </w:tabs>
        <w:numPr>
          <w:ilvl w:val="1"/>
          <w:numId w:val="148"/>
        </w:numPr>
        <w:rPr>
          <w:rFonts w:ascii="Arial" w:cs="Arial" w:eastAsia="Arial" w:hAnsi="Arial"/>
          <w:sz w:val="17"/>
          <w:szCs w:val="17"/>
          <w:color w:val="003551"/>
        </w:rPr>
      </w:pPr>
      <w:r>
        <w:rPr>
          <w:rFonts w:ascii="Arial" w:cs="Arial" w:eastAsia="Arial" w:hAnsi="Arial"/>
          <w:sz w:val="17"/>
          <w:szCs w:val="17"/>
          <w:color w:val="003551"/>
        </w:rPr>
        <w:t>may cancel any certificates and replace lost, destroyed or damaged certificates in such manner as the directors think fit; and</w:t>
      </w:r>
    </w:p>
    <w:p>
      <w:pPr>
        <w:spacing w:after="0" w:line="36" w:lineRule="exact"/>
        <w:rPr>
          <w:rFonts w:ascii="Arial" w:cs="Arial" w:eastAsia="Arial" w:hAnsi="Arial"/>
          <w:sz w:val="17"/>
          <w:szCs w:val="17"/>
          <w:color w:val="003551"/>
        </w:rPr>
      </w:pPr>
    </w:p>
    <w:p>
      <w:pPr>
        <w:ind w:left="2680" w:hanging="346"/>
        <w:spacing w:after="0"/>
        <w:tabs>
          <w:tab w:leader="none" w:pos="2680" w:val="left"/>
        </w:tabs>
        <w:numPr>
          <w:ilvl w:val="1"/>
          <w:numId w:val="148"/>
        </w:numPr>
        <w:rPr>
          <w:rFonts w:ascii="Arial" w:cs="Arial" w:eastAsia="Arial" w:hAnsi="Arial"/>
          <w:sz w:val="17"/>
          <w:szCs w:val="17"/>
          <w:color w:val="003551"/>
        </w:rPr>
      </w:pPr>
      <w:r>
        <w:rPr>
          <w:rFonts w:ascii="Arial" w:cs="Arial" w:eastAsia="Arial" w:hAnsi="Arial"/>
          <w:sz w:val="17"/>
          <w:szCs w:val="17"/>
          <w:color w:val="003551"/>
        </w:rPr>
        <w:t>is only required to issue one certificate in respect of any shares jointly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3023870</wp:posOffset>
            </wp:positionH>
            <wp:positionV relativeFrom="paragraph">
              <wp:posOffset>-1501775</wp:posOffset>
            </wp:positionV>
            <wp:extent cx="120586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05865" cy="8255"/>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-1518285</wp:posOffset>
            </wp:positionV>
            <wp:extent cx="120777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07770" cy="8255"/>
                    </a:xfrm>
                    <a:prstGeom prst="rect">
                      <a:avLst/>
                    </a:prstGeom>
                    <a:noFill/>
                  </pic:spPr>
                </pic:pic>
              </a:graphicData>
            </a:graphic>
          </wp:anchor>
        </w:drawing>
        <w:drawing>
          <wp:anchor simplePos="0" relativeHeight="251657728" behindDoc="1" locked="0" layoutInCell="0" allowOverlap="1">
            <wp:simplePos x="0" y="0"/>
            <wp:positionH relativeFrom="column">
              <wp:posOffset>4387850</wp:posOffset>
            </wp:positionH>
            <wp:positionV relativeFrom="paragraph">
              <wp:posOffset>-1252220</wp:posOffset>
            </wp:positionV>
            <wp:extent cx="120586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0586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-1268730</wp:posOffset>
            </wp:positionV>
            <wp:extent cx="120777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07770" cy="8255"/>
                    </a:xfrm>
                    <a:prstGeom prst="rect">
                      <a:avLst/>
                    </a:prstGeom>
                    <a:noFill/>
                  </pic:spPr>
                </pic:pic>
              </a:graphicData>
            </a:graphic>
          </wp:anchor>
        </w:drawing>
      </w:r>
    </w:p>
    <w:p>
      <w:pPr>
        <w:spacing w:after="0" w:line="19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127635</wp:posOffset>
            </wp:positionV>
            <wp:extent cx="6786880" cy="1651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13</w:t>
      </w:r>
      <w:r>
        <w:rPr>
          <w:sz w:val="20"/>
          <w:szCs w:val="20"/>
          <w:color w:val="auto"/>
        </w:rPr>
        <w:tab/>
      </w:r>
      <w:r>
        <w:rPr>
          <w:rFonts w:ascii="Arial" w:cs="Arial" w:eastAsia="Arial" w:hAnsi="Arial"/>
          <w:sz w:val="17"/>
          <w:szCs w:val="17"/>
          <w:b w:val="1"/>
          <w:bCs w:val="1"/>
          <w:color w:val="003551"/>
        </w:rPr>
        <w:t>TRANSFER OF SHARES</w:t>
      </w:r>
    </w:p>
    <w:p>
      <w:pPr>
        <w:spacing w:after="0" w:line="106"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13.1</w:t>
      </w:r>
      <w:r>
        <w:rPr>
          <w:sz w:val="20"/>
          <w:szCs w:val="20"/>
          <w:color w:val="auto"/>
        </w:rPr>
        <w:tab/>
      </w:r>
      <w:r>
        <w:rPr>
          <w:rFonts w:ascii="Arial" w:cs="Arial" w:eastAsia="Arial" w:hAnsi="Arial"/>
          <w:sz w:val="17"/>
          <w:szCs w:val="17"/>
          <w:b w:val="1"/>
          <w:bCs w:val="1"/>
          <w:color w:val="003551"/>
        </w:rPr>
        <w:t>Participation in computerised or electronic systems</w:t>
      </w:r>
    </w:p>
    <w:p>
      <w:pPr>
        <w:spacing w:after="0" w:line="108" w:lineRule="exact"/>
        <w:rPr>
          <w:sz w:val="20"/>
          <w:szCs w:val="20"/>
          <w:color w:val="auto"/>
        </w:rPr>
      </w:pPr>
    </w:p>
    <w:p>
      <w:pPr>
        <w:ind w:left="1640" w:right="619"/>
        <w:spacing w:after="0" w:line="251" w:lineRule="auto"/>
        <w:rPr>
          <w:sz w:val="20"/>
          <w:szCs w:val="20"/>
          <w:color w:val="auto"/>
        </w:rPr>
      </w:pPr>
      <w:r>
        <w:rPr>
          <w:rFonts w:ascii="Arial" w:cs="Arial" w:eastAsia="Arial" w:hAnsi="Arial"/>
          <w:sz w:val="17"/>
          <w:szCs w:val="17"/>
          <w:color w:val="003551"/>
        </w:rPr>
        <w:t xml:space="preserve">The board may do anything it considers necessary or desirable and that is permitted under the Corporations Act </w:t>
      </w:r>
      <w:r>
        <w:rPr>
          <w:rFonts w:ascii="Arial" w:cs="Arial" w:eastAsia="Arial" w:hAnsi="Arial"/>
          <w:sz w:val="17"/>
          <w:szCs w:val="17"/>
          <w:color w:val="FF0000"/>
        </w:rPr>
        <w:t>and</w:t>
      </w:r>
      <w:r>
        <w:rPr>
          <w:rFonts w:ascii="Arial" w:cs="Arial" w:eastAsia="Arial" w:hAnsi="Arial"/>
          <w:sz w:val="17"/>
          <w:szCs w:val="17"/>
          <w:u w:val="single" w:color="auto"/>
          <w:color w:val="0000FF"/>
        </w:rPr>
        <w:t>,</w:t>
      </w:r>
      <w:r>
        <w:rPr>
          <w:rFonts w:ascii="Arial" w:cs="Arial" w:eastAsia="Arial" w:hAnsi="Arial"/>
          <w:sz w:val="17"/>
          <w:szCs w:val="17"/>
          <w:color w:val="003551"/>
        </w:rPr>
        <w:t xml:space="preserve"> </w:t>
      </w:r>
      <w:r>
        <w:rPr>
          <w:rFonts w:ascii="Arial" w:cs="Arial" w:eastAsia="Arial" w:hAnsi="Arial"/>
          <w:sz w:val="17"/>
          <w:szCs w:val="17"/>
          <w:color w:val="000000"/>
        </w:rPr>
        <w:t>the Listing Rules</w:t>
      </w:r>
      <w:r>
        <w:rPr>
          <w:rFonts w:ascii="Arial" w:cs="Arial" w:eastAsia="Arial" w:hAnsi="Arial"/>
          <w:sz w:val="17"/>
          <w:szCs w:val="17"/>
          <w:color w:val="003551"/>
        </w:rPr>
        <w:t xml:space="preserve"> </w:t>
      </w:r>
      <w:r>
        <w:rPr>
          <w:rFonts w:ascii="Arial" w:cs="Arial" w:eastAsia="Arial" w:hAnsi="Arial"/>
          <w:sz w:val="17"/>
          <w:szCs w:val="17"/>
          <w:u w:val="single" w:color="auto"/>
          <w:color w:val="0000FF"/>
        </w:rPr>
        <w:t>and the Securities Laws</w:t>
      </w:r>
      <w:r>
        <w:rPr>
          <w:rFonts w:ascii="Arial" w:cs="Arial" w:eastAsia="Arial" w:hAnsi="Arial"/>
          <w:sz w:val="17"/>
          <w:szCs w:val="17"/>
          <w:color w:val="003551"/>
        </w:rPr>
        <w:t xml:space="preserve"> </w:t>
      </w:r>
      <w:r>
        <w:rPr>
          <w:rFonts w:ascii="Arial" w:cs="Arial" w:eastAsia="Arial" w:hAnsi="Arial"/>
          <w:sz w:val="17"/>
          <w:szCs w:val="17"/>
          <w:color w:val="000000"/>
        </w:rPr>
        <w:t>to facilitate the company’s</w:t>
      </w:r>
      <w:r>
        <w:rPr>
          <w:rFonts w:ascii="Arial" w:cs="Arial" w:eastAsia="Arial" w:hAnsi="Arial"/>
          <w:sz w:val="17"/>
          <w:szCs w:val="17"/>
          <w:color w:val="003551"/>
        </w:rPr>
        <w:t xml:space="preserve"> </w:t>
      </w:r>
      <w:r>
        <w:rPr>
          <w:rFonts w:ascii="Arial" w:cs="Arial" w:eastAsia="Arial" w:hAnsi="Arial"/>
          <w:sz w:val="17"/>
          <w:szCs w:val="17"/>
          <w:color w:val="000000"/>
        </w:rPr>
        <w:t xml:space="preserve">participation in any computerised or electronic system established or recognised by the Corporations Act </w:t>
      </w:r>
      <w:r>
        <w:rPr>
          <w:rFonts w:ascii="Arial" w:cs="Arial" w:eastAsia="Arial" w:hAnsi="Arial"/>
          <w:sz w:val="17"/>
          <w:szCs w:val="17"/>
          <w:color w:val="FF0000"/>
        </w:rPr>
        <w:t>or</w:t>
      </w:r>
      <w:r>
        <w:rPr>
          <w:rFonts w:ascii="Arial" w:cs="Arial" w:eastAsia="Arial" w:hAnsi="Arial"/>
          <w:sz w:val="17"/>
          <w:szCs w:val="17"/>
          <w:u w:val="single" w:color="auto"/>
          <w:color w:val="0000FF"/>
        </w:rPr>
        <w:t>,</w:t>
      </w:r>
      <w:r>
        <w:rPr>
          <w:rFonts w:ascii="Arial" w:cs="Arial" w:eastAsia="Arial" w:hAnsi="Arial"/>
          <w:sz w:val="17"/>
          <w:szCs w:val="17"/>
          <w:color w:val="000000"/>
        </w:rPr>
        <w:t xml:space="preserve"> the Listing Rules </w:t>
      </w:r>
      <w:r>
        <w:rPr>
          <w:rFonts w:ascii="Arial" w:cs="Arial" w:eastAsia="Arial" w:hAnsi="Arial"/>
          <w:sz w:val="17"/>
          <w:szCs w:val="17"/>
          <w:u w:val="single" w:color="auto"/>
          <w:color w:val="0000FF"/>
        </w:rPr>
        <w:t>or the Securities Laws</w:t>
      </w:r>
      <w:r>
        <w:rPr>
          <w:rFonts w:ascii="Arial" w:cs="Arial" w:eastAsia="Arial" w:hAnsi="Arial"/>
          <w:sz w:val="17"/>
          <w:szCs w:val="17"/>
          <w:color w:val="000000"/>
        </w:rPr>
        <w:t xml:space="preserve"> for the purposes of facilitating dealings 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1864360</wp:posOffset>
            </wp:positionH>
            <wp:positionV relativeFrom="paragraph">
              <wp:posOffset>-454660</wp:posOffset>
            </wp:positionV>
            <wp:extent cx="21590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15900" cy="8255"/>
                    </a:xfrm>
                    <a:prstGeom prst="rect">
                      <a:avLst/>
                    </a:prstGeom>
                    <a:noFill/>
                  </pic:spPr>
                </pic:pic>
              </a:graphicData>
            </a:graphic>
          </wp:anchor>
        </w:drawing>
        <w:drawing>
          <wp:anchor simplePos="0" relativeHeight="251657728" behindDoc="1" locked="0" layoutInCell="0" allowOverlap="1">
            <wp:simplePos x="0" y="0"/>
            <wp:positionH relativeFrom="column">
              <wp:posOffset>1864360</wp:posOffset>
            </wp:positionH>
            <wp:positionV relativeFrom="paragraph">
              <wp:posOffset>-205105</wp:posOffset>
            </wp:positionV>
            <wp:extent cx="12954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9540" cy="8255"/>
                    </a:xfrm>
                    <a:prstGeom prst="rect">
                      <a:avLst/>
                    </a:prstGeom>
                    <a:noFill/>
                  </pic:spPr>
                </pic:pic>
              </a:graphicData>
            </a:graphic>
          </wp:anchor>
        </w:drawing>
      </w:r>
    </w:p>
    <w:p>
      <w:pPr>
        <w:spacing w:after="0" w:line="43"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13.2</w:t>
      </w:r>
      <w:r>
        <w:rPr>
          <w:sz w:val="20"/>
          <w:szCs w:val="20"/>
          <w:color w:val="auto"/>
        </w:rPr>
        <w:tab/>
      </w:r>
      <w:r>
        <w:rPr>
          <w:rFonts w:ascii="Arial" w:cs="Arial" w:eastAsia="Arial" w:hAnsi="Arial"/>
          <w:sz w:val="17"/>
          <w:szCs w:val="17"/>
          <w:b w:val="1"/>
          <w:bCs w:val="1"/>
          <w:color w:val="003551"/>
        </w:rPr>
        <w:t>Method of transfer</w:t>
      </w:r>
    </w:p>
    <w:p>
      <w:pPr>
        <w:spacing w:after="0" w:line="108" w:lineRule="exact"/>
        <w:rPr>
          <w:sz w:val="20"/>
          <w:szCs w:val="20"/>
          <w:color w:val="auto"/>
        </w:rPr>
      </w:pPr>
    </w:p>
    <w:p>
      <w:pPr>
        <w:ind w:left="1640" w:right="1099"/>
        <w:spacing w:after="0" w:line="283" w:lineRule="auto"/>
        <w:rPr>
          <w:sz w:val="20"/>
          <w:szCs w:val="20"/>
          <w:color w:val="auto"/>
        </w:rPr>
      </w:pPr>
      <w:r>
        <w:rPr>
          <w:rFonts w:ascii="Arial" w:cs="Arial" w:eastAsia="Arial" w:hAnsi="Arial"/>
          <w:sz w:val="17"/>
          <w:szCs w:val="17"/>
          <w:color w:val="003551"/>
        </w:rPr>
        <w:t xml:space="preserve">Subject to this constitution </w:t>
      </w:r>
      <w:r>
        <w:rPr>
          <w:rFonts w:ascii="Arial" w:cs="Arial" w:eastAsia="Arial" w:hAnsi="Arial"/>
          <w:sz w:val="17"/>
          <w:szCs w:val="17"/>
          <w:color w:val="FF0000"/>
        </w:rPr>
        <w:t>and</w:t>
      </w:r>
      <w:r>
        <w:rPr>
          <w:rFonts w:ascii="Arial" w:cs="Arial" w:eastAsia="Arial" w:hAnsi="Arial"/>
          <w:sz w:val="17"/>
          <w:szCs w:val="17"/>
          <w:u w:val="single" w:color="auto"/>
          <w:color w:val="0000FF"/>
        </w:rPr>
        <w:t>,</w:t>
      </w:r>
      <w:r>
        <w:rPr>
          <w:rFonts w:ascii="Arial" w:cs="Arial" w:eastAsia="Arial" w:hAnsi="Arial"/>
          <w:sz w:val="17"/>
          <w:szCs w:val="17"/>
          <w:color w:val="003551"/>
        </w:rPr>
        <w:t xml:space="preserve"> </w:t>
      </w:r>
      <w:r>
        <w:rPr>
          <w:rFonts w:ascii="Arial" w:cs="Arial" w:eastAsia="Arial" w:hAnsi="Arial"/>
          <w:sz w:val="17"/>
          <w:szCs w:val="17"/>
          <w:color w:val="000000"/>
        </w:rPr>
        <w:t>the Listing Rules</w:t>
      </w:r>
      <w:r>
        <w:rPr>
          <w:rFonts w:ascii="Arial" w:cs="Arial" w:eastAsia="Arial" w:hAnsi="Arial"/>
          <w:sz w:val="17"/>
          <w:szCs w:val="17"/>
          <w:color w:val="003551"/>
        </w:rPr>
        <w:t xml:space="preserve"> </w:t>
      </w:r>
      <w:r>
        <w:rPr>
          <w:rFonts w:ascii="Arial" w:cs="Arial" w:eastAsia="Arial" w:hAnsi="Arial"/>
          <w:sz w:val="17"/>
          <w:szCs w:val="17"/>
          <w:color w:val="0000FF"/>
        </w:rPr>
        <w:t>and the Securities Laws</w:t>
      </w:r>
      <w:r>
        <w:rPr>
          <w:rFonts w:ascii="Arial" w:cs="Arial" w:eastAsia="Arial" w:hAnsi="Arial"/>
          <w:sz w:val="17"/>
          <w:szCs w:val="17"/>
          <w:color w:val="000000"/>
        </w:rPr>
        <w:t>, a share in the</w:t>
      </w:r>
      <w:r>
        <w:rPr>
          <w:rFonts w:ascii="Arial" w:cs="Arial" w:eastAsia="Arial" w:hAnsi="Arial"/>
          <w:sz w:val="17"/>
          <w:szCs w:val="17"/>
          <w:color w:val="003551"/>
        </w:rPr>
        <w:t xml:space="preserve"> </w:t>
      </w:r>
      <w:r>
        <w:rPr>
          <w:rFonts w:ascii="Arial" w:cs="Arial" w:eastAsia="Arial" w:hAnsi="Arial"/>
          <w:sz w:val="17"/>
          <w:szCs w:val="17"/>
          <w:color w:val="000000"/>
        </w:rPr>
        <w:t>company is transferable: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2326640</wp:posOffset>
            </wp:positionH>
            <wp:positionV relativeFrom="paragraph">
              <wp:posOffset>-222885</wp:posOffset>
            </wp:positionV>
            <wp:extent cx="21590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15900" cy="825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-156845</wp:posOffset>
            </wp:positionV>
            <wp:extent cx="120586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05865" cy="825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-173355</wp:posOffset>
            </wp:positionV>
            <wp:extent cx="120777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07770" cy="8255"/>
                    </a:xfrm>
                    <a:prstGeom prst="rect">
                      <a:avLst/>
                    </a:prstGeom>
                    <a:noFill/>
                  </pic:spPr>
                </pic:pic>
              </a:graphicData>
            </a:graphic>
          </wp:anchor>
        </w:drawing>
      </w:r>
    </w:p>
    <w:p>
      <w:pPr>
        <w:spacing w:after="0" w:line="17" w:lineRule="exact"/>
        <w:rPr>
          <w:sz w:val="20"/>
          <w:szCs w:val="20"/>
          <w:color w:val="auto"/>
        </w:rPr>
      </w:pPr>
    </w:p>
    <w:p>
      <w:pPr>
        <w:ind w:left="2320" w:right="1099" w:hanging="335"/>
        <w:spacing w:after="0" w:line="283" w:lineRule="auto"/>
        <w:tabs>
          <w:tab w:leader="none" w:pos="2320" w:val="left"/>
        </w:tabs>
        <w:numPr>
          <w:ilvl w:val="0"/>
          <w:numId w:val="149"/>
        </w:numPr>
        <w:rPr>
          <w:rFonts w:ascii="Arial" w:cs="Arial" w:eastAsia="Arial" w:hAnsi="Arial"/>
          <w:sz w:val="17"/>
          <w:szCs w:val="17"/>
          <w:color w:val="003551"/>
        </w:rPr>
      </w:pPr>
      <w:r>
        <w:rPr>
          <w:rFonts w:ascii="Arial" w:cs="Arial" w:eastAsia="Arial" w:hAnsi="Arial"/>
          <w:sz w:val="17"/>
          <w:szCs w:val="17"/>
          <w:color w:val="003551"/>
        </w:rPr>
        <w:t>by means of a written instrument of transfer in any usual form or any other form approved by the board and permitted by law and which:</w:t>
      </w:r>
    </w:p>
    <w:p>
      <w:pPr>
        <w:spacing w:after="0" w:line="36" w:lineRule="exact"/>
        <w:rPr>
          <w:rFonts w:ascii="Arial" w:cs="Arial" w:eastAsia="Arial" w:hAnsi="Arial"/>
          <w:sz w:val="17"/>
          <w:szCs w:val="17"/>
          <w:color w:val="003551"/>
        </w:rPr>
      </w:pPr>
    </w:p>
    <w:p>
      <w:pPr>
        <w:ind w:left="2680" w:right="559" w:hanging="346"/>
        <w:spacing w:after="0" w:line="262" w:lineRule="auto"/>
        <w:tabs>
          <w:tab w:leader="none" w:pos="2680" w:val="left"/>
        </w:tabs>
        <w:numPr>
          <w:ilvl w:val="1"/>
          <w:numId w:val="149"/>
        </w:numPr>
        <w:rPr>
          <w:rFonts w:ascii="Arial" w:cs="Arial" w:eastAsia="Arial" w:hAnsi="Arial"/>
          <w:sz w:val="17"/>
          <w:szCs w:val="17"/>
          <w:color w:val="003551"/>
        </w:rPr>
      </w:pPr>
      <w:r>
        <w:rPr>
          <w:rFonts w:ascii="Arial" w:cs="Arial" w:eastAsia="Arial" w:hAnsi="Arial"/>
          <w:sz w:val="17"/>
          <w:szCs w:val="17"/>
          <w:color w:val="003551"/>
        </w:rPr>
        <w:t>has been signed by or on behalf of both the transferor or transferee (unless the transfer relates only to fully paid shares and the board has resolved that signature by the transferee is not required); or</w:t>
      </w:r>
    </w:p>
    <w:p>
      <w:pPr>
        <w:spacing w:after="0" w:line="54" w:lineRule="exact"/>
        <w:rPr>
          <w:rFonts w:ascii="Arial" w:cs="Arial" w:eastAsia="Arial" w:hAnsi="Arial"/>
          <w:sz w:val="17"/>
          <w:szCs w:val="17"/>
          <w:color w:val="003551"/>
        </w:rPr>
      </w:pPr>
    </w:p>
    <w:p>
      <w:pPr>
        <w:ind w:left="2680" w:right="859" w:hanging="346"/>
        <w:spacing w:after="0" w:line="283" w:lineRule="auto"/>
        <w:tabs>
          <w:tab w:leader="none" w:pos="2680" w:val="left"/>
        </w:tabs>
        <w:numPr>
          <w:ilvl w:val="1"/>
          <w:numId w:val="149"/>
        </w:numPr>
        <w:rPr>
          <w:rFonts w:ascii="Arial" w:cs="Arial" w:eastAsia="Arial" w:hAnsi="Arial"/>
          <w:sz w:val="17"/>
          <w:szCs w:val="17"/>
          <w:color w:val="003551"/>
        </w:rPr>
      </w:pPr>
      <w:r>
        <w:rPr>
          <w:rFonts w:ascii="Arial" w:cs="Arial" w:eastAsia="Arial" w:hAnsi="Arial"/>
          <w:sz w:val="17"/>
          <w:szCs w:val="17"/>
          <w:color w:val="003551"/>
        </w:rPr>
        <w:t>is a document that is, or is comprised of documents that together constitute, a sufficient transfer of that share under the Corporations Act; or</w:t>
      </w:r>
    </w:p>
    <w:p>
      <w:pPr>
        <w:spacing w:after="0" w:line="36" w:lineRule="exact"/>
        <w:rPr>
          <w:rFonts w:ascii="Arial" w:cs="Arial" w:eastAsia="Arial" w:hAnsi="Arial"/>
          <w:sz w:val="17"/>
          <w:szCs w:val="17"/>
          <w:color w:val="003551"/>
        </w:rPr>
      </w:pPr>
    </w:p>
    <w:p>
      <w:pPr>
        <w:ind w:left="2320" w:hanging="335"/>
        <w:spacing w:after="0"/>
        <w:tabs>
          <w:tab w:leader="none" w:pos="2320" w:val="left"/>
        </w:tabs>
        <w:numPr>
          <w:ilvl w:val="0"/>
          <w:numId w:val="149"/>
        </w:numPr>
        <w:rPr>
          <w:rFonts w:ascii="Arial" w:cs="Arial" w:eastAsia="Arial" w:hAnsi="Arial"/>
          <w:sz w:val="17"/>
          <w:szCs w:val="17"/>
          <w:color w:val="003551"/>
        </w:rPr>
      </w:pPr>
      <w:r>
        <w:rPr>
          <w:rFonts w:ascii="Arial" w:cs="Arial" w:eastAsia="Arial" w:hAnsi="Arial"/>
          <w:sz w:val="17"/>
          <w:szCs w:val="17"/>
          <w:color w:val="003551"/>
        </w:rPr>
        <w:t>by any other method of transfer permitted by the Corporations Act.</w:t>
      </w:r>
    </w:p>
    <w:p>
      <w:pPr>
        <w:spacing w:after="0" w:line="104"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13.3</w:t>
      </w:r>
      <w:r>
        <w:rPr>
          <w:sz w:val="20"/>
          <w:szCs w:val="20"/>
          <w:color w:val="auto"/>
        </w:rPr>
        <w:tab/>
      </w:r>
      <w:r>
        <w:rPr>
          <w:rFonts w:ascii="Arial" w:cs="Arial" w:eastAsia="Arial" w:hAnsi="Arial"/>
          <w:sz w:val="17"/>
          <w:szCs w:val="17"/>
          <w:b w:val="1"/>
          <w:bCs w:val="1"/>
          <w:color w:val="003551"/>
        </w:rPr>
        <w:t>Written instrument of transfer</w:t>
      </w:r>
    </w:p>
    <w:p>
      <w:pPr>
        <w:spacing w:after="0" w:line="134"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 xml:space="preserve">A written instrument of transfer used to transfer a share in accordance with </w:t>
      </w:r>
      <w:r>
        <w:rPr>
          <w:rFonts w:ascii="Arial" w:cs="Arial" w:eastAsia="Arial" w:hAnsi="Arial"/>
          <w:sz w:val="17"/>
          <w:szCs w:val="17"/>
          <w:u w:val="single" w:color="auto"/>
          <w:color w:val="003551"/>
        </w:rPr>
        <w:t>rule 13.2</w:t>
      </w:r>
      <w:r>
        <w:rPr>
          <w:rFonts w:ascii="Arial" w:cs="Arial" w:eastAsia="Arial" w:hAnsi="Arial"/>
          <w:sz w:val="17"/>
          <w:szCs w:val="17"/>
          <w:color w:val="003551"/>
        </w:rPr>
        <w:t xml:space="preserve"> must be:</w:t>
      </w:r>
    </w:p>
    <w:p>
      <w:pPr>
        <w:spacing w:after="0" w:line="106" w:lineRule="exact"/>
        <w:rPr>
          <w:sz w:val="20"/>
          <w:szCs w:val="20"/>
          <w:color w:val="auto"/>
        </w:rPr>
      </w:pPr>
    </w:p>
    <w:p>
      <w:pPr>
        <w:ind w:left="2320" w:hanging="335"/>
        <w:spacing w:after="0"/>
        <w:tabs>
          <w:tab w:leader="none" w:pos="2320" w:val="left"/>
        </w:tabs>
        <w:numPr>
          <w:ilvl w:val="0"/>
          <w:numId w:val="150"/>
        </w:numPr>
        <w:rPr>
          <w:rFonts w:ascii="Arial" w:cs="Arial" w:eastAsia="Arial" w:hAnsi="Arial"/>
          <w:sz w:val="17"/>
          <w:szCs w:val="17"/>
          <w:color w:val="003551"/>
        </w:rPr>
      </w:pPr>
      <w:r>
        <w:rPr>
          <w:rFonts w:ascii="Arial" w:cs="Arial" w:eastAsia="Arial" w:hAnsi="Arial"/>
          <w:sz w:val="17"/>
          <w:szCs w:val="17"/>
          <w:color w:val="003551"/>
        </w:rPr>
        <w:t>duly stamped if required by law;</w:t>
      </w:r>
    </w:p>
    <w:p>
      <w:pPr>
        <w:spacing w:after="0" w:line="105" w:lineRule="exact"/>
        <w:rPr>
          <w:rFonts w:ascii="Arial" w:cs="Arial" w:eastAsia="Arial" w:hAnsi="Arial"/>
          <w:sz w:val="17"/>
          <w:szCs w:val="17"/>
          <w:color w:val="003551"/>
        </w:rPr>
      </w:pPr>
    </w:p>
    <w:p>
      <w:pPr>
        <w:ind w:left="2320" w:right="479" w:hanging="335"/>
        <w:spacing w:after="0" w:line="283" w:lineRule="auto"/>
        <w:tabs>
          <w:tab w:leader="none" w:pos="2320" w:val="left"/>
        </w:tabs>
        <w:numPr>
          <w:ilvl w:val="0"/>
          <w:numId w:val="150"/>
        </w:numPr>
        <w:rPr>
          <w:rFonts w:ascii="Arial" w:cs="Arial" w:eastAsia="Arial" w:hAnsi="Arial"/>
          <w:sz w:val="17"/>
          <w:szCs w:val="17"/>
          <w:color w:val="003551"/>
        </w:rPr>
      </w:pPr>
      <w:r>
        <w:rPr>
          <w:rFonts w:ascii="Arial" w:cs="Arial" w:eastAsia="Arial" w:hAnsi="Arial"/>
          <w:sz w:val="17"/>
          <w:szCs w:val="17"/>
          <w:color w:val="003551"/>
        </w:rPr>
        <w:t>left for registration at the company’s registered office or, if different, the place where the Register is kept; and</w:t>
      </w:r>
    </w:p>
    <w:p>
      <w:pPr>
        <w:spacing w:after="0" w:line="36" w:lineRule="exact"/>
        <w:rPr>
          <w:rFonts w:ascii="Arial" w:cs="Arial" w:eastAsia="Arial" w:hAnsi="Arial"/>
          <w:sz w:val="17"/>
          <w:szCs w:val="17"/>
          <w:color w:val="003551"/>
        </w:rPr>
      </w:pPr>
    </w:p>
    <w:p>
      <w:pPr>
        <w:jc w:val="both"/>
        <w:ind w:left="2320" w:right="559" w:hanging="335"/>
        <w:spacing w:after="0" w:line="262" w:lineRule="auto"/>
        <w:tabs>
          <w:tab w:leader="none" w:pos="2320" w:val="left"/>
        </w:tabs>
        <w:numPr>
          <w:ilvl w:val="0"/>
          <w:numId w:val="150"/>
        </w:numPr>
        <w:rPr>
          <w:rFonts w:ascii="Arial" w:cs="Arial" w:eastAsia="Arial" w:hAnsi="Arial"/>
          <w:sz w:val="17"/>
          <w:szCs w:val="17"/>
          <w:color w:val="003551"/>
        </w:rPr>
      </w:pPr>
      <w:r>
        <w:rPr>
          <w:rFonts w:ascii="Arial" w:cs="Arial" w:eastAsia="Arial" w:hAnsi="Arial"/>
          <w:sz w:val="17"/>
          <w:szCs w:val="17"/>
          <w:color w:val="003551"/>
        </w:rPr>
        <w:t xml:space="preserve">subject to the Listing Rules </w:t>
      </w:r>
      <w:r>
        <w:rPr>
          <w:rFonts w:ascii="Arial" w:cs="Arial" w:eastAsia="Arial" w:hAnsi="Arial"/>
          <w:sz w:val="17"/>
          <w:szCs w:val="17"/>
          <w:color w:val="0000FF"/>
        </w:rPr>
        <w:t>and the Securities Laws</w:t>
      </w:r>
      <w:r>
        <w:rPr>
          <w:rFonts w:ascii="Arial" w:cs="Arial" w:eastAsia="Arial" w:hAnsi="Arial"/>
          <w:sz w:val="17"/>
          <w:szCs w:val="17"/>
          <w:color w:val="000000"/>
        </w:rPr>
        <w:t>, accompanied by any information</w:t>
      </w:r>
      <w:r>
        <w:rPr>
          <w:rFonts w:ascii="Arial" w:cs="Arial" w:eastAsia="Arial" w:hAnsi="Arial"/>
          <w:sz w:val="17"/>
          <w:szCs w:val="17"/>
          <w:color w:val="003551"/>
        </w:rPr>
        <w:t xml:space="preserve"> </w:t>
      </w:r>
      <w:r>
        <w:rPr>
          <w:rFonts w:ascii="Arial" w:cs="Arial" w:eastAsia="Arial" w:hAnsi="Arial"/>
          <w:sz w:val="17"/>
          <w:szCs w:val="17"/>
          <w:color w:val="000000"/>
        </w:rPr>
        <w:t>that the board properly requires to show the right of the transferor to make the transfer and the proper execution of the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2799080</wp:posOffset>
            </wp:positionH>
            <wp:positionV relativeFrom="paragraph">
              <wp:posOffset>-270510</wp:posOffset>
            </wp:positionV>
            <wp:extent cx="120586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05865" cy="8255"/>
                    </a:xfrm>
                    <a:prstGeom prst="rect">
                      <a:avLst/>
                    </a:prstGeom>
                    <a:noFill/>
                  </pic:spPr>
                </pic:pic>
              </a:graphicData>
            </a:graphic>
          </wp:anchor>
        </w:drawing>
        <w:drawing>
          <wp:anchor simplePos="0" relativeHeight="251657728" behindDoc="1" locked="0" layoutInCell="0" allowOverlap="1">
            <wp:simplePos x="0" y="0"/>
            <wp:positionH relativeFrom="column">
              <wp:posOffset>2801620</wp:posOffset>
            </wp:positionH>
            <wp:positionV relativeFrom="paragraph">
              <wp:posOffset>-287020</wp:posOffset>
            </wp:positionV>
            <wp:extent cx="120777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07770" cy="8255"/>
                    </a:xfrm>
                    <a:prstGeom prst="rect">
                      <a:avLst/>
                    </a:prstGeom>
                    <a:noFill/>
                  </pic:spPr>
                </pic:pic>
              </a:graphicData>
            </a:graphic>
          </wp:anchor>
        </w:drawing>
      </w:r>
    </w:p>
    <w:p>
      <w:pPr>
        <w:spacing w:after="0" w:line="13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127635</wp:posOffset>
            </wp:positionV>
            <wp:extent cx="6786880" cy="1651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13.4</w:t>
      </w:r>
      <w:r>
        <w:rPr>
          <w:sz w:val="20"/>
          <w:szCs w:val="20"/>
          <w:color w:val="auto"/>
        </w:rPr>
        <w:tab/>
      </w:r>
      <w:r>
        <w:rPr>
          <w:rFonts w:ascii="Arial" w:cs="Arial" w:eastAsia="Arial" w:hAnsi="Arial"/>
          <w:sz w:val="17"/>
          <w:szCs w:val="17"/>
          <w:b w:val="1"/>
          <w:bCs w:val="1"/>
          <w:color w:val="003551"/>
        </w:rPr>
        <w:t>Company to register transfers</w:t>
      </w:r>
    </w:p>
    <w:p>
      <w:pPr>
        <w:spacing w:after="0" w:line="108" w:lineRule="exact"/>
        <w:rPr>
          <w:sz w:val="20"/>
          <w:szCs w:val="20"/>
          <w:color w:val="auto"/>
        </w:rPr>
      </w:pPr>
    </w:p>
    <w:p>
      <w:pPr>
        <w:ind w:left="1980" w:right="499" w:hanging="344"/>
        <w:spacing w:after="0" w:line="262" w:lineRule="auto"/>
        <w:tabs>
          <w:tab w:leader="none" w:pos="1980" w:val="left"/>
        </w:tabs>
        <w:numPr>
          <w:ilvl w:val="0"/>
          <w:numId w:val="151"/>
        </w:numPr>
        <w:rPr>
          <w:rFonts w:ascii="Arial" w:cs="Arial" w:eastAsia="Arial" w:hAnsi="Arial"/>
          <w:sz w:val="17"/>
          <w:szCs w:val="17"/>
          <w:color w:val="003551"/>
        </w:rPr>
      </w:pPr>
      <w:r>
        <w:rPr>
          <w:rFonts w:ascii="Arial" w:cs="Arial" w:eastAsia="Arial" w:hAnsi="Arial"/>
          <w:sz w:val="17"/>
          <w:szCs w:val="17"/>
          <w:color w:val="003551"/>
        </w:rPr>
        <w:t xml:space="preserve">Subject to the powers vested in the board by </w:t>
      </w:r>
      <w:r>
        <w:rPr>
          <w:rFonts w:ascii="Arial" w:cs="Arial" w:eastAsia="Arial" w:hAnsi="Arial"/>
          <w:sz w:val="17"/>
          <w:szCs w:val="17"/>
          <w:u w:val="single" w:color="auto"/>
          <w:color w:val="003551"/>
        </w:rPr>
        <w:t>rules 13.5</w:t>
      </w:r>
      <w:r>
        <w:rPr>
          <w:rFonts w:ascii="Arial" w:cs="Arial" w:eastAsia="Arial" w:hAnsi="Arial"/>
          <w:sz w:val="17"/>
          <w:szCs w:val="17"/>
          <w:color w:val="003551"/>
        </w:rPr>
        <w:t xml:space="preserve"> and 13.6, if the company receives a transfer complying with </w:t>
      </w:r>
      <w:r>
        <w:rPr>
          <w:rFonts w:ascii="Arial" w:cs="Arial" w:eastAsia="Arial" w:hAnsi="Arial"/>
          <w:sz w:val="17"/>
          <w:szCs w:val="17"/>
          <w:u w:val="single" w:color="auto"/>
          <w:color w:val="003551"/>
        </w:rPr>
        <w:t>rule 13.2</w:t>
      </w:r>
      <w:r>
        <w:rPr>
          <w:rFonts w:ascii="Arial" w:cs="Arial" w:eastAsia="Arial" w:hAnsi="Arial"/>
          <w:sz w:val="17"/>
          <w:szCs w:val="17"/>
          <w:color w:val="003551"/>
        </w:rPr>
        <w:t xml:space="preserve"> and, where applicable, rule 13‎.3, the company must register the transferee as the holder of the shares to which the transfer relates.</w:t>
      </w:r>
    </w:p>
    <w:p>
      <w:pPr>
        <w:spacing w:after="0" w:line="54" w:lineRule="exact"/>
        <w:rPr>
          <w:rFonts w:ascii="Arial" w:cs="Arial" w:eastAsia="Arial" w:hAnsi="Arial"/>
          <w:sz w:val="17"/>
          <w:szCs w:val="17"/>
          <w:color w:val="003551"/>
        </w:rPr>
      </w:pPr>
    </w:p>
    <w:p>
      <w:pPr>
        <w:ind w:left="1980" w:right="559" w:hanging="344"/>
        <w:spacing w:after="0" w:line="255" w:lineRule="auto"/>
        <w:tabs>
          <w:tab w:leader="none" w:pos="1980" w:val="left"/>
        </w:tabs>
        <w:numPr>
          <w:ilvl w:val="0"/>
          <w:numId w:val="151"/>
        </w:numPr>
        <w:rPr>
          <w:rFonts w:ascii="Arial" w:cs="Arial" w:eastAsia="Arial" w:hAnsi="Arial"/>
          <w:sz w:val="17"/>
          <w:szCs w:val="17"/>
          <w:color w:val="003551"/>
        </w:rPr>
      </w:pPr>
      <w:r>
        <w:rPr>
          <w:rFonts w:ascii="Arial" w:cs="Arial" w:eastAsia="Arial" w:hAnsi="Arial"/>
          <w:sz w:val="17"/>
          <w:szCs w:val="17"/>
          <w:color w:val="003551"/>
        </w:rPr>
        <w:t>The company (or the company’s securities registry) may put in place, and require compliance with, reasonable processes and procedures in connection with determining the authenticity of an instrument of transfer, notwithstanding that this may prevent, delay or interfere with the registration of the relevant instrument of transfer.</w:t>
      </w:r>
    </w:p>
    <w:p>
      <w:pPr>
        <w:spacing w:after="0" w:line="59" w:lineRule="exact"/>
        <w:rPr>
          <w:rFonts w:ascii="Arial" w:cs="Arial" w:eastAsia="Arial" w:hAnsi="Arial"/>
          <w:sz w:val="17"/>
          <w:szCs w:val="17"/>
          <w:color w:val="003551"/>
        </w:rPr>
      </w:pPr>
    </w:p>
    <w:p>
      <w:pPr>
        <w:ind w:left="1980" w:right="479" w:hanging="344"/>
        <w:spacing w:after="0" w:line="262" w:lineRule="auto"/>
        <w:tabs>
          <w:tab w:leader="none" w:pos="1980" w:val="left"/>
        </w:tabs>
        <w:numPr>
          <w:ilvl w:val="0"/>
          <w:numId w:val="151"/>
        </w:numPr>
        <w:rPr>
          <w:rFonts w:ascii="Arial" w:cs="Arial" w:eastAsia="Arial" w:hAnsi="Arial"/>
          <w:sz w:val="17"/>
          <w:szCs w:val="17"/>
          <w:color w:val="003551"/>
        </w:rPr>
      </w:pPr>
      <w:r>
        <w:rPr>
          <w:rFonts w:ascii="Arial" w:cs="Arial" w:eastAsia="Arial" w:hAnsi="Arial"/>
          <w:sz w:val="17"/>
          <w:szCs w:val="17"/>
          <w:color w:val="003551"/>
        </w:rPr>
        <w:t xml:space="preserve">The board may, to the extent the law permits, waive any of the requirements of </w:t>
      </w:r>
      <w:r>
        <w:rPr>
          <w:rFonts w:ascii="Arial" w:cs="Arial" w:eastAsia="Arial" w:hAnsi="Arial"/>
          <w:sz w:val="17"/>
          <w:szCs w:val="17"/>
          <w:u w:val="single" w:color="auto"/>
          <w:color w:val="003551"/>
        </w:rPr>
        <w:t>rule 13.2</w:t>
      </w:r>
      <w:r>
        <w:rPr>
          <w:rFonts w:ascii="Arial" w:cs="Arial" w:eastAsia="Arial" w:hAnsi="Arial"/>
          <w:sz w:val="17"/>
          <w:szCs w:val="17"/>
          <w:color w:val="003551"/>
        </w:rPr>
        <w:t xml:space="preserve"> or </w:t>
      </w:r>
      <w:r>
        <w:rPr>
          <w:rFonts w:ascii="Arial" w:cs="Arial" w:eastAsia="Arial" w:hAnsi="Arial"/>
          <w:sz w:val="17"/>
          <w:szCs w:val="17"/>
          <w:u w:val="single" w:color="auto"/>
          <w:color w:val="003551"/>
        </w:rPr>
        <w:t>13.3</w:t>
      </w:r>
      <w:r>
        <w:rPr>
          <w:rFonts w:ascii="Arial" w:cs="Arial" w:eastAsia="Arial" w:hAnsi="Arial"/>
          <w:sz w:val="17"/>
          <w:szCs w:val="17"/>
          <w:color w:val="003551"/>
        </w:rPr>
        <w:t xml:space="preserve"> and prescribe alternative requirements instead, to give effect to </w:t>
      </w:r>
      <w:r>
        <w:rPr>
          <w:rFonts w:ascii="Arial" w:cs="Arial" w:eastAsia="Arial" w:hAnsi="Arial"/>
          <w:sz w:val="17"/>
          <w:szCs w:val="17"/>
          <w:u w:val="single" w:color="auto"/>
          <w:color w:val="003551"/>
        </w:rPr>
        <w:t>rule 13.2</w:t>
      </w:r>
      <w:r>
        <w:rPr>
          <w:rFonts w:ascii="Arial" w:cs="Arial" w:eastAsia="Arial" w:hAnsi="Arial"/>
          <w:sz w:val="17"/>
          <w:szCs w:val="17"/>
          <w:color w:val="003551"/>
        </w:rPr>
        <w:t xml:space="preserve"> or for another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4021455</wp:posOffset>
            </wp:positionH>
            <wp:positionV relativeFrom="paragraph">
              <wp:posOffset>-1168400</wp:posOffset>
            </wp:positionV>
            <wp:extent cx="43116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431165" cy="8255"/>
                    </a:xfrm>
                    <a:prstGeom prst="rect">
                      <a:avLst/>
                    </a:prstGeom>
                    <a:noFill/>
                  </pic:spPr>
                </pic:pic>
              </a:graphicData>
            </a:graphic>
          </wp:anchor>
        </w:drawing>
      </w:r>
    </w:p>
    <w:p>
      <w:pPr>
        <w:spacing w:after="0" w:line="32"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13.5</w:t>
      </w:r>
      <w:r>
        <w:rPr>
          <w:sz w:val="20"/>
          <w:szCs w:val="20"/>
          <w:color w:val="auto"/>
        </w:rPr>
        <w:tab/>
      </w:r>
      <w:r>
        <w:rPr>
          <w:rFonts w:ascii="Arial" w:cs="Arial" w:eastAsia="Arial" w:hAnsi="Arial"/>
          <w:sz w:val="17"/>
          <w:szCs w:val="17"/>
          <w:b w:val="1"/>
          <w:bCs w:val="1"/>
          <w:color w:val="003551"/>
        </w:rPr>
        <w:t>Obligation to refuse to register transfers</w:t>
      </w:r>
    </w:p>
    <w:p>
      <w:pPr>
        <w:spacing w:after="0" w:line="134"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The board must refuse to register a transfer of shares if required to do so by:</w:t>
      </w:r>
    </w:p>
    <w:p>
      <w:pPr>
        <w:spacing w:after="0" w:line="106" w:lineRule="exact"/>
        <w:rPr>
          <w:sz w:val="20"/>
          <w:szCs w:val="20"/>
          <w:color w:val="auto"/>
        </w:rPr>
      </w:pPr>
    </w:p>
    <w:p>
      <w:pPr>
        <w:ind w:left="2320" w:hanging="335"/>
        <w:spacing w:after="0"/>
        <w:tabs>
          <w:tab w:leader="none" w:pos="2320" w:val="left"/>
        </w:tabs>
        <w:numPr>
          <w:ilvl w:val="0"/>
          <w:numId w:val="152"/>
        </w:numPr>
        <w:rPr>
          <w:rFonts w:ascii="Arial" w:cs="Arial" w:eastAsia="Arial" w:hAnsi="Arial"/>
          <w:sz w:val="17"/>
          <w:szCs w:val="17"/>
          <w:color w:val="003551"/>
        </w:rPr>
      </w:pPr>
      <w:r>
        <w:rPr>
          <w:rFonts w:ascii="Arial" w:cs="Arial" w:eastAsia="Arial" w:hAnsi="Arial"/>
          <w:sz w:val="17"/>
          <w:szCs w:val="17"/>
          <w:color w:val="003551"/>
        </w:rPr>
        <w:t>the Corporations Act, the Listing Rules</w:t>
      </w:r>
      <w:r>
        <w:rPr>
          <w:rFonts w:ascii="Arial" w:cs="Arial" w:eastAsia="Arial" w:hAnsi="Arial"/>
          <w:sz w:val="17"/>
          <w:szCs w:val="17"/>
          <w:u w:val="single" w:color="auto"/>
          <w:color w:val="0000FF"/>
        </w:rPr>
        <w:t>, the Securities Laws</w:t>
      </w:r>
      <w:r>
        <w:rPr>
          <w:rFonts w:ascii="Arial" w:cs="Arial" w:eastAsia="Arial" w:hAnsi="Arial"/>
          <w:sz w:val="17"/>
          <w:szCs w:val="17"/>
          <w:color w:val="003551"/>
        </w:rPr>
        <w:t xml:space="preserve"> </w:t>
      </w:r>
      <w:r>
        <w:rPr>
          <w:rFonts w:ascii="Arial" w:cs="Arial" w:eastAsia="Arial" w:hAnsi="Arial"/>
          <w:sz w:val="17"/>
          <w:szCs w:val="17"/>
          <w:color w:val="000000"/>
        </w:rPr>
        <w:t>or any law; or</w:t>
      </w:r>
    </w:p>
    <w:p>
      <w:pPr>
        <w:spacing w:after="0" w:line="105" w:lineRule="exact"/>
        <w:rPr>
          <w:rFonts w:ascii="Arial" w:cs="Arial" w:eastAsia="Arial" w:hAnsi="Arial"/>
          <w:sz w:val="17"/>
          <w:szCs w:val="17"/>
          <w:color w:val="003551"/>
        </w:rPr>
      </w:pPr>
    </w:p>
    <w:p>
      <w:pPr>
        <w:ind w:left="2320" w:hanging="335"/>
        <w:spacing w:after="0"/>
        <w:tabs>
          <w:tab w:leader="none" w:pos="2320" w:val="left"/>
        </w:tabs>
        <w:numPr>
          <w:ilvl w:val="0"/>
          <w:numId w:val="152"/>
        </w:numPr>
        <w:rPr>
          <w:rFonts w:ascii="Arial" w:cs="Arial" w:eastAsia="Arial" w:hAnsi="Arial"/>
          <w:sz w:val="17"/>
          <w:szCs w:val="17"/>
          <w:color w:val="003551"/>
        </w:rPr>
      </w:pPr>
      <w:r>
        <w:rPr>
          <w:rFonts w:ascii="Arial" w:cs="Arial" w:eastAsia="Arial" w:hAnsi="Arial"/>
          <w:sz w:val="17"/>
          <w:szCs w:val="17"/>
          <w:color w:val="003551"/>
        </w:rPr>
        <w:t>any provision of this constitution.</w:t>
      </w:r>
    </w:p>
    <w:p>
      <w:pPr>
        <w:spacing w:after="0" w:line="104"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13.6</w:t>
      </w:r>
      <w:r>
        <w:rPr>
          <w:sz w:val="20"/>
          <w:szCs w:val="20"/>
          <w:color w:val="auto"/>
        </w:rPr>
        <w:tab/>
      </w:r>
      <w:r>
        <w:rPr>
          <w:rFonts w:ascii="Arial" w:cs="Arial" w:eastAsia="Arial" w:hAnsi="Arial"/>
          <w:sz w:val="17"/>
          <w:szCs w:val="17"/>
          <w:b w:val="1"/>
          <w:bCs w:val="1"/>
          <w:color w:val="003551"/>
        </w:rPr>
        <w:t>Power to refuse to register transfers</w:t>
      </w:r>
    </w:p>
    <w:p>
      <w:pPr>
        <w:spacing w:after="0" w:line="147"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The board may refuse to register a transfer of shares if:</w:t>
      </w:r>
    </w:p>
    <w:p>
      <w:pPr>
        <w:spacing w:after="0" w:line="106" w:lineRule="exact"/>
        <w:rPr>
          <w:sz w:val="20"/>
          <w:szCs w:val="20"/>
          <w:color w:val="auto"/>
        </w:rPr>
      </w:pPr>
    </w:p>
    <w:p>
      <w:pPr>
        <w:ind w:left="2320" w:hanging="335"/>
        <w:spacing w:after="0"/>
        <w:tabs>
          <w:tab w:leader="none" w:pos="2320" w:val="left"/>
        </w:tabs>
        <w:numPr>
          <w:ilvl w:val="0"/>
          <w:numId w:val="153"/>
        </w:numPr>
        <w:rPr>
          <w:rFonts w:ascii="Arial" w:cs="Arial" w:eastAsia="Arial" w:hAnsi="Arial"/>
          <w:sz w:val="17"/>
          <w:szCs w:val="17"/>
          <w:color w:val="003551"/>
        </w:rPr>
      </w:pPr>
      <w:r>
        <w:rPr>
          <w:rFonts w:ascii="Arial" w:cs="Arial" w:eastAsia="Arial" w:hAnsi="Arial"/>
          <w:sz w:val="17"/>
          <w:szCs w:val="17"/>
          <w:color w:val="003551"/>
        </w:rPr>
        <w:t>the company has a lien on any of the shares subject of the transfer;</w:t>
      </w:r>
    </w:p>
    <w:p>
      <w:pPr>
        <w:spacing w:after="0" w:line="105" w:lineRule="exact"/>
        <w:rPr>
          <w:rFonts w:ascii="Arial" w:cs="Arial" w:eastAsia="Arial" w:hAnsi="Arial"/>
          <w:sz w:val="17"/>
          <w:szCs w:val="17"/>
          <w:color w:val="003551"/>
        </w:rPr>
      </w:pPr>
    </w:p>
    <w:p>
      <w:pPr>
        <w:ind w:left="2320" w:right="979" w:hanging="335"/>
        <w:spacing w:after="0" w:line="283" w:lineRule="auto"/>
        <w:tabs>
          <w:tab w:leader="none" w:pos="2320" w:val="left"/>
        </w:tabs>
        <w:numPr>
          <w:ilvl w:val="0"/>
          <w:numId w:val="153"/>
        </w:numPr>
        <w:rPr>
          <w:rFonts w:ascii="Arial" w:cs="Arial" w:eastAsia="Arial" w:hAnsi="Arial"/>
          <w:sz w:val="17"/>
          <w:szCs w:val="17"/>
          <w:color w:val="003551"/>
        </w:rPr>
      </w:pPr>
      <w:r>
        <w:rPr>
          <w:rFonts w:ascii="Arial" w:cs="Arial" w:eastAsia="Arial" w:hAnsi="Arial"/>
          <w:sz w:val="17"/>
          <w:szCs w:val="17"/>
          <w:color w:val="003551"/>
        </w:rPr>
        <w:t>registration of the transfer may breach the law applying in any state or territory of Australia or would be in breach of an order of any court;</w:t>
      </w:r>
    </w:p>
    <w:p>
      <w:pPr>
        <w:spacing w:after="0" w:line="36" w:lineRule="exact"/>
        <w:rPr>
          <w:rFonts w:ascii="Arial" w:cs="Arial" w:eastAsia="Arial" w:hAnsi="Arial"/>
          <w:sz w:val="17"/>
          <w:szCs w:val="17"/>
          <w:color w:val="003551"/>
        </w:rPr>
      </w:pPr>
    </w:p>
    <w:p>
      <w:pPr>
        <w:ind w:left="2320" w:hanging="335"/>
        <w:spacing w:after="0"/>
        <w:tabs>
          <w:tab w:leader="none" w:pos="2320" w:val="left"/>
        </w:tabs>
        <w:numPr>
          <w:ilvl w:val="0"/>
          <w:numId w:val="153"/>
        </w:numPr>
        <w:rPr>
          <w:rFonts w:ascii="Arial" w:cs="Arial" w:eastAsia="Arial" w:hAnsi="Arial"/>
          <w:sz w:val="17"/>
          <w:szCs w:val="17"/>
          <w:color w:val="003551"/>
        </w:rPr>
      </w:pPr>
      <w:r>
        <w:rPr>
          <w:rFonts w:ascii="Arial" w:cs="Arial" w:eastAsia="Arial" w:hAnsi="Arial"/>
          <w:sz w:val="17"/>
          <w:szCs w:val="17"/>
          <w:color w:val="003551"/>
        </w:rPr>
        <w:t>the transfer is not in registrable form; or</w:t>
      </w:r>
    </w:p>
    <w:p>
      <w:pPr>
        <w:spacing w:after="0" w:line="105" w:lineRule="exact"/>
        <w:rPr>
          <w:rFonts w:ascii="Arial" w:cs="Arial" w:eastAsia="Arial" w:hAnsi="Arial"/>
          <w:sz w:val="17"/>
          <w:szCs w:val="17"/>
          <w:color w:val="003551"/>
        </w:rPr>
      </w:pPr>
    </w:p>
    <w:p>
      <w:pPr>
        <w:ind w:left="2320" w:right="779" w:hanging="335"/>
        <w:spacing w:after="0" w:line="283" w:lineRule="auto"/>
        <w:tabs>
          <w:tab w:leader="none" w:pos="2320" w:val="left"/>
        </w:tabs>
        <w:numPr>
          <w:ilvl w:val="0"/>
          <w:numId w:val="153"/>
        </w:numPr>
        <w:rPr>
          <w:rFonts w:ascii="Arial" w:cs="Arial" w:eastAsia="Arial" w:hAnsi="Arial"/>
          <w:sz w:val="17"/>
          <w:szCs w:val="17"/>
          <w:color w:val="003551"/>
        </w:rPr>
      </w:pPr>
      <w:r>
        <w:rPr>
          <w:rFonts w:ascii="Arial" w:cs="Arial" w:eastAsia="Arial" w:hAnsi="Arial"/>
          <w:sz w:val="17"/>
          <w:szCs w:val="17"/>
          <w:color w:val="003551"/>
        </w:rPr>
        <w:t xml:space="preserve">the company is otherwise permitted to do so under the Corporations Act, the Listing Rules, </w:t>
      </w:r>
      <w:r>
        <w:rPr>
          <w:rFonts w:ascii="Arial" w:cs="Arial" w:eastAsia="Arial" w:hAnsi="Arial"/>
          <w:sz w:val="17"/>
          <w:szCs w:val="17"/>
          <w:u w:val="single" w:color="auto"/>
          <w:color w:val="0000FF"/>
        </w:rPr>
        <w:t>the Securities Laws</w:t>
      </w:r>
      <w:r>
        <w:rPr>
          <w:rFonts w:ascii="Arial" w:cs="Arial" w:eastAsia="Arial" w:hAnsi="Arial"/>
          <w:sz w:val="17"/>
          <w:szCs w:val="17"/>
          <w:color w:val="003551"/>
        </w:rPr>
        <w:t xml:space="preserve"> </w:t>
      </w:r>
      <w:r>
        <w:rPr>
          <w:rFonts w:ascii="Arial" w:cs="Arial" w:eastAsia="Arial" w:hAnsi="Arial"/>
          <w:sz w:val="17"/>
          <w:szCs w:val="17"/>
          <w:color w:val="000000"/>
        </w:rPr>
        <w:t>or the terms of issue of the shares.</w:t>
      </w:r>
    </w:p>
    <w:p>
      <w:pPr>
        <w:spacing w:after="0" w:line="35"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13.7</w:t>
      </w:r>
      <w:r>
        <w:rPr>
          <w:sz w:val="20"/>
          <w:szCs w:val="20"/>
          <w:color w:val="auto"/>
        </w:rPr>
        <w:tab/>
      </w:r>
      <w:r>
        <w:rPr>
          <w:rFonts w:ascii="Arial" w:cs="Arial" w:eastAsia="Arial" w:hAnsi="Arial"/>
          <w:sz w:val="17"/>
          <w:szCs w:val="17"/>
          <w:b w:val="1"/>
          <w:bCs w:val="1"/>
          <w:color w:val="003551"/>
        </w:rPr>
        <w:t>Notice of refusal to register transfer</w:t>
      </w:r>
    </w:p>
    <w:p>
      <w:pPr>
        <w:spacing w:after="0" w:line="108" w:lineRule="exact"/>
        <w:rPr>
          <w:sz w:val="20"/>
          <w:szCs w:val="20"/>
          <w:color w:val="auto"/>
        </w:rPr>
      </w:pPr>
    </w:p>
    <w:p>
      <w:pPr>
        <w:ind w:left="1640" w:right="559"/>
        <w:spacing w:after="0" w:line="262" w:lineRule="auto"/>
        <w:rPr>
          <w:sz w:val="20"/>
          <w:szCs w:val="20"/>
          <w:color w:val="auto"/>
        </w:rPr>
      </w:pPr>
      <w:r>
        <w:rPr>
          <w:rFonts w:ascii="Arial" w:cs="Arial" w:eastAsia="Arial" w:hAnsi="Arial"/>
          <w:sz w:val="17"/>
          <w:szCs w:val="17"/>
          <w:color w:val="003551"/>
        </w:rPr>
        <w:t xml:space="preserve">If the board refuses to register a transfer of shares it must give written notice of the refusal as required by the Corporations Act </w:t>
      </w:r>
      <w:r>
        <w:rPr>
          <w:rFonts w:ascii="Arial" w:cs="Arial" w:eastAsia="Arial" w:hAnsi="Arial"/>
          <w:sz w:val="17"/>
          <w:szCs w:val="17"/>
          <w:color w:val="FF0000"/>
        </w:rPr>
        <w:t>and</w:t>
      </w:r>
      <w:r>
        <w:rPr>
          <w:rFonts w:ascii="Arial" w:cs="Arial" w:eastAsia="Arial" w:hAnsi="Arial"/>
          <w:sz w:val="17"/>
          <w:szCs w:val="17"/>
          <w:u w:val="single" w:color="auto"/>
          <w:color w:val="0000FF"/>
        </w:rPr>
        <w:t>,</w:t>
      </w:r>
      <w:r>
        <w:rPr>
          <w:rFonts w:ascii="Arial" w:cs="Arial" w:eastAsia="Arial" w:hAnsi="Arial"/>
          <w:sz w:val="17"/>
          <w:szCs w:val="17"/>
          <w:color w:val="003551"/>
        </w:rPr>
        <w:t xml:space="preserve"> </w:t>
      </w:r>
      <w:r>
        <w:rPr>
          <w:rFonts w:ascii="Arial" w:cs="Arial" w:eastAsia="Arial" w:hAnsi="Arial"/>
          <w:sz w:val="17"/>
          <w:szCs w:val="17"/>
          <w:color w:val="000000"/>
        </w:rPr>
        <w:t>the Listing Rules</w:t>
      </w:r>
      <w:r>
        <w:rPr>
          <w:rFonts w:ascii="Arial" w:cs="Arial" w:eastAsia="Arial" w:hAnsi="Arial"/>
          <w:sz w:val="17"/>
          <w:szCs w:val="17"/>
          <w:color w:val="003551"/>
        </w:rPr>
        <w:t xml:space="preserve"> </w:t>
      </w:r>
      <w:r>
        <w:rPr>
          <w:rFonts w:ascii="Arial" w:cs="Arial" w:eastAsia="Arial" w:hAnsi="Arial"/>
          <w:sz w:val="17"/>
          <w:szCs w:val="17"/>
          <w:color w:val="0000FF"/>
        </w:rPr>
        <w:t>and the Securities Laws</w:t>
      </w:r>
      <w:r>
        <w:rPr>
          <w:rFonts w:ascii="Arial" w:cs="Arial" w:eastAsia="Arial" w:hAnsi="Arial"/>
          <w:sz w:val="17"/>
          <w:szCs w:val="17"/>
          <w:color w:val="000000"/>
        </w:rPr>
        <w:t>. Failure to give</w:t>
      </w:r>
      <w:r>
        <w:rPr>
          <w:rFonts w:ascii="Arial" w:cs="Arial" w:eastAsia="Arial" w:hAnsi="Arial"/>
          <w:sz w:val="17"/>
          <w:szCs w:val="17"/>
          <w:color w:val="003551"/>
        </w:rPr>
        <w:t xml:space="preserve"> </w:t>
      </w:r>
      <w:r>
        <w:rPr>
          <w:rFonts w:ascii="Arial" w:cs="Arial" w:eastAsia="Arial" w:hAnsi="Arial"/>
          <w:sz w:val="17"/>
          <w:szCs w:val="17"/>
          <w:color w:val="000000"/>
        </w:rPr>
        <w:t>such notice does not invalidate the decision of the board to refuse to register that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2634615</wp:posOffset>
            </wp:positionH>
            <wp:positionV relativeFrom="paragraph">
              <wp:posOffset>-212090</wp:posOffset>
            </wp:positionV>
            <wp:extent cx="21590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15900" cy="8255"/>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-145415</wp:posOffset>
            </wp:positionV>
            <wp:extent cx="120586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05865" cy="8255"/>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-162560</wp:posOffset>
            </wp:positionV>
            <wp:extent cx="120777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07770" cy="8255"/>
                    </a:xfrm>
                    <a:prstGeom prst="rect">
                      <a:avLst/>
                    </a:prstGeom>
                    <a:noFill/>
                  </pic:spPr>
                </pic:pic>
              </a:graphicData>
            </a:graphic>
          </wp:anchor>
        </w:drawing>
      </w:r>
    </w:p>
    <w:p>
      <w:pPr>
        <w:spacing w:after="0" w:line="32"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13.8</w:t>
      </w:r>
      <w:r>
        <w:rPr>
          <w:sz w:val="20"/>
          <w:szCs w:val="20"/>
          <w:color w:val="auto"/>
        </w:rPr>
        <w:tab/>
      </w:r>
      <w:r>
        <w:rPr>
          <w:rFonts w:ascii="Arial" w:cs="Arial" w:eastAsia="Arial" w:hAnsi="Arial"/>
          <w:sz w:val="17"/>
          <w:szCs w:val="17"/>
          <w:b w:val="1"/>
          <w:bCs w:val="1"/>
          <w:color w:val="003551"/>
        </w:rPr>
        <w:t>Suspension of registrations</w:t>
      </w:r>
    </w:p>
    <w:p>
      <w:pPr>
        <w:spacing w:after="0" w:line="108" w:lineRule="exact"/>
        <w:rPr>
          <w:sz w:val="20"/>
          <w:szCs w:val="20"/>
          <w:color w:val="auto"/>
        </w:rPr>
      </w:pPr>
    </w:p>
    <w:p>
      <w:pPr>
        <w:jc w:val="both"/>
        <w:ind w:left="1640" w:right="699"/>
        <w:spacing w:after="0" w:line="262" w:lineRule="auto"/>
        <w:rPr>
          <w:sz w:val="20"/>
          <w:szCs w:val="20"/>
          <w:color w:val="auto"/>
        </w:rPr>
      </w:pPr>
      <w:r>
        <w:rPr>
          <w:rFonts w:ascii="Arial" w:cs="Arial" w:eastAsia="Arial" w:hAnsi="Arial"/>
          <w:sz w:val="17"/>
          <w:szCs w:val="17"/>
          <w:color w:val="003551"/>
        </w:rPr>
        <w:t>The company may suspend registration of transfers of shares at the times and for the periods that the board determines provided that the period of suspension must not exceed 30 days in aggregate in any calendar year.</w:t>
      </w:r>
    </w:p>
    <w:p>
      <w:pPr>
        <w:spacing w:after="0" w:line="15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119380</wp:posOffset>
            </wp:positionV>
            <wp:extent cx="6786880" cy="1651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13.9</w:t>
      </w:r>
      <w:r>
        <w:rPr>
          <w:sz w:val="20"/>
          <w:szCs w:val="20"/>
          <w:color w:val="auto"/>
        </w:rPr>
        <w:tab/>
      </w:r>
      <w:r>
        <w:rPr>
          <w:rFonts w:ascii="Arial" w:cs="Arial" w:eastAsia="Arial" w:hAnsi="Arial"/>
          <w:sz w:val="17"/>
          <w:szCs w:val="17"/>
          <w:b w:val="1"/>
          <w:bCs w:val="1"/>
          <w:color w:val="003551"/>
        </w:rPr>
        <w:t>Effect of registration</w:t>
      </w:r>
    </w:p>
    <w:p>
      <w:pPr>
        <w:spacing w:after="0" w:line="108" w:lineRule="exact"/>
        <w:rPr>
          <w:sz w:val="20"/>
          <w:szCs w:val="20"/>
          <w:color w:val="auto"/>
        </w:rPr>
      </w:pPr>
    </w:p>
    <w:p>
      <w:pPr>
        <w:ind w:left="1640" w:right="439"/>
        <w:spacing w:after="0" w:line="262" w:lineRule="auto"/>
        <w:rPr>
          <w:sz w:val="20"/>
          <w:szCs w:val="20"/>
          <w:color w:val="auto"/>
        </w:rPr>
      </w:pPr>
      <w:r>
        <w:rPr>
          <w:rFonts w:ascii="Arial" w:cs="Arial" w:eastAsia="Arial" w:hAnsi="Arial"/>
          <w:sz w:val="17"/>
          <w:szCs w:val="17"/>
          <w:color w:val="003551"/>
        </w:rPr>
        <w:t>Except as provided by any applicable law, a transferor of a share remains the holder of the share transferred until the transfer is registered and the name of the transferee is entered in the Register in respect of the share.</w:t>
      </w:r>
    </w:p>
    <w:p>
      <w:pPr>
        <w:spacing w:after="0" w:line="52"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13.10</w:t>
        <w:tab/>
        <w:t>No fee for registration of transfers</w:t>
      </w:r>
    </w:p>
    <w:p>
      <w:pPr>
        <w:spacing w:after="0" w:line="147"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The company must not charge a fee for registering any transfer of shares.</w:t>
      </w:r>
    </w:p>
    <w:p>
      <w:pPr>
        <w:spacing w:after="0" w:line="104"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13.11</w:t>
        <w:tab/>
        <w:t>Company to retain instrument of transfer</w:t>
      </w:r>
    </w:p>
    <w:p>
      <w:pPr>
        <w:spacing w:after="0" w:line="108" w:lineRule="exact"/>
        <w:rPr>
          <w:sz w:val="20"/>
          <w:szCs w:val="20"/>
          <w:color w:val="auto"/>
        </w:rPr>
      </w:pPr>
    </w:p>
    <w:p>
      <w:pPr>
        <w:ind w:left="1640" w:right="499"/>
        <w:spacing w:after="0" w:line="283" w:lineRule="auto"/>
        <w:rPr>
          <w:sz w:val="20"/>
          <w:szCs w:val="20"/>
          <w:color w:val="auto"/>
        </w:rPr>
      </w:pPr>
      <w:r>
        <w:rPr>
          <w:rFonts w:ascii="Arial" w:cs="Arial" w:eastAsia="Arial" w:hAnsi="Arial"/>
          <w:sz w:val="17"/>
          <w:szCs w:val="17"/>
          <w:color w:val="003551"/>
        </w:rPr>
        <w:t>The company must retain every instrument of transfer which is registered for the period required by any applicable law.</w:t>
      </w:r>
    </w:p>
    <w:p>
      <w:pPr>
        <w:spacing w:after="0" w:line="35"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13.12</w:t>
        <w:tab/>
        <w:t>Proportional takeover bids</w:t>
      </w:r>
    </w:p>
    <w:p>
      <w:pPr>
        <w:spacing w:after="0" w:line="147"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 xml:space="preserve">The provisions of </w:t>
      </w:r>
      <w:r>
        <w:rPr>
          <w:rFonts w:ascii="Arial" w:cs="Arial" w:eastAsia="Arial" w:hAnsi="Arial"/>
          <w:sz w:val="17"/>
          <w:szCs w:val="17"/>
          <w:u w:val="single" w:color="auto"/>
          <w:color w:val="003551"/>
        </w:rPr>
        <w:t>Schedule 6</w:t>
      </w:r>
      <w:r>
        <w:rPr>
          <w:rFonts w:ascii="Arial" w:cs="Arial" w:eastAsia="Arial" w:hAnsi="Arial"/>
          <w:sz w:val="17"/>
          <w:szCs w:val="17"/>
          <w:color w:val="003551"/>
        </w:rPr>
        <w:t xml:space="preserve"> apply.</w:t>
      </w:r>
    </w:p>
    <w:p>
      <w:pPr>
        <w:spacing w:after="0" w:line="104" w:lineRule="exact"/>
        <w:rPr>
          <w:sz w:val="20"/>
          <w:szCs w:val="20"/>
          <w:color w:val="auto"/>
        </w:rPr>
      </w:pPr>
    </w:p>
    <w:p>
      <w:pPr>
        <w:jc w:val="both"/>
        <w:ind w:left="940" w:right="5479" w:hanging="3"/>
        <w:spacing w:after="0" w:line="371" w:lineRule="auto"/>
        <w:tabs>
          <w:tab w:leader="none" w:pos="1634" w:val="left"/>
        </w:tabs>
        <w:numPr>
          <w:ilvl w:val="0"/>
          <w:numId w:val="154"/>
        </w:numPr>
        <w:rPr>
          <w:rFonts w:ascii="Arial" w:cs="Arial" w:eastAsia="Arial" w:hAnsi="Arial"/>
          <w:sz w:val="17"/>
          <w:szCs w:val="17"/>
          <w:b w:val="1"/>
          <w:bCs w:val="1"/>
          <w:color w:val="003551"/>
        </w:rPr>
      </w:pPr>
      <w:r>
        <w:rPr>
          <w:rFonts w:ascii="Arial" w:cs="Arial" w:eastAsia="Arial" w:hAnsi="Arial"/>
          <w:sz w:val="17"/>
          <w:szCs w:val="17"/>
          <w:b w:val="1"/>
          <w:bCs w:val="1"/>
          <w:color w:val="003551"/>
        </w:rPr>
        <w:t>TRANSMISSION OF SHARES 14.1 Effect of statutory provisions</w:t>
      </w:r>
    </w:p>
    <w:p>
      <w:pPr>
        <w:ind w:left="1640" w:right="599"/>
        <w:spacing w:after="0" w:line="283" w:lineRule="auto"/>
        <w:rPr>
          <w:sz w:val="20"/>
          <w:szCs w:val="20"/>
          <w:color w:val="auto"/>
        </w:rPr>
      </w:pPr>
      <w:r>
        <w:rPr>
          <w:rFonts w:ascii="Arial" w:cs="Arial" w:eastAsia="Arial" w:hAnsi="Arial"/>
          <w:sz w:val="17"/>
          <w:szCs w:val="17"/>
          <w:color w:val="003551"/>
        </w:rPr>
        <w:t xml:space="preserve">The provisions of this </w:t>
      </w:r>
      <w:r>
        <w:rPr>
          <w:rFonts w:ascii="Arial" w:cs="Arial" w:eastAsia="Arial" w:hAnsi="Arial"/>
          <w:sz w:val="17"/>
          <w:szCs w:val="17"/>
          <w:u w:val="single" w:color="auto"/>
          <w:color w:val="003551"/>
        </w:rPr>
        <w:t>rule 14</w:t>
      </w:r>
      <w:r>
        <w:rPr>
          <w:rFonts w:ascii="Arial" w:cs="Arial" w:eastAsia="Arial" w:hAnsi="Arial"/>
          <w:sz w:val="17"/>
          <w:szCs w:val="17"/>
          <w:color w:val="003551"/>
        </w:rPr>
        <w:t xml:space="preserve"> have effect subject to the Corporations Act and to the Bankruptcy Act 1966 (Cth).</w:t>
      </w:r>
    </w:p>
    <w:p>
      <w:pPr>
        <w:spacing w:after="0" w:line="35"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14.2</w:t>
      </w:r>
      <w:r>
        <w:rPr>
          <w:sz w:val="20"/>
          <w:szCs w:val="20"/>
          <w:color w:val="auto"/>
        </w:rPr>
        <w:tab/>
      </w:r>
      <w:r>
        <w:rPr>
          <w:rFonts w:ascii="Arial" w:cs="Arial" w:eastAsia="Arial" w:hAnsi="Arial"/>
          <w:sz w:val="17"/>
          <w:szCs w:val="17"/>
          <w:b w:val="1"/>
          <w:bCs w:val="1"/>
          <w:color w:val="003551"/>
        </w:rPr>
        <w:t>Transmission of shares on death</w:t>
      </w:r>
    </w:p>
    <w:p>
      <w:pPr>
        <w:spacing w:after="0" w:line="108" w:lineRule="exact"/>
        <w:rPr>
          <w:sz w:val="20"/>
          <w:szCs w:val="20"/>
          <w:color w:val="auto"/>
        </w:rPr>
      </w:pPr>
    </w:p>
    <w:p>
      <w:pPr>
        <w:ind w:left="1640" w:right="499"/>
        <w:spacing w:after="0" w:line="283" w:lineRule="auto"/>
        <w:rPr>
          <w:sz w:val="20"/>
          <w:szCs w:val="20"/>
          <w:color w:val="auto"/>
        </w:rPr>
      </w:pPr>
      <w:r>
        <w:rPr>
          <w:rFonts w:ascii="Arial" w:cs="Arial" w:eastAsia="Arial" w:hAnsi="Arial"/>
          <w:sz w:val="17"/>
          <w:szCs w:val="17"/>
          <w:color w:val="003551"/>
        </w:rPr>
        <w:t>If a member dies, the only person or persons that the company will recognise as having any title to or interest in that member’s shares are:</w:t>
      </w:r>
    </w:p>
    <w:p>
      <w:pPr>
        <w:spacing w:after="0" w:line="37" w:lineRule="exact"/>
        <w:rPr>
          <w:sz w:val="20"/>
          <w:szCs w:val="20"/>
          <w:color w:val="auto"/>
        </w:rPr>
      </w:pPr>
    </w:p>
    <w:p>
      <w:pPr>
        <w:ind w:left="2320" w:hanging="335"/>
        <w:spacing w:after="0"/>
        <w:tabs>
          <w:tab w:leader="none" w:pos="2320" w:val="left"/>
        </w:tabs>
        <w:numPr>
          <w:ilvl w:val="0"/>
          <w:numId w:val="155"/>
        </w:numPr>
        <w:rPr>
          <w:rFonts w:ascii="Arial" w:cs="Arial" w:eastAsia="Arial" w:hAnsi="Arial"/>
          <w:sz w:val="17"/>
          <w:szCs w:val="17"/>
          <w:color w:val="003551"/>
        </w:rPr>
      </w:pPr>
      <w:r>
        <w:rPr>
          <w:rFonts w:ascii="Arial" w:cs="Arial" w:eastAsia="Arial" w:hAnsi="Arial"/>
          <w:sz w:val="17"/>
          <w:szCs w:val="17"/>
          <w:color w:val="003551"/>
        </w:rPr>
        <w:t>if the member was a joint holder, the survivor; and</w:t>
      </w:r>
    </w:p>
    <w:p>
      <w:pPr>
        <w:spacing w:after="0" w:line="105" w:lineRule="exact"/>
        <w:rPr>
          <w:rFonts w:ascii="Arial" w:cs="Arial" w:eastAsia="Arial" w:hAnsi="Arial"/>
          <w:sz w:val="17"/>
          <w:szCs w:val="17"/>
          <w:color w:val="003551"/>
        </w:rPr>
      </w:pPr>
    </w:p>
    <w:p>
      <w:pPr>
        <w:ind w:left="2320" w:right="399" w:hanging="335"/>
        <w:spacing w:after="0" w:line="283" w:lineRule="auto"/>
        <w:tabs>
          <w:tab w:leader="none" w:pos="2320" w:val="left"/>
        </w:tabs>
        <w:numPr>
          <w:ilvl w:val="0"/>
          <w:numId w:val="155"/>
        </w:numPr>
        <w:rPr>
          <w:rFonts w:ascii="Arial" w:cs="Arial" w:eastAsia="Arial" w:hAnsi="Arial"/>
          <w:sz w:val="17"/>
          <w:szCs w:val="17"/>
          <w:color w:val="003551"/>
        </w:rPr>
      </w:pPr>
      <w:r>
        <w:rPr>
          <w:rFonts w:ascii="Arial" w:cs="Arial" w:eastAsia="Arial" w:hAnsi="Arial"/>
          <w:sz w:val="17"/>
          <w:szCs w:val="17"/>
          <w:color w:val="003551"/>
        </w:rPr>
        <w:t>if the member was a sole or the only surviving holder, the personal representative of that member,</w:t>
      </w:r>
    </w:p>
    <w:p>
      <w:pPr>
        <w:spacing w:after="0" w:line="37" w:lineRule="exact"/>
        <w:rPr>
          <w:sz w:val="20"/>
          <w:szCs w:val="20"/>
          <w:color w:val="auto"/>
        </w:rPr>
      </w:pPr>
    </w:p>
    <w:p>
      <w:pPr>
        <w:ind w:left="1640" w:right="759"/>
        <w:spacing w:after="0" w:line="283" w:lineRule="auto"/>
        <w:rPr>
          <w:sz w:val="20"/>
          <w:szCs w:val="20"/>
          <w:color w:val="auto"/>
        </w:rPr>
      </w:pPr>
      <w:r>
        <w:rPr>
          <w:rFonts w:ascii="Arial" w:cs="Arial" w:eastAsia="Arial" w:hAnsi="Arial"/>
          <w:sz w:val="17"/>
          <w:szCs w:val="17"/>
          <w:color w:val="003551"/>
        </w:rPr>
        <w:t>but nothing in this constitution releases the estate of a deceased member from any liability in respect of any share held by that member solely or jointly.</w:t>
      </w:r>
    </w:p>
    <w:p>
      <w:pPr>
        <w:spacing w:after="0" w:line="35"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14.3</w:t>
      </w:r>
      <w:r>
        <w:rPr>
          <w:sz w:val="20"/>
          <w:szCs w:val="20"/>
          <w:color w:val="auto"/>
        </w:rPr>
        <w:tab/>
      </w:r>
      <w:r>
        <w:rPr>
          <w:rFonts w:ascii="Arial" w:cs="Arial" w:eastAsia="Arial" w:hAnsi="Arial"/>
          <w:sz w:val="17"/>
          <w:szCs w:val="17"/>
          <w:b w:val="1"/>
          <w:bCs w:val="1"/>
          <w:color w:val="003551"/>
        </w:rPr>
        <w:t>Rights of personal representative</w:t>
      </w:r>
    </w:p>
    <w:p>
      <w:pPr>
        <w:spacing w:after="0" w:line="108" w:lineRule="exact"/>
        <w:rPr>
          <w:sz w:val="20"/>
          <w:szCs w:val="20"/>
          <w:color w:val="auto"/>
        </w:rPr>
      </w:pPr>
    </w:p>
    <w:p>
      <w:pPr>
        <w:ind w:left="1640" w:right="579"/>
        <w:spacing w:after="0" w:line="255" w:lineRule="auto"/>
        <w:rPr>
          <w:sz w:val="20"/>
          <w:szCs w:val="20"/>
          <w:color w:val="auto"/>
        </w:rPr>
      </w:pPr>
      <w:r>
        <w:rPr>
          <w:rFonts w:ascii="Arial" w:cs="Arial" w:eastAsia="Arial" w:hAnsi="Arial"/>
          <w:sz w:val="17"/>
          <w:szCs w:val="17"/>
          <w:color w:val="003551"/>
        </w:rPr>
        <w:t xml:space="preserve">A personal representative entitled to shares by reason of </w:t>
      </w:r>
      <w:r>
        <w:rPr>
          <w:rFonts w:ascii="Arial" w:cs="Arial" w:eastAsia="Arial" w:hAnsi="Arial"/>
          <w:sz w:val="17"/>
          <w:szCs w:val="17"/>
          <w:u w:val="single" w:color="auto"/>
          <w:color w:val="003551"/>
        </w:rPr>
        <w:t>rule 14.2(b)</w:t>
      </w:r>
      <w:r>
        <w:rPr>
          <w:rFonts w:ascii="Arial" w:cs="Arial" w:eastAsia="Arial" w:hAnsi="Arial"/>
          <w:sz w:val="17"/>
          <w:szCs w:val="17"/>
          <w:color w:val="003551"/>
        </w:rPr>
        <w:t xml:space="preserve"> is, on giving to the board such information as the board requires to prove the personal representative’s entitlement to the shares, entitled to the same rights as the deceased member whether or not registered as the holder of the shares.</w:t>
      </w:r>
    </w:p>
    <w:p>
      <w:pPr>
        <w:spacing w:after="0" w:line="58"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14.4</w:t>
      </w:r>
      <w:r>
        <w:rPr>
          <w:sz w:val="20"/>
          <w:szCs w:val="20"/>
          <w:color w:val="auto"/>
        </w:rPr>
        <w:tab/>
      </w:r>
      <w:r>
        <w:rPr>
          <w:rFonts w:ascii="Arial" w:cs="Arial" w:eastAsia="Arial" w:hAnsi="Arial"/>
          <w:sz w:val="17"/>
          <w:szCs w:val="17"/>
          <w:b w:val="1"/>
          <w:bCs w:val="1"/>
          <w:color w:val="003551"/>
        </w:rPr>
        <w:t>Election by persons entitled on transmission</w:t>
      </w:r>
    </w:p>
    <w:p>
      <w:pPr>
        <w:spacing w:after="0" w:line="160"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 xml:space="preserve">Subject to </w:t>
      </w:r>
      <w:r>
        <w:rPr>
          <w:rFonts w:ascii="Arial" w:cs="Arial" w:eastAsia="Arial" w:hAnsi="Arial"/>
          <w:sz w:val="17"/>
          <w:szCs w:val="17"/>
          <w:u w:val="single" w:color="auto"/>
          <w:color w:val="003551"/>
        </w:rPr>
        <w:t>rule 14.6</w:t>
      </w:r>
      <w:r>
        <w:rPr>
          <w:rFonts w:ascii="Arial" w:cs="Arial" w:eastAsia="Arial" w:hAnsi="Arial"/>
          <w:sz w:val="17"/>
          <w:szCs w:val="17"/>
          <w:color w:val="003551"/>
        </w:rPr>
        <w:t>, if a person becomes entitled to a share as a result of:</w:t>
      </w:r>
    </w:p>
    <w:p>
      <w:pPr>
        <w:spacing w:after="0" w:line="106" w:lineRule="exact"/>
        <w:rPr>
          <w:sz w:val="20"/>
          <w:szCs w:val="20"/>
          <w:color w:val="auto"/>
        </w:rPr>
      </w:pPr>
    </w:p>
    <w:p>
      <w:pPr>
        <w:ind w:left="2320" w:hanging="335"/>
        <w:spacing w:after="0"/>
        <w:tabs>
          <w:tab w:leader="none" w:pos="2320" w:val="left"/>
        </w:tabs>
        <w:numPr>
          <w:ilvl w:val="0"/>
          <w:numId w:val="156"/>
        </w:numPr>
        <w:rPr>
          <w:rFonts w:ascii="Arial" w:cs="Arial" w:eastAsia="Arial" w:hAnsi="Arial"/>
          <w:sz w:val="17"/>
          <w:szCs w:val="17"/>
          <w:color w:val="003551"/>
        </w:rPr>
      </w:pPr>
      <w:r>
        <w:rPr>
          <w:rFonts w:ascii="Arial" w:cs="Arial" w:eastAsia="Arial" w:hAnsi="Arial"/>
          <w:sz w:val="17"/>
          <w:szCs w:val="17"/>
          <w:color w:val="003551"/>
        </w:rPr>
        <w:t>the death of a member;</w:t>
      </w:r>
    </w:p>
    <w:p>
      <w:pPr>
        <w:spacing w:after="0" w:line="105" w:lineRule="exact"/>
        <w:rPr>
          <w:rFonts w:ascii="Arial" w:cs="Arial" w:eastAsia="Arial" w:hAnsi="Arial"/>
          <w:sz w:val="17"/>
          <w:szCs w:val="17"/>
          <w:color w:val="003551"/>
        </w:rPr>
      </w:pPr>
    </w:p>
    <w:p>
      <w:pPr>
        <w:ind w:left="2320" w:hanging="335"/>
        <w:spacing w:after="0"/>
        <w:tabs>
          <w:tab w:leader="none" w:pos="2320" w:val="left"/>
        </w:tabs>
        <w:numPr>
          <w:ilvl w:val="0"/>
          <w:numId w:val="156"/>
        </w:numPr>
        <w:rPr>
          <w:rFonts w:ascii="Arial" w:cs="Arial" w:eastAsia="Arial" w:hAnsi="Arial"/>
          <w:sz w:val="17"/>
          <w:szCs w:val="17"/>
          <w:color w:val="003551"/>
        </w:rPr>
      </w:pPr>
      <w:r>
        <w:rPr>
          <w:rFonts w:ascii="Arial" w:cs="Arial" w:eastAsia="Arial" w:hAnsi="Arial"/>
          <w:sz w:val="17"/>
          <w:szCs w:val="17"/>
          <w:color w:val="003551"/>
        </w:rPr>
        <w:t>the bankruptcy of a member;</w:t>
      </w:r>
    </w:p>
    <w:p>
      <w:pPr>
        <w:spacing w:after="0" w:line="105" w:lineRule="exact"/>
        <w:rPr>
          <w:rFonts w:ascii="Arial" w:cs="Arial" w:eastAsia="Arial" w:hAnsi="Arial"/>
          <w:sz w:val="17"/>
          <w:szCs w:val="17"/>
          <w:color w:val="003551"/>
        </w:rPr>
      </w:pPr>
    </w:p>
    <w:p>
      <w:pPr>
        <w:ind w:left="2320" w:right="479" w:hanging="335"/>
        <w:spacing w:after="0" w:line="283" w:lineRule="auto"/>
        <w:tabs>
          <w:tab w:leader="none" w:pos="2320" w:val="left"/>
        </w:tabs>
        <w:numPr>
          <w:ilvl w:val="0"/>
          <w:numId w:val="156"/>
        </w:numPr>
        <w:rPr>
          <w:rFonts w:ascii="Arial" w:cs="Arial" w:eastAsia="Arial" w:hAnsi="Arial"/>
          <w:sz w:val="17"/>
          <w:szCs w:val="17"/>
          <w:color w:val="003551"/>
        </w:rPr>
      </w:pPr>
      <w:r>
        <w:rPr>
          <w:rFonts w:ascii="Arial" w:cs="Arial" w:eastAsia="Arial" w:hAnsi="Arial"/>
          <w:sz w:val="17"/>
          <w:szCs w:val="17"/>
          <w:color w:val="003551"/>
        </w:rPr>
        <w:t>a member becoming of unsound mind or becoming a person whose assets are liable to be dealt with in any way under the law relating to mental health;</w:t>
      </w:r>
    </w:p>
    <w:p>
      <w:pPr>
        <w:spacing w:after="0" w:line="36" w:lineRule="exact"/>
        <w:rPr>
          <w:rFonts w:ascii="Arial" w:cs="Arial" w:eastAsia="Arial" w:hAnsi="Arial"/>
          <w:sz w:val="17"/>
          <w:szCs w:val="17"/>
          <w:color w:val="003551"/>
        </w:rPr>
      </w:pPr>
    </w:p>
    <w:p>
      <w:pPr>
        <w:ind w:left="2320" w:hanging="335"/>
        <w:spacing w:after="0"/>
        <w:tabs>
          <w:tab w:leader="none" w:pos="2320" w:val="left"/>
        </w:tabs>
        <w:numPr>
          <w:ilvl w:val="0"/>
          <w:numId w:val="156"/>
        </w:numPr>
        <w:rPr>
          <w:rFonts w:ascii="Arial" w:cs="Arial" w:eastAsia="Arial" w:hAnsi="Arial"/>
          <w:sz w:val="17"/>
          <w:szCs w:val="17"/>
          <w:color w:val="003551"/>
        </w:rPr>
      </w:pPr>
      <w:r>
        <w:rPr>
          <w:rFonts w:ascii="Arial" w:cs="Arial" w:eastAsia="Arial" w:hAnsi="Arial"/>
          <w:sz w:val="17"/>
          <w:szCs w:val="17"/>
          <w:color w:val="003551"/>
        </w:rPr>
        <w:t>a member that is a body corporate being dissolved or deregistered;</w:t>
      </w:r>
    </w:p>
    <w:p>
      <w:pPr>
        <w:spacing w:after="0" w:line="105" w:lineRule="exact"/>
        <w:rPr>
          <w:rFonts w:ascii="Arial" w:cs="Arial" w:eastAsia="Arial" w:hAnsi="Arial"/>
          <w:sz w:val="17"/>
          <w:szCs w:val="17"/>
          <w:color w:val="003551"/>
        </w:rPr>
      </w:pPr>
    </w:p>
    <w:p>
      <w:pPr>
        <w:ind w:left="2320" w:right="379" w:hanging="335"/>
        <w:spacing w:after="0" w:line="283" w:lineRule="auto"/>
        <w:tabs>
          <w:tab w:leader="none" w:pos="2320" w:val="left"/>
        </w:tabs>
        <w:numPr>
          <w:ilvl w:val="0"/>
          <w:numId w:val="156"/>
        </w:numPr>
        <w:rPr>
          <w:rFonts w:ascii="Arial" w:cs="Arial" w:eastAsia="Arial" w:hAnsi="Arial"/>
          <w:sz w:val="17"/>
          <w:szCs w:val="17"/>
          <w:color w:val="003551"/>
        </w:rPr>
      </w:pPr>
      <w:r>
        <w:rPr>
          <w:rFonts w:ascii="Arial" w:cs="Arial" w:eastAsia="Arial" w:hAnsi="Arial"/>
          <w:sz w:val="17"/>
          <w:szCs w:val="17"/>
          <w:color w:val="003551"/>
        </w:rPr>
        <w:t>the succession of another body corporate to the assets and liabilities of a member that is a body corporate; or</w:t>
      </w:r>
    </w:p>
    <w:p>
      <w:pPr>
        <w:spacing w:after="0" w:line="36" w:lineRule="exact"/>
        <w:rPr>
          <w:rFonts w:ascii="Arial" w:cs="Arial" w:eastAsia="Arial" w:hAnsi="Arial"/>
          <w:sz w:val="17"/>
          <w:szCs w:val="17"/>
          <w:color w:val="003551"/>
        </w:rPr>
      </w:pPr>
    </w:p>
    <w:p>
      <w:pPr>
        <w:ind w:left="2320" w:hanging="335"/>
        <w:spacing w:after="0"/>
        <w:tabs>
          <w:tab w:leader="none" w:pos="2320" w:val="left"/>
        </w:tabs>
        <w:numPr>
          <w:ilvl w:val="0"/>
          <w:numId w:val="156"/>
        </w:numPr>
        <w:rPr>
          <w:rFonts w:ascii="Arial" w:cs="Arial" w:eastAsia="Arial" w:hAnsi="Arial"/>
          <w:sz w:val="17"/>
          <w:szCs w:val="17"/>
          <w:color w:val="003551"/>
        </w:rPr>
      </w:pPr>
      <w:r>
        <w:rPr>
          <w:rFonts w:ascii="Arial" w:cs="Arial" w:eastAsia="Arial" w:hAnsi="Arial"/>
          <w:sz w:val="17"/>
          <w:szCs w:val="17"/>
          <w:color w:val="003551"/>
        </w:rPr>
        <w:t>any other event giving rise to a transmission of that share by operation of law,</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119380</wp:posOffset>
            </wp:positionV>
            <wp:extent cx="6786880" cy="1651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640" w:right="579"/>
        <w:spacing w:after="0" w:line="263" w:lineRule="auto"/>
        <w:rPr>
          <w:sz w:val="20"/>
          <w:szCs w:val="20"/>
          <w:color w:val="auto"/>
        </w:rPr>
      </w:pPr>
      <w:r>
        <w:rPr>
          <w:rFonts w:ascii="Arial" w:cs="Arial" w:eastAsia="Arial" w:hAnsi="Arial"/>
          <w:sz w:val="17"/>
          <w:szCs w:val="17"/>
          <w:color w:val="003551"/>
        </w:rPr>
        <w:t xml:space="preserve">(each, a </w:t>
      </w:r>
      <w:r>
        <w:rPr>
          <w:rFonts w:ascii="Arial" w:cs="Arial" w:eastAsia="Arial" w:hAnsi="Arial"/>
          <w:sz w:val="17"/>
          <w:szCs w:val="17"/>
          <w:u w:val="single" w:color="auto"/>
          <w:color w:val="0000FF"/>
        </w:rPr>
        <w:t>“</w:t>
      </w:r>
      <w:r>
        <w:rPr>
          <w:rFonts w:ascii="Arial" w:cs="Arial" w:eastAsia="Arial" w:hAnsi="Arial"/>
          <w:sz w:val="17"/>
          <w:szCs w:val="17"/>
          <w:b w:val="1"/>
          <w:bCs w:val="1"/>
          <w:color w:val="000000"/>
        </w:rPr>
        <w:t>Transmission Event</w:t>
      </w:r>
      <w:r>
        <w:rPr>
          <w:rFonts w:ascii="Arial" w:cs="Arial" w:eastAsia="Arial" w:hAnsi="Arial"/>
          <w:sz w:val="17"/>
          <w:szCs w:val="17"/>
          <w:u w:val="single" w:color="auto"/>
          <w:color w:val="0000FF"/>
        </w:rPr>
        <w:t>’’</w:t>
      </w:r>
      <w:r>
        <w:rPr>
          <w:rFonts w:ascii="Arial" w:cs="Arial" w:eastAsia="Arial" w:hAnsi="Arial"/>
          <w:sz w:val="17"/>
          <w:szCs w:val="17"/>
          <w:color w:val="000000"/>
        </w:rPr>
        <w:t>), then that person may make an election in accordance with</w:t>
      </w:r>
      <w:r>
        <w:rPr>
          <w:rFonts w:ascii="Arial" w:cs="Arial" w:eastAsia="Arial" w:hAnsi="Arial"/>
          <w:sz w:val="17"/>
          <w:szCs w:val="17"/>
          <w:color w:val="003551"/>
        </w:rPr>
        <w:t xml:space="preserve"> </w:t>
      </w:r>
      <w:r>
        <w:rPr>
          <w:rFonts w:ascii="Arial" w:cs="Arial" w:eastAsia="Arial" w:hAnsi="Arial"/>
          <w:sz w:val="17"/>
          <w:szCs w:val="17"/>
          <w:u w:val="single" w:color="auto"/>
          <w:color w:val="000000"/>
        </w:rPr>
        <w:t>rule 14.5</w:t>
      </w:r>
      <w:r>
        <w:rPr>
          <w:rFonts w:ascii="Arial" w:cs="Arial" w:eastAsia="Arial" w:hAnsi="Arial"/>
          <w:sz w:val="17"/>
          <w:szCs w:val="17"/>
          <w:color w:val="000000"/>
        </w:rPr>
        <w:t xml:space="preserve"> either to be registered as the holder of that share or to nominate another person to be registered as the holder of that share.</w:t>
      </w:r>
    </w:p>
    <w:p>
      <w:pPr>
        <w:spacing w:after="0" w:line="52"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14.5</w:t>
      </w:r>
      <w:r>
        <w:rPr>
          <w:sz w:val="20"/>
          <w:szCs w:val="20"/>
          <w:color w:val="auto"/>
        </w:rPr>
        <w:tab/>
      </w:r>
      <w:r>
        <w:rPr>
          <w:rFonts w:ascii="Arial" w:cs="Arial" w:eastAsia="Arial" w:hAnsi="Arial"/>
          <w:sz w:val="17"/>
          <w:szCs w:val="17"/>
          <w:b w:val="1"/>
          <w:bCs w:val="1"/>
          <w:color w:val="003551"/>
        </w:rPr>
        <w:t>Manner of election</w:t>
      </w:r>
    </w:p>
    <w:p>
      <w:pPr>
        <w:spacing w:after="0" w:line="134"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 xml:space="preserve">A person who makes an election under </w:t>
      </w:r>
      <w:r>
        <w:rPr>
          <w:rFonts w:ascii="Arial" w:cs="Arial" w:eastAsia="Arial" w:hAnsi="Arial"/>
          <w:sz w:val="17"/>
          <w:szCs w:val="17"/>
          <w:u w:val="single" w:color="auto"/>
          <w:color w:val="003551"/>
        </w:rPr>
        <w:t>rule 14.4</w:t>
      </w:r>
      <w:r>
        <w:rPr>
          <w:rFonts w:ascii="Arial" w:cs="Arial" w:eastAsia="Arial" w:hAnsi="Arial"/>
          <w:sz w:val="17"/>
          <w:szCs w:val="17"/>
          <w:color w:val="003551"/>
        </w:rPr>
        <w:t xml:space="preserve"> must:</w:t>
      </w:r>
    </w:p>
    <w:p>
      <w:pPr>
        <w:spacing w:after="0" w:line="106" w:lineRule="exact"/>
        <w:rPr>
          <w:sz w:val="20"/>
          <w:szCs w:val="20"/>
          <w:color w:val="auto"/>
        </w:rPr>
      </w:pPr>
    </w:p>
    <w:p>
      <w:pPr>
        <w:ind w:left="2320" w:hanging="335"/>
        <w:spacing w:after="0"/>
        <w:tabs>
          <w:tab w:leader="none" w:pos="2320" w:val="left"/>
        </w:tabs>
        <w:numPr>
          <w:ilvl w:val="0"/>
          <w:numId w:val="157"/>
        </w:numPr>
        <w:rPr>
          <w:rFonts w:ascii="Arial" w:cs="Arial" w:eastAsia="Arial" w:hAnsi="Arial"/>
          <w:sz w:val="17"/>
          <w:szCs w:val="17"/>
          <w:color w:val="003551"/>
        </w:rPr>
      </w:pPr>
      <w:r>
        <w:rPr>
          <w:rFonts w:ascii="Arial" w:cs="Arial" w:eastAsia="Arial" w:hAnsi="Arial"/>
          <w:sz w:val="17"/>
          <w:szCs w:val="17"/>
          <w:color w:val="003551"/>
        </w:rPr>
        <w:t>do so by notice in writing to the company;</w:t>
      </w:r>
    </w:p>
    <w:p>
      <w:pPr>
        <w:spacing w:after="0" w:line="105" w:lineRule="exact"/>
        <w:rPr>
          <w:rFonts w:ascii="Arial" w:cs="Arial" w:eastAsia="Arial" w:hAnsi="Arial"/>
          <w:sz w:val="17"/>
          <w:szCs w:val="17"/>
          <w:color w:val="003551"/>
        </w:rPr>
      </w:pPr>
    </w:p>
    <w:p>
      <w:pPr>
        <w:ind w:left="2320" w:right="599" w:hanging="335"/>
        <w:spacing w:after="0" w:line="283" w:lineRule="auto"/>
        <w:tabs>
          <w:tab w:leader="none" w:pos="2320" w:val="left"/>
        </w:tabs>
        <w:numPr>
          <w:ilvl w:val="0"/>
          <w:numId w:val="157"/>
        </w:numPr>
        <w:rPr>
          <w:rFonts w:ascii="Arial" w:cs="Arial" w:eastAsia="Arial" w:hAnsi="Arial"/>
          <w:sz w:val="17"/>
          <w:szCs w:val="17"/>
          <w:color w:val="003551"/>
        </w:rPr>
      </w:pPr>
      <w:r>
        <w:rPr>
          <w:rFonts w:ascii="Arial" w:cs="Arial" w:eastAsia="Arial" w:hAnsi="Arial"/>
          <w:sz w:val="17"/>
          <w:szCs w:val="17"/>
          <w:color w:val="003551"/>
        </w:rPr>
        <w:t>produce such evidence as the board requires to prove that person’s entitlement to the share; and</w:t>
      </w:r>
    </w:p>
    <w:p>
      <w:pPr>
        <w:spacing w:after="0" w:line="36" w:lineRule="exact"/>
        <w:rPr>
          <w:rFonts w:ascii="Arial" w:cs="Arial" w:eastAsia="Arial" w:hAnsi="Arial"/>
          <w:sz w:val="17"/>
          <w:szCs w:val="17"/>
          <w:color w:val="003551"/>
        </w:rPr>
      </w:pPr>
    </w:p>
    <w:p>
      <w:pPr>
        <w:ind w:left="2320" w:right="459" w:hanging="335"/>
        <w:spacing w:after="0" w:line="255" w:lineRule="auto"/>
        <w:tabs>
          <w:tab w:leader="none" w:pos="2320" w:val="left"/>
        </w:tabs>
        <w:numPr>
          <w:ilvl w:val="0"/>
          <w:numId w:val="157"/>
        </w:numPr>
        <w:rPr>
          <w:rFonts w:ascii="Arial" w:cs="Arial" w:eastAsia="Arial" w:hAnsi="Arial"/>
          <w:sz w:val="17"/>
          <w:szCs w:val="17"/>
          <w:color w:val="003551"/>
        </w:rPr>
      </w:pPr>
      <w:r>
        <w:rPr>
          <w:rFonts w:ascii="Arial" w:cs="Arial" w:eastAsia="Arial" w:hAnsi="Arial"/>
          <w:sz w:val="17"/>
          <w:szCs w:val="17"/>
          <w:color w:val="003551"/>
        </w:rPr>
        <w:t>in the case of an election nominating another person to be registered as the holder of that share, execute a transfer of the share to the person so nominated or take such other action as the directors may require to enable that other person to be registered as the holder of the share.</w:t>
      </w:r>
    </w:p>
    <w:p>
      <w:pPr>
        <w:spacing w:after="0" w:line="60" w:lineRule="exact"/>
        <w:rPr>
          <w:sz w:val="20"/>
          <w:szCs w:val="20"/>
          <w:color w:val="auto"/>
        </w:rPr>
      </w:pPr>
    </w:p>
    <w:p>
      <w:pPr>
        <w:ind w:left="1640" w:right="459"/>
        <w:spacing w:after="0" w:line="255" w:lineRule="auto"/>
        <w:rPr>
          <w:sz w:val="20"/>
          <w:szCs w:val="20"/>
          <w:color w:val="auto"/>
        </w:rPr>
      </w:pPr>
      <w:r>
        <w:rPr>
          <w:rFonts w:ascii="Arial" w:cs="Arial" w:eastAsia="Arial" w:hAnsi="Arial"/>
          <w:sz w:val="17"/>
          <w:szCs w:val="17"/>
          <w:color w:val="003551"/>
        </w:rPr>
        <w:t xml:space="preserve">The provisions of this constitution applying to the transfer of shares generally apply to a transfer executed in accordance with this </w:t>
      </w:r>
      <w:r>
        <w:rPr>
          <w:rFonts w:ascii="Arial" w:cs="Arial" w:eastAsia="Arial" w:hAnsi="Arial"/>
          <w:sz w:val="17"/>
          <w:szCs w:val="17"/>
          <w:u w:val="single" w:color="auto"/>
          <w:color w:val="003551"/>
        </w:rPr>
        <w:t>rule 14.5</w:t>
      </w:r>
      <w:r>
        <w:rPr>
          <w:rFonts w:ascii="Arial" w:cs="Arial" w:eastAsia="Arial" w:hAnsi="Arial"/>
          <w:sz w:val="17"/>
          <w:szCs w:val="17"/>
          <w:color w:val="003551"/>
        </w:rPr>
        <w:t xml:space="preserve"> as if that transfer were a transfer effected by the person from whom the person making the election derives their entitlement to the share and as if the event giving rise to the transmission of the share had not occurred.</w:t>
      </w:r>
    </w:p>
    <w:p>
      <w:pPr>
        <w:spacing w:after="0" w:line="58"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14.6</w:t>
      </w:r>
      <w:r>
        <w:rPr>
          <w:sz w:val="20"/>
          <w:szCs w:val="20"/>
          <w:color w:val="auto"/>
        </w:rPr>
        <w:tab/>
      </w:r>
      <w:r>
        <w:rPr>
          <w:rFonts w:ascii="Arial" w:cs="Arial" w:eastAsia="Arial" w:hAnsi="Arial"/>
          <w:sz w:val="17"/>
          <w:szCs w:val="17"/>
          <w:b w:val="1"/>
          <w:bCs w:val="1"/>
          <w:color w:val="003551"/>
        </w:rPr>
        <w:t>Transfer executed before occurrence of Transmission Event</w:t>
      </w:r>
    </w:p>
    <w:p>
      <w:pPr>
        <w:spacing w:after="0" w:line="108" w:lineRule="exact"/>
        <w:rPr>
          <w:sz w:val="20"/>
          <w:szCs w:val="20"/>
          <w:color w:val="auto"/>
        </w:rPr>
      </w:pPr>
    </w:p>
    <w:p>
      <w:pPr>
        <w:ind w:left="1640" w:right="659"/>
        <w:spacing w:after="0" w:line="283" w:lineRule="auto"/>
        <w:rPr>
          <w:sz w:val="20"/>
          <w:szCs w:val="20"/>
          <w:color w:val="auto"/>
        </w:rPr>
      </w:pPr>
      <w:r>
        <w:rPr>
          <w:rFonts w:ascii="Arial" w:cs="Arial" w:eastAsia="Arial" w:hAnsi="Arial"/>
          <w:sz w:val="17"/>
          <w:szCs w:val="17"/>
          <w:color w:val="003551"/>
        </w:rPr>
        <w:t>The directors may register or give effect to a transfer of a share executed by a member before the occurrence of a Transmission Event even if they have notice of the Transmission Event.</w:t>
      </w:r>
    </w:p>
    <w:p>
      <w:pPr>
        <w:spacing w:after="0" w:line="35"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15</w:t>
      </w:r>
      <w:r>
        <w:rPr>
          <w:sz w:val="20"/>
          <w:szCs w:val="20"/>
          <w:color w:val="auto"/>
        </w:rPr>
        <w:tab/>
      </w:r>
      <w:r>
        <w:rPr>
          <w:rFonts w:ascii="Arial" w:cs="Arial" w:eastAsia="Arial" w:hAnsi="Arial"/>
          <w:sz w:val="17"/>
          <w:szCs w:val="17"/>
          <w:b w:val="1"/>
          <w:bCs w:val="1"/>
          <w:color w:val="003551"/>
        </w:rPr>
        <w:t>DIVIDENDS</w:t>
      </w:r>
    </w:p>
    <w:p>
      <w:pPr>
        <w:spacing w:after="0" w:line="106"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15.1</w:t>
      </w:r>
      <w:r>
        <w:rPr>
          <w:sz w:val="20"/>
          <w:szCs w:val="20"/>
          <w:color w:val="auto"/>
        </w:rPr>
        <w:tab/>
      </w:r>
      <w:r>
        <w:rPr>
          <w:rFonts w:ascii="Arial" w:cs="Arial" w:eastAsia="Arial" w:hAnsi="Arial"/>
          <w:sz w:val="17"/>
          <w:szCs w:val="17"/>
          <w:b w:val="1"/>
          <w:bCs w:val="1"/>
          <w:color w:val="003551"/>
        </w:rPr>
        <w:t>Decision to pay dividends</w:t>
      </w:r>
    </w:p>
    <w:p>
      <w:pPr>
        <w:spacing w:after="0" w:line="108" w:lineRule="exact"/>
        <w:rPr>
          <w:sz w:val="20"/>
          <w:szCs w:val="20"/>
          <w:color w:val="auto"/>
        </w:rPr>
      </w:pPr>
    </w:p>
    <w:p>
      <w:pPr>
        <w:ind w:left="1640" w:right="539"/>
        <w:spacing w:after="0" w:line="283" w:lineRule="auto"/>
        <w:rPr>
          <w:sz w:val="20"/>
          <w:szCs w:val="20"/>
          <w:color w:val="auto"/>
        </w:rPr>
      </w:pPr>
      <w:r>
        <w:rPr>
          <w:rFonts w:ascii="Arial" w:cs="Arial" w:eastAsia="Arial" w:hAnsi="Arial"/>
          <w:sz w:val="17"/>
          <w:szCs w:val="17"/>
          <w:color w:val="003551"/>
        </w:rPr>
        <w:t>Subject to the Corporations Act, this constitution and any rights or restrictions for the time being attached to any class or classes of shares:</w:t>
      </w:r>
    </w:p>
    <w:p>
      <w:pPr>
        <w:spacing w:after="0" w:line="37" w:lineRule="exact"/>
        <w:rPr>
          <w:sz w:val="20"/>
          <w:szCs w:val="20"/>
          <w:color w:val="auto"/>
        </w:rPr>
      </w:pPr>
    </w:p>
    <w:p>
      <w:pPr>
        <w:ind w:left="2320" w:right="779" w:hanging="335"/>
        <w:spacing w:after="0" w:line="283" w:lineRule="auto"/>
        <w:tabs>
          <w:tab w:leader="none" w:pos="2320" w:val="left"/>
        </w:tabs>
        <w:numPr>
          <w:ilvl w:val="0"/>
          <w:numId w:val="158"/>
        </w:numPr>
        <w:rPr>
          <w:rFonts w:ascii="Arial" w:cs="Arial" w:eastAsia="Arial" w:hAnsi="Arial"/>
          <w:sz w:val="17"/>
          <w:szCs w:val="17"/>
          <w:color w:val="003551"/>
        </w:rPr>
      </w:pPr>
      <w:r>
        <w:rPr>
          <w:rFonts w:ascii="Arial" w:cs="Arial" w:eastAsia="Arial" w:hAnsi="Arial"/>
          <w:sz w:val="17"/>
          <w:szCs w:val="17"/>
          <w:color w:val="003551"/>
        </w:rPr>
        <w:t>the board may cause to be paid any dividend required to be paid under the terms of issue of any share;</w:t>
      </w:r>
    </w:p>
    <w:p>
      <w:pPr>
        <w:spacing w:after="0" w:line="36" w:lineRule="exact"/>
        <w:rPr>
          <w:rFonts w:ascii="Arial" w:cs="Arial" w:eastAsia="Arial" w:hAnsi="Arial"/>
          <w:sz w:val="17"/>
          <w:szCs w:val="17"/>
          <w:color w:val="003551"/>
        </w:rPr>
      </w:pPr>
    </w:p>
    <w:p>
      <w:pPr>
        <w:ind w:left="2320" w:right="459" w:hanging="335"/>
        <w:spacing w:after="0" w:line="255" w:lineRule="auto"/>
        <w:tabs>
          <w:tab w:leader="none" w:pos="2320" w:val="left"/>
        </w:tabs>
        <w:numPr>
          <w:ilvl w:val="0"/>
          <w:numId w:val="158"/>
        </w:numPr>
        <w:rPr>
          <w:rFonts w:ascii="Arial" w:cs="Arial" w:eastAsia="Arial" w:hAnsi="Arial"/>
          <w:sz w:val="17"/>
          <w:szCs w:val="17"/>
          <w:color w:val="003551"/>
        </w:rPr>
      </w:pPr>
      <w:r>
        <w:rPr>
          <w:rFonts w:ascii="Arial" w:cs="Arial" w:eastAsia="Arial" w:hAnsi="Arial"/>
          <w:sz w:val="17"/>
          <w:szCs w:val="17"/>
          <w:color w:val="003551"/>
        </w:rPr>
        <w:t>the board may decide to pay any other dividend that appears to the board to be justified by the financial position of the company and may decide that a dividend be paid on shares of one class but not another class, or at different rates for shares of different classes;</w:t>
      </w:r>
    </w:p>
    <w:p>
      <w:pPr>
        <w:spacing w:after="0" w:line="59" w:lineRule="exact"/>
        <w:rPr>
          <w:rFonts w:ascii="Arial" w:cs="Arial" w:eastAsia="Arial" w:hAnsi="Arial"/>
          <w:sz w:val="17"/>
          <w:szCs w:val="17"/>
          <w:color w:val="003551"/>
        </w:rPr>
      </w:pPr>
    </w:p>
    <w:p>
      <w:pPr>
        <w:jc w:val="both"/>
        <w:ind w:left="2320" w:right="459" w:hanging="335"/>
        <w:spacing w:after="0" w:line="262" w:lineRule="auto"/>
        <w:tabs>
          <w:tab w:leader="none" w:pos="2320" w:val="left"/>
        </w:tabs>
        <w:numPr>
          <w:ilvl w:val="0"/>
          <w:numId w:val="158"/>
        </w:numPr>
        <w:rPr>
          <w:rFonts w:ascii="Arial" w:cs="Arial" w:eastAsia="Arial" w:hAnsi="Arial"/>
          <w:sz w:val="17"/>
          <w:szCs w:val="17"/>
          <w:color w:val="003551"/>
        </w:rPr>
      </w:pPr>
      <w:r>
        <w:rPr>
          <w:rFonts w:ascii="Arial" w:cs="Arial" w:eastAsia="Arial" w:hAnsi="Arial"/>
          <w:sz w:val="17"/>
          <w:szCs w:val="17"/>
          <w:color w:val="003551"/>
        </w:rPr>
        <w:t>if the board decides to pay a dividend, it may fix the amount of the dividend, the time for determining entitlements to the dividend and the time for and method of payment of the dividend; and</w:t>
      </w:r>
    </w:p>
    <w:p>
      <w:pPr>
        <w:spacing w:after="0" w:line="54" w:lineRule="exact"/>
        <w:rPr>
          <w:rFonts w:ascii="Arial" w:cs="Arial" w:eastAsia="Arial" w:hAnsi="Arial"/>
          <w:sz w:val="17"/>
          <w:szCs w:val="17"/>
          <w:color w:val="003551"/>
        </w:rPr>
      </w:pPr>
    </w:p>
    <w:p>
      <w:pPr>
        <w:ind w:left="2320" w:right="479" w:hanging="335"/>
        <w:spacing w:after="0" w:line="262" w:lineRule="auto"/>
        <w:tabs>
          <w:tab w:leader="none" w:pos="2320" w:val="left"/>
        </w:tabs>
        <w:numPr>
          <w:ilvl w:val="0"/>
          <w:numId w:val="158"/>
        </w:numPr>
        <w:rPr>
          <w:rFonts w:ascii="Arial" w:cs="Arial" w:eastAsia="Arial" w:hAnsi="Arial"/>
          <w:sz w:val="17"/>
          <w:szCs w:val="17"/>
          <w:color w:val="003551"/>
        </w:rPr>
      </w:pPr>
      <w:r>
        <w:rPr>
          <w:rFonts w:ascii="Arial" w:cs="Arial" w:eastAsia="Arial" w:hAnsi="Arial"/>
          <w:sz w:val="17"/>
          <w:szCs w:val="17"/>
          <w:color w:val="003551"/>
        </w:rPr>
        <w:t>the board may revoke a decision to pay a dividend if it appears to the board at any time before the dividend is paid that payment of the dividend is no longer justified by the financial position of the company,</w:t>
      </w:r>
    </w:p>
    <w:p>
      <w:pPr>
        <w:spacing w:after="0" w:line="93"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none of which requires confirmation at a general meeting.</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119380</wp:posOffset>
            </wp:positionV>
            <wp:extent cx="6786880" cy="1651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15.2</w:t>
      </w:r>
      <w:r>
        <w:rPr>
          <w:sz w:val="20"/>
          <w:szCs w:val="20"/>
          <w:color w:val="auto"/>
        </w:rPr>
        <w:tab/>
      </w:r>
      <w:r>
        <w:rPr>
          <w:rFonts w:ascii="Arial" w:cs="Arial" w:eastAsia="Arial" w:hAnsi="Arial"/>
          <w:sz w:val="17"/>
          <w:szCs w:val="17"/>
          <w:b w:val="1"/>
          <w:bCs w:val="1"/>
          <w:color w:val="003551"/>
        </w:rPr>
        <w:t>Entitlements of fully paid and partly paid shares</w:t>
      </w:r>
    </w:p>
    <w:p>
      <w:pPr>
        <w:spacing w:after="0" w:line="108" w:lineRule="exact"/>
        <w:rPr>
          <w:sz w:val="20"/>
          <w:szCs w:val="20"/>
          <w:color w:val="auto"/>
        </w:rPr>
      </w:pPr>
    </w:p>
    <w:p>
      <w:pPr>
        <w:ind w:left="1640" w:right="539"/>
        <w:spacing w:after="0" w:line="283" w:lineRule="auto"/>
        <w:rPr>
          <w:sz w:val="20"/>
          <w:szCs w:val="20"/>
          <w:color w:val="auto"/>
        </w:rPr>
      </w:pPr>
      <w:r>
        <w:rPr>
          <w:rFonts w:ascii="Arial" w:cs="Arial" w:eastAsia="Arial" w:hAnsi="Arial"/>
          <w:sz w:val="17"/>
          <w:szCs w:val="17"/>
          <w:color w:val="003551"/>
        </w:rPr>
        <w:t>Subject to this constitution and any rights or restrictions for the time being attached to any class or classes of shares on which a dividend is paid:</w:t>
      </w:r>
    </w:p>
    <w:p>
      <w:pPr>
        <w:spacing w:after="0" w:line="37" w:lineRule="exact"/>
        <w:rPr>
          <w:sz w:val="20"/>
          <w:szCs w:val="20"/>
          <w:color w:val="auto"/>
        </w:rPr>
      </w:pPr>
    </w:p>
    <w:p>
      <w:pPr>
        <w:ind w:left="2320" w:right="759" w:hanging="335"/>
        <w:spacing w:after="0" w:line="283" w:lineRule="auto"/>
        <w:tabs>
          <w:tab w:leader="none" w:pos="2320" w:val="left"/>
        </w:tabs>
        <w:numPr>
          <w:ilvl w:val="0"/>
          <w:numId w:val="159"/>
        </w:numPr>
        <w:rPr>
          <w:rFonts w:ascii="Arial" w:cs="Arial" w:eastAsia="Arial" w:hAnsi="Arial"/>
          <w:sz w:val="17"/>
          <w:szCs w:val="17"/>
          <w:color w:val="003551"/>
        </w:rPr>
      </w:pPr>
      <w:r>
        <w:rPr>
          <w:rFonts w:ascii="Arial" w:cs="Arial" w:eastAsia="Arial" w:hAnsi="Arial"/>
          <w:sz w:val="17"/>
          <w:szCs w:val="17"/>
          <w:color w:val="003551"/>
        </w:rPr>
        <w:t>each share that is fully paid confers an entitlement to the full amount of the dividend decided by the board;</w:t>
      </w:r>
    </w:p>
    <w:p>
      <w:pPr>
        <w:spacing w:after="0" w:line="36" w:lineRule="exact"/>
        <w:rPr>
          <w:rFonts w:ascii="Arial" w:cs="Arial" w:eastAsia="Arial" w:hAnsi="Arial"/>
          <w:sz w:val="17"/>
          <w:szCs w:val="17"/>
          <w:color w:val="003551"/>
        </w:rPr>
      </w:pPr>
    </w:p>
    <w:p>
      <w:pPr>
        <w:ind w:left="2320" w:right="519" w:hanging="335"/>
        <w:spacing w:after="0" w:line="262" w:lineRule="auto"/>
        <w:tabs>
          <w:tab w:leader="none" w:pos="2320" w:val="left"/>
        </w:tabs>
        <w:numPr>
          <w:ilvl w:val="0"/>
          <w:numId w:val="159"/>
        </w:numPr>
        <w:rPr>
          <w:rFonts w:ascii="Arial" w:cs="Arial" w:eastAsia="Arial" w:hAnsi="Arial"/>
          <w:sz w:val="17"/>
          <w:szCs w:val="17"/>
          <w:color w:val="003551"/>
        </w:rPr>
      </w:pPr>
      <w:r>
        <w:rPr>
          <w:rFonts w:ascii="Arial" w:cs="Arial" w:eastAsia="Arial" w:hAnsi="Arial"/>
          <w:sz w:val="17"/>
          <w:szCs w:val="17"/>
          <w:color w:val="003551"/>
        </w:rPr>
        <w:t>any share that is not fully paid confers an entitlement only to the proportion of the dividend decided by the board equal to the amount paid up on the share divided by the total of all amounts paid and payable on the share;</w:t>
      </w:r>
    </w:p>
    <w:p>
      <w:pPr>
        <w:spacing w:after="0" w:line="54" w:lineRule="exact"/>
        <w:rPr>
          <w:rFonts w:ascii="Arial" w:cs="Arial" w:eastAsia="Arial" w:hAnsi="Arial"/>
          <w:sz w:val="17"/>
          <w:szCs w:val="17"/>
          <w:color w:val="003551"/>
        </w:rPr>
      </w:pPr>
    </w:p>
    <w:p>
      <w:pPr>
        <w:ind w:left="2320" w:right="399" w:hanging="335"/>
        <w:spacing w:after="0" w:line="255" w:lineRule="auto"/>
        <w:tabs>
          <w:tab w:leader="none" w:pos="2320" w:val="left"/>
        </w:tabs>
        <w:numPr>
          <w:ilvl w:val="0"/>
          <w:numId w:val="159"/>
        </w:numPr>
        <w:rPr>
          <w:rFonts w:ascii="Arial" w:cs="Arial" w:eastAsia="Arial" w:hAnsi="Arial"/>
          <w:sz w:val="17"/>
          <w:szCs w:val="17"/>
          <w:color w:val="003551"/>
        </w:rPr>
      </w:pPr>
      <w:r>
        <w:rPr>
          <w:rFonts w:ascii="Arial" w:cs="Arial" w:eastAsia="Arial" w:hAnsi="Arial"/>
          <w:sz w:val="17"/>
          <w:szCs w:val="17"/>
          <w:color w:val="003551"/>
        </w:rPr>
        <w:t xml:space="preserve">for the purposes of </w:t>
      </w:r>
      <w:r>
        <w:rPr>
          <w:rFonts w:ascii="Arial" w:cs="Arial" w:eastAsia="Arial" w:hAnsi="Arial"/>
          <w:sz w:val="17"/>
          <w:szCs w:val="17"/>
          <w:u w:val="single" w:color="auto"/>
          <w:color w:val="003551"/>
        </w:rPr>
        <w:t>rule 15.2(b)</w:t>
      </w:r>
      <w:r>
        <w:rPr>
          <w:rFonts w:ascii="Arial" w:cs="Arial" w:eastAsia="Arial" w:hAnsi="Arial"/>
          <w:sz w:val="17"/>
          <w:szCs w:val="17"/>
          <w:color w:val="003551"/>
        </w:rPr>
        <w:t>, no amount credited as paid on a share without payment in money or other valuable consideration being made to the company is taken to be paid up on the share and no amount paid on a share in advance of a call is taken to be paid up on the share until the due date for payment of the call; and</w:t>
      </w:r>
    </w:p>
    <w:p>
      <w:pPr>
        <w:spacing w:after="0" w:line="59" w:lineRule="exact"/>
        <w:rPr>
          <w:rFonts w:ascii="Arial" w:cs="Arial" w:eastAsia="Arial" w:hAnsi="Arial"/>
          <w:sz w:val="17"/>
          <w:szCs w:val="17"/>
          <w:color w:val="003551"/>
        </w:rPr>
      </w:pPr>
    </w:p>
    <w:p>
      <w:pPr>
        <w:ind w:left="2320" w:right="479" w:hanging="335"/>
        <w:spacing w:after="0" w:line="251" w:lineRule="auto"/>
        <w:tabs>
          <w:tab w:leader="none" w:pos="2320" w:val="left"/>
        </w:tabs>
        <w:numPr>
          <w:ilvl w:val="0"/>
          <w:numId w:val="159"/>
        </w:numPr>
        <w:rPr>
          <w:rFonts w:ascii="Arial" w:cs="Arial" w:eastAsia="Arial" w:hAnsi="Arial"/>
          <w:sz w:val="17"/>
          <w:szCs w:val="17"/>
          <w:color w:val="003551"/>
        </w:rPr>
      </w:pPr>
      <w:r>
        <w:rPr>
          <w:rFonts w:ascii="Arial" w:cs="Arial" w:eastAsia="Arial" w:hAnsi="Arial"/>
          <w:sz w:val="17"/>
          <w:szCs w:val="17"/>
          <w:color w:val="003551"/>
        </w:rPr>
        <w:t>if an amount is paid on a share during the period to which the dividend relates, the amount paid up on that share for the purposes of rule 15.2(b) is taken to be the amount paid up on the share at the start of the period plus such proportion of the additional amount paid up during that period as is equal to the proportion of that period during which that additional amount was paid up.</w:t>
      </w:r>
    </w:p>
    <w:p>
      <w:pPr>
        <w:spacing w:after="0" w:line="63"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15.3</w:t>
      </w:r>
      <w:r>
        <w:rPr>
          <w:sz w:val="20"/>
          <w:szCs w:val="20"/>
          <w:color w:val="auto"/>
        </w:rPr>
        <w:tab/>
      </w:r>
      <w:r>
        <w:rPr>
          <w:rFonts w:ascii="Arial" w:cs="Arial" w:eastAsia="Arial" w:hAnsi="Arial"/>
          <w:sz w:val="17"/>
          <w:szCs w:val="17"/>
          <w:b w:val="1"/>
          <w:bCs w:val="1"/>
          <w:color w:val="003551"/>
        </w:rPr>
        <w:t>Payment of dividends</w:t>
      </w:r>
    </w:p>
    <w:p>
      <w:pPr>
        <w:spacing w:after="0" w:line="108" w:lineRule="exact"/>
        <w:rPr>
          <w:sz w:val="20"/>
          <w:szCs w:val="20"/>
          <w:color w:val="auto"/>
        </w:rPr>
      </w:pPr>
    </w:p>
    <w:p>
      <w:pPr>
        <w:ind w:left="1980" w:hanging="344"/>
        <w:spacing w:after="0"/>
        <w:tabs>
          <w:tab w:leader="none" w:pos="1980" w:val="left"/>
        </w:tabs>
        <w:numPr>
          <w:ilvl w:val="0"/>
          <w:numId w:val="160"/>
        </w:numPr>
        <w:rPr>
          <w:rFonts w:ascii="Arial" w:cs="Arial" w:eastAsia="Arial" w:hAnsi="Arial"/>
          <w:sz w:val="17"/>
          <w:szCs w:val="17"/>
          <w:color w:val="003551"/>
        </w:rPr>
      </w:pPr>
      <w:r>
        <w:rPr>
          <w:rFonts w:ascii="Arial" w:cs="Arial" w:eastAsia="Arial" w:hAnsi="Arial"/>
          <w:sz w:val="17"/>
          <w:szCs w:val="17"/>
          <w:color w:val="003551"/>
        </w:rPr>
        <w:t>Subject to this constitution, a dividend in respect of a share is payable:</w:t>
      </w:r>
    </w:p>
    <w:p>
      <w:pPr>
        <w:spacing w:after="0" w:line="105" w:lineRule="exact"/>
        <w:rPr>
          <w:rFonts w:ascii="Arial" w:cs="Arial" w:eastAsia="Arial" w:hAnsi="Arial"/>
          <w:sz w:val="17"/>
          <w:szCs w:val="17"/>
          <w:color w:val="003551"/>
        </w:rPr>
      </w:pPr>
    </w:p>
    <w:p>
      <w:pPr>
        <w:ind w:left="2680" w:right="879" w:hanging="346"/>
        <w:spacing w:after="0" w:line="283" w:lineRule="auto"/>
        <w:tabs>
          <w:tab w:leader="none" w:pos="2680" w:val="left"/>
        </w:tabs>
        <w:numPr>
          <w:ilvl w:val="1"/>
          <w:numId w:val="160"/>
        </w:numPr>
        <w:rPr>
          <w:rFonts w:ascii="Arial" w:cs="Arial" w:eastAsia="Arial" w:hAnsi="Arial"/>
          <w:sz w:val="17"/>
          <w:szCs w:val="17"/>
          <w:color w:val="003551"/>
        </w:rPr>
      </w:pPr>
      <w:r>
        <w:rPr>
          <w:rFonts w:ascii="Arial" w:cs="Arial" w:eastAsia="Arial" w:hAnsi="Arial"/>
          <w:sz w:val="17"/>
          <w:szCs w:val="17"/>
          <w:color w:val="003551"/>
        </w:rPr>
        <w:t xml:space="preserve">to the person registered, or entitled to be registered under </w:t>
      </w:r>
      <w:r>
        <w:rPr>
          <w:rFonts w:ascii="Arial" w:cs="Arial" w:eastAsia="Arial" w:hAnsi="Arial"/>
          <w:sz w:val="17"/>
          <w:szCs w:val="17"/>
          <w:u w:val="single" w:color="auto"/>
          <w:color w:val="003551"/>
        </w:rPr>
        <w:t>rule 13.4(a)</w:t>
      </w:r>
      <w:r>
        <w:rPr>
          <w:rFonts w:ascii="Arial" w:cs="Arial" w:eastAsia="Arial" w:hAnsi="Arial"/>
          <w:sz w:val="17"/>
          <w:szCs w:val="17"/>
          <w:color w:val="003551"/>
        </w:rPr>
        <w:t>, as the holder of that share;</w:t>
      </w:r>
    </w:p>
    <w:p>
      <w:pPr>
        <w:spacing w:after="0" w:line="36" w:lineRule="exact"/>
        <w:rPr>
          <w:rFonts w:ascii="Arial" w:cs="Arial" w:eastAsia="Arial" w:hAnsi="Arial"/>
          <w:sz w:val="17"/>
          <w:szCs w:val="17"/>
          <w:color w:val="003551"/>
        </w:rPr>
      </w:pPr>
    </w:p>
    <w:p>
      <w:pPr>
        <w:ind w:left="2680" w:right="759" w:hanging="346"/>
        <w:spacing w:after="0" w:line="283" w:lineRule="auto"/>
        <w:tabs>
          <w:tab w:leader="none" w:pos="2680" w:val="left"/>
        </w:tabs>
        <w:numPr>
          <w:ilvl w:val="1"/>
          <w:numId w:val="160"/>
        </w:numPr>
        <w:rPr>
          <w:rFonts w:ascii="Arial" w:cs="Arial" w:eastAsia="Arial" w:hAnsi="Arial"/>
          <w:sz w:val="17"/>
          <w:szCs w:val="17"/>
          <w:color w:val="003551"/>
        </w:rPr>
      </w:pPr>
      <w:r>
        <w:rPr>
          <w:rFonts w:ascii="Arial" w:cs="Arial" w:eastAsia="Arial" w:hAnsi="Arial"/>
          <w:sz w:val="17"/>
          <w:szCs w:val="17"/>
          <w:color w:val="003551"/>
        </w:rPr>
        <w:t>if the board has fixed a time for determining entitlements to the dividend, at that time; and</w:t>
      </w:r>
    </w:p>
    <w:p>
      <w:pPr>
        <w:spacing w:after="0" w:line="36" w:lineRule="exact"/>
        <w:rPr>
          <w:rFonts w:ascii="Arial" w:cs="Arial" w:eastAsia="Arial" w:hAnsi="Arial"/>
          <w:sz w:val="17"/>
          <w:szCs w:val="17"/>
          <w:color w:val="003551"/>
        </w:rPr>
      </w:pPr>
    </w:p>
    <w:p>
      <w:pPr>
        <w:ind w:left="2680" w:hanging="346"/>
        <w:spacing w:after="0"/>
        <w:tabs>
          <w:tab w:leader="none" w:pos="2680" w:val="left"/>
        </w:tabs>
        <w:numPr>
          <w:ilvl w:val="1"/>
          <w:numId w:val="160"/>
        </w:numPr>
        <w:rPr>
          <w:rFonts w:ascii="Arial" w:cs="Arial" w:eastAsia="Arial" w:hAnsi="Arial"/>
          <w:sz w:val="17"/>
          <w:szCs w:val="17"/>
          <w:color w:val="003551"/>
        </w:rPr>
      </w:pPr>
      <w:r>
        <w:rPr>
          <w:rFonts w:ascii="Arial" w:cs="Arial" w:eastAsia="Arial" w:hAnsi="Arial"/>
          <w:sz w:val="17"/>
          <w:szCs w:val="17"/>
          <w:color w:val="003551"/>
        </w:rPr>
        <w:t>in any other case, on the date on which the dividend is paid,</w:t>
      </w:r>
    </w:p>
    <w:p>
      <w:pPr>
        <w:spacing w:after="0" w:line="106" w:lineRule="exact"/>
        <w:rPr>
          <w:sz w:val="20"/>
          <w:szCs w:val="20"/>
          <w:color w:val="auto"/>
        </w:rPr>
      </w:pPr>
    </w:p>
    <w:p>
      <w:pPr>
        <w:ind w:left="1640" w:right="439"/>
        <w:spacing w:after="0" w:line="262" w:lineRule="auto"/>
        <w:rPr>
          <w:sz w:val="20"/>
          <w:szCs w:val="20"/>
          <w:color w:val="auto"/>
        </w:rPr>
      </w:pPr>
      <w:r>
        <w:rPr>
          <w:rFonts w:ascii="Arial" w:cs="Arial" w:eastAsia="Arial" w:hAnsi="Arial"/>
          <w:sz w:val="17"/>
          <w:szCs w:val="17"/>
          <w:color w:val="003551"/>
        </w:rPr>
        <w:t xml:space="preserve">and a transfer of a share that is not registered, or left with the company for registration under rule </w:t>
      </w:r>
      <w:r>
        <w:rPr>
          <w:rFonts w:ascii="Arial" w:cs="Arial" w:eastAsia="Arial" w:hAnsi="Arial"/>
          <w:sz w:val="17"/>
          <w:szCs w:val="17"/>
          <w:u w:val="single" w:color="auto"/>
          <w:color w:val="003551"/>
        </w:rPr>
        <w:t>13.3(b)</w:t>
      </w:r>
      <w:r>
        <w:rPr>
          <w:rFonts w:ascii="Arial" w:cs="Arial" w:eastAsia="Arial" w:hAnsi="Arial"/>
          <w:sz w:val="17"/>
          <w:szCs w:val="17"/>
          <w:color w:val="003551"/>
        </w:rPr>
        <w:t>, on or before that time or date is not effective, as against the company, to pass any right to the dividend.</w:t>
      </w:r>
    </w:p>
    <w:p>
      <w:pPr>
        <w:spacing w:after="0" w:line="54" w:lineRule="exact"/>
        <w:rPr>
          <w:sz w:val="20"/>
          <w:szCs w:val="20"/>
          <w:color w:val="auto"/>
        </w:rPr>
      </w:pPr>
    </w:p>
    <w:p>
      <w:pPr>
        <w:ind w:left="1980" w:hanging="344"/>
        <w:spacing w:after="0"/>
        <w:tabs>
          <w:tab w:leader="none" w:pos="1980" w:val="left"/>
        </w:tabs>
        <w:numPr>
          <w:ilvl w:val="0"/>
          <w:numId w:val="161"/>
        </w:numPr>
        <w:rPr>
          <w:rFonts w:ascii="Arial" w:cs="Arial" w:eastAsia="Arial" w:hAnsi="Arial"/>
          <w:sz w:val="17"/>
          <w:szCs w:val="17"/>
          <w:color w:val="003551"/>
        </w:rPr>
      </w:pPr>
      <w:r>
        <w:rPr>
          <w:rFonts w:ascii="Arial" w:cs="Arial" w:eastAsia="Arial" w:hAnsi="Arial"/>
          <w:sz w:val="17"/>
          <w:szCs w:val="17"/>
          <w:color w:val="003551"/>
        </w:rPr>
        <w:t xml:space="preserve">The provisions of </w:t>
      </w:r>
      <w:r>
        <w:rPr>
          <w:rFonts w:ascii="Arial" w:cs="Arial" w:eastAsia="Arial" w:hAnsi="Arial"/>
          <w:sz w:val="17"/>
          <w:szCs w:val="17"/>
          <w:u w:val="single" w:color="auto"/>
          <w:color w:val="003551"/>
        </w:rPr>
        <w:t>rule 21</w:t>
      </w:r>
      <w:r>
        <w:rPr>
          <w:rFonts w:ascii="Arial" w:cs="Arial" w:eastAsia="Arial" w:hAnsi="Arial"/>
          <w:sz w:val="17"/>
          <w:szCs w:val="17"/>
          <w:color w:val="003551"/>
        </w:rPr>
        <w:t xml:space="preserve"> apply to the payment of any dividend.</w:t>
      </w:r>
    </w:p>
    <w:p>
      <w:pPr>
        <w:spacing w:after="0" w:line="103" w:lineRule="exact"/>
        <w:rPr>
          <w:rFonts w:ascii="Arial" w:cs="Arial" w:eastAsia="Arial" w:hAnsi="Arial"/>
          <w:sz w:val="17"/>
          <w:szCs w:val="17"/>
          <w:color w:val="003551"/>
        </w:rPr>
      </w:pPr>
    </w:p>
    <w:p>
      <w:pPr>
        <w:ind w:left="940"/>
        <w:spacing w:after="0"/>
        <w:rPr>
          <w:rFonts w:ascii="Arial" w:cs="Arial" w:eastAsia="Arial" w:hAnsi="Arial"/>
          <w:sz w:val="17"/>
          <w:szCs w:val="17"/>
          <w:color w:val="003551"/>
        </w:rPr>
      </w:pPr>
      <w:r>
        <w:rPr>
          <w:rFonts w:ascii="Arial" w:cs="Arial" w:eastAsia="Arial" w:hAnsi="Arial"/>
          <w:sz w:val="17"/>
          <w:szCs w:val="17"/>
          <w:b w:val="1"/>
          <w:bCs w:val="1"/>
          <w:color w:val="003551"/>
        </w:rPr>
        <w:t>15.4No interest on dividends</w:t>
      </w:r>
    </w:p>
    <w:p>
      <w:pPr>
        <w:spacing w:after="0" w:line="108" w:lineRule="exact"/>
        <w:rPr>
          <w:sz w:val="20"/>
          <w:szCs w:val="20"/>
          <w:color w:val="auto"/>
        </w:rPr>
      </w:pPr>
    </w:p>
    <w:p>
      <w:pPr>
        <w:ind w:left="1640" w:right="739"/>
        <w:spacing w:after="0" w:line="283" w:lineRule="auto"/>
        <w:rPr>
          <w:sz w:val="20"/>
          <w:szCs w:val="20"/>
          <w:color w:val="auto"/>
        </w:rPr>
      </w:pPr>
      <w:r>
        <w:rPr>
          <w:rFonts w:ascii="Arial" w:cs="Arial" w:eastAsia="Arial" w:hAnsi="Arial"/>
          <w:sz w:val="17"/>
          <w:szCs w:val="17"/>
          <w:color w:val="003551"/>
        </w:rPr>
        <w:t>Subject to rights attaching to any class of shares, no interest is payable by the company on a dividend.</w:t>
      </w:r>
    </w:p>
    <w:p>
      <w:pPr>
        <w:spacing w:after="0" w:line="142"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119380</wp:posOffset>
            </wp:positionV>
            <wp:extent cx="6786880" cy="1651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15.5</w:t>
      </w:r>
      <w:r>
        <w:rPr>
          <w:sz w:val="20"/>
          <w:szCs w:val="20"/>
          <w:color w:val="auto"/>
        </w:rPr>
        <w:tab/>
      </w:r>
      <w:r>
        <w:rPr>
          <w:rFonts w:ascii="Arial" w:cs="Arial" w:eastAsia="Arial" w:hAnsi="Arial"/>
          <w:sz w:val="17"/>
          <w:szCs w:val="17"/>
          <w:b w:val="1"/>
          <w:bCs w:val="1"/>
          <w:color w:val="003551"/>
        </w:rPr>
        <w:t>Deductions from dividends</w:t>
      </w:r>
    </w:p>
    <w:p>
      <w:pPr>
        <w:spacing w:after="0" w:line="108" w:lineRule="exact"/>
        <w:rPr>
          <w:sz w:val="20"/>
          <w:szCs w:val="20"/>
          <w:color w:val="auto"/>
        </w:rPr>
      </w:pPr>
    </w:p>
    <w:p>
      <w:pPr>
        <w:ind w:left="1640" w:right="379"/>
        <w:spacing w:after="0" w:line="262" w:lineRule="auto"/>
        <w:rPr>
          <w:sz w:val="20"/>
          <w:szCs w:val="20"/>
          <w:color w:val="auto"/>
        </w:rPr>
      </w:pPr>
      <w:r>
        <w:rPr>
          <w:rFonts w:ascii="Arial" w:cs="Arial" w:eastAsia="Arial" w:hAnsi="Arial"/>
          <w:sz w:val="17"/>
          <w:szCs w:val="17"/>
          <w:color w:val="003551"/>
        </w:rPr>
        <w:t>The board may deduct from any dividend payable to a member all sums presently payable by that member to the company on account of calls or otherwise in relation to shares in the company and may apply the amount deducted against the amount so payable.</w:t>
      </w:r>
    </w:p>
    <w:p>
      <w:pPr>
        <w:spacing w:after="0" w:line="52"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15.6</w:t>
      </w:r>
      <w:r>
        <w:rPr>
          <w:sz w:val="20"/>
          <w:szCs w:val="20"/>
          <w:color w:val="auto"/>
        </w:rPr>
        <w:tab/>
      </w:r>
      <w:r>
        <w:rPr>
          <w:rFonts w:ascii="Arial" w:cs="Arial" w:eastAsia="Arial" w:hAnsi="Arial"/>
          <w:sz w:val="17"/>
          <w:szCs w:val="17"/>
          <w:b w:val="1"/>
          <w:bCs w:val="1"/>
          <w:color w:val="003551"/>
        </w:rPr>
        <w:t>Available sources for payment of dividends</w:t>
      </w:r>
    </w:p>
    <w:p>
      <w:pPr>
        <w:spacing w:after="0" w:line="108" w:lineRule="exact"/>
        <w:rPr>
          <w:sz w:val="20"/>
          <w:szCs w:val="20"/>
          <w:color w:val="auto"/>
        </w:rPr>
      </w:pPr>
    </w:p>
    <w:p>
      <w:pPr>
        <w:ind w:left="1640" w:right="1059"/>
        <w:spacing w:after="0" w:line="283" w:lineRule="auto"/>
        <w:rPr>
          <w:sz w:val="20"/>
          <w:szCs w:val="20"/>
          <w:color w:val="auto"/>
        </w:rPr>
      </w:pPr>
      <w:r>
        <w:rPr>
          <w:rFonts w:ascii="Arial" w:cs="Arial" w:eastAsia="Arial" w:hAnsi="Arial"/>
          <w:sz w:val="17"/>
          <w:szCs w:val="17"/>
          <w:color w:val="003551"/>
        </w:rPr>
        <w:t>When deciding to pay a dividend, the board may direct payment of the dividend from any available source permitted by law, including:</w:t>
      </w:r>
    </w:p>
    <w:p>
      <w:pPr>
        <w:spacing w:after="0" w:line="37" w:lineRule="exact"/>
        <w:rPr>
          <w:sz w:val="20"/>
          <w:szCs w:val="20"/>
          <w:color w:val="auto"/>
        </w:rPr>
      </w:pPr>
    </w:p>
    <w:p>
      <w:pPr>
        <w:ind w:left="2320" w:right="499" w:hanging="335"/>
        <w:spacing w:after="0" w:line="255" w:lineRule="auto"/>
        <w:tabs>
          <w:tab w:leader="none" w:pos="2320" w:val="left"/>
        </w:tabs>
        <w:numPr>
          <w:ilvl w:val="0"/>
          <w:numId w:val="162"/>
        </w:numPr>
        <w:rPr>
          <w:rFonts w:ascii="Arial" w:cs="Arial" w:eastAsia="Arial" w:hAnsi="Arial"/>
          <w:sz w:val="17"/>
          <w:szCs w:val="17"/>
          <w:color w:val="003551"/>
        </w:rPr>
      </w:pPr>
      <w:r>
        <w:rPr>
          <w:rFonts w:ascii="Arial" w:cs="Arial" w:eastAsia="Arial" w:hAnsi="Arial"/>
          <w:sz w:val="17"/>
          <w:szCs w:val="17"/>
          <w:color w:val="003551"/>
        </w:rPr>
        <w:t xml:space="preserve">wholly or in part by the distribution of specific assets including fully paid shares or other securities of the company or of any other body corporate either generally or to specific members, in which case the provisions of </w:t>
      </w:r>
      <w:r>
        <w:rPr>
          <w:rFonts w:ascii="Arial" w:cs="Arial" w:eastAsia="Arial" w:hAnsi="Arial"/>
          <w:sz w:val="17"/>
          <w:szCs w:val="17"/>
          <w:u w:val="single" w:color="auto"/>
          <w:color w:val="003551"/>
        </w:rPr>
        <w:t>rules 17.1</w:t>
      </w:r>
      <w:r>
        <w:rPr>
          <w:rFonts w:ascii="Arial" w:cs="Arial" w:eastAsia="Arial" w:hAnsi="Arial"/>
          <w:sz w:val="17"/>
          <w:szCs w:val="17"/>
          <w:color w:val="003551"/>
        </w:rPr>
        <w:t xml:space="preserve"> and </w:t>
      </w:r>
      <w:r>
        <w:rPr>
          <w:rFonts w:ascii="Arial" w:cs="Arial" w:eastAsia="Arial" w:hAnsi="Arial"/>
          <w:sz w:val="17"/>
          <w:szCs w:val="17"/>
          <w:u w:val="single" w:color="auto"/>
          <w:color w:val="003551"/>
        </w:rPr>
        <w:t>17.2</w:t>
      </w:r>
      <w:r>
        <w:rPr>
          <w:rFonts w:ascii="Arial" w:cs="Arial" w:eastAsia="Arial" w:hAnsi="Arial"/>
          <w:sz w:val="17"/>
          <w:szCs w:val="17"/>
          <w:color w:val="003551"/>
        </w:rPr>
        <w:t xml:space="preserve"> apply to any such distribution; and</w:t>
      </w:r>
    </w:p>
    <w:p>
      <w:pPr>
        <w:spacing w:after="0" w:line="59" w:lineRule="exact"/>
        <w:rPr>
          <w:rFonts w:ascii="Arial" w:cs="Arial" w:eastAsia="Arial" w:hAnsi="Arial"/>
          <w:sz w:val="17"/>
          <w:szCs w:val="17"/>
          <w:color w:val="003551"/>
        </w:rPr>
      </w:pPr>
    </w:p>
    <w:p>
      <w:pPr>
        <w:ind w:left="2320" w:right="519" w:hanging="335"/>
        <w:spacing w:after="0" w:line="255" w:lineRule="auto"/>
        <w:tabs>
          <w:tab w:leader="none" w:pos="2320" w:val="left"/>
        </w:tabs>
        <w:numPr>
          <w:ilvl w:val="0"/>
          <w:numId w:val="162"/>
        </w:numPr>
        <w:rPr>
          <w:rFonts w:ascii="Arial" w:cs="Arial" w:eastAsia="Arial" w:hAnsi="Arial"/>
          <w:sz w:val="17"/>
          <w:szCs w:val="17"/>
          <w:color w:val="003551"/>
        </w:rPr>
      </w:pPr>
      <w:r>
        <w:rPr>
          <w:rFonts w:ascii="Arial" w:cs="Arial" w:eastAsia="Arial" w:hAnsi="Arial"/>
          <w:sz w:val="17"/>
          <w:szCs w:val="17"/>
          <w:color w:val="003551"/>
        </w:rPr>
        <w:t xml:space="preserve">subject to the Listing Rules </w:t>
      </w:r>
      <w:r>
        <w:rPr>
          <w:rFonts w:ascii="Arial" w:cs="Arial" w:eastAsia="Arial" w:hAnsi="Arial"/>
          <w:sz w:val="17"/>
          <w:szCs w:val="17"/>
          <w:color w:val="0000FF"/>
        </w:rPr>
        <w:t>and the Securities Laws</w:t>
      </w:r>
      <w:r>
        <w:rPr>
          <w:rFonts w:ascii="Arial" w:cs="Arial" w:eastAsia="Arial" w:hAnsi="Arial"/>
          <w:sz w:val="17"/>
          <w:szCs w:val="17"/>
          <w:color w:val="000000"/>
        </w:rPr>
        <w:t>, to particular members wholly or in</w:t>
      </w:r>
      <w:r>
        <w:rPr>
          <w:rFonts w:ascii="Arial" w:cs="Arial" w:eastAsia="Arial" w:hAnsi="Arial"/>
          <w:sz w:val="17"/>
          <w:szCs w:val="17"/>
          <w:color w:val="003551"/>
        </w:rPr>
        <w:t xml:space="preserve"> </w:t>
      </w:r>
      <w:r>
        <w:rPr>
          <w:rFonts w:ascii="Arial" w:cs="Arial" w:eastAsia="Arial" w:hAnsi="Arial"/>
          <w:sz w:val="17"/>
          <w:szCs w:val="17"/>
          <w:color w:val="000000"/>
        </w:rPr>
        <w:t>part out of any particular fund or reserve or out of profits derived from any particular source, and to the other members wholly or partly out of any other particular fund or reserve or out of profits derived from any other particular source.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2799080</wp:posOffset>
            </wp:positionH>
            <wp:positionV relativeFrom="paragraph">
              <wp:posOffset>-391160</wp:posOffset>
            </wp:positionV>
            <wp:extent cx="120586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05865" cy="8255"/>
                    </a:xfrm>
                    <a:prstGeom prst="rect">
                      <a:avLst/>
                    </a:prstGeom>
                    <a:noFill/>
                  </pic:spPr>
                </pic:pic>
              </a:graphicData>
            </a:graphic>
          </wp:anchor>
        </w:drawing>
        <w:drawing>
          <wp:anchor simplePos="0" relativeHeight="251657728" behindDoc="1" locked="0" layoutInCell="0" allowOverlap="1">
            <wp:simplePos x="0" y="0"/>
            <wp:positionH relativeFrom="column">
              <wp:posOffset>2801620</wp:posOffset>
            </wp:positionH>
            <wp:positionV relativeFrom="paragraph">
              <wp:posOffset>-408305</wp:posOffset>
            </wp:positionV>
            <wp:extent cx="120777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07770" cy="8255"/>
                    </a:xfrm>
                    <a:prstGeom prst="rect">
                      <a:avLst/>
                    </a:prstGeom>
                    <a:noFill/>
                  </pic:spPr>
                </pic:pic>
              </a:graphicData>
            </a:graphic>
          </wp:anchor>
        </w:drawing>
      </w:r>
    </w:p>
    <w:p>
      <w:pPr>
        <w:spacing w:after="0" w:line="38"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15.7</w:t>
      </w:r>
      <w:r>
        <w:rPr>
          <w:sz w:val="20"/>
          <w:szCs w:val="20"/>
          <w:color w:val="auto"/>
        </w:rPr>
        <w:tab/>
      </w:r>
      <w:r>
        <w:rPr>
          <w:rFonts w:ascii="Arial" w:cs="Arial" w:eastAsia="Arial" w:hAnsi="Arial"/>
          <w:sz w:val="17"/>
          <w:szCs w:val="17"/>
          <w:b w:val="1"/>
          <w:bCs w:val="1"/>
          <w:color w:val="003551"/>
        </w:rPr>
        <w:t>Scrip dividend</w:t>
      </w:r>
    </w:p>
    <w:p>
      <w:pPr>
        <w:spacing w:after="0" w:line="108" w:lineRule="exact"/>
        <w:rPr>
          <w:sz w:val="20"/>
          <w:szCs w:val="20"/>
          <w:color w:val="auto"/>
        </w:rPr>
      </w:pPr>
    </w:p>
    <w:p>
      <w:pPr>
        <w:ind w:left="1640" w:right="439"/>
        <w:spacing w:after="0" w:line="248" w:lineRule="auto"/>
        <w:rPr>
          <w:sz w:val="20"/>
          <w:szCs w:val="20"/>
          <w:color w:val="auto"/>
        </w:rPr>
      </w:pPr>
      <w:r>
        <w:rPr>
          <w:rFonts w:ascii="Arial" w:cs="Arial" w:eastAsia="Arial" w:hAnsi="Arial"/>
          <w:sz w:val="17"/>
          <w:szCs w:val="17"/>
          <w:color w:val="003551"/>
        </w:rPr>
        <w:t xml:space="preserve">Subject to the Listing Rules </w:t>
      </w:r>
      <w:r>
        <w:rPr>
          <w:rFonts w:ascii="Arial" w:cs="Arial" w:eastAsia="Arial" w:hAnsi="Arial"/>
          <w:sz w:val="17"/>
          <w:szCs w:val="17"/>
          <w:color w:val="0000FF"/>
        </w:rPr>
        <w:t>and the Securities Laws</w:t>
      </w:r>
      <w:r>
        <w:rPr>
          <w:rFonts w:ascii="Arial" w:cs="Arial" w:eastAsia="Arial" w:hAnsi="Arial"/>
          <w:sz w:val="17"/>
          <w:szCs w:val="17"/>
          <w:color w:val="000000"/>
        </w:rPr>
        <w:t>, when deciding to pay a dividend, the board</w:t>
      </w:r>
      <w:r>
        <w:rPr>
          <w:rFonts w:ascii="Arial" w:cs="Arial" w:eastAsia="Arial" w:hAnsi="Arial"/>
          <w:sz w:val="17"/>
          <w:szCs w:val="17"/>
          <w:color w:val="003551"/>
        </w:rPr>
        <w:t xml:space="preserve"> </w:t>
      </w:r>
      <w:r>
        <w:rPr>
          <w:rFonts w:ascii="Arial" w:cs="Arial" w:eastAsia="Arial" w:hAnsi="Arial"/>
          <w:sz w:val="17"/>
          <w:szCs w:val="17"/>
          <w:color w:val="000000"/>
        </w:rPr>
        <w:t>may determine to offer members entitled to the dividend the right to elect to forego all or part of that dividend and to receive instead new shares credited as fully paid on such terms as the directors think fit. If the board makes such a determination, it may decide at any time before such new shares are issued to withdraw the right to receive shares and to pay the dividend in cash instead. Any such decision may be made before or after any election has been made by any member in respect of that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2383155</wp:posOffset>
            </wp:positionH>
            <wp:positionV relativeFrom="paragraph">
              <wp:posOffset>-762000</wp:posOffset>
            </wp:positionV>
            <wp:extent cx="120586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05865" cy="8255"/>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-778510</wp:posOffset>
            </wp:positionV>
            <wp:extent cx="120777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07770" cy="8255"/>
                    </a:xfrm>
                    <a:prstGeom prst="rect">
                      <a:avLst/>
                    </a:prstGeom>
                    <a:noFill/>
                  </pic:spPr>
                </pic:pic>
              </a:graphicData>
            </a:graphic>
          </wp:anchor>
        </w:drawing>
      </w:r>
    </w:p>
    <w:p>
      <w:pPr>
        <w:spacing w:after="0" w:line="44" w:lineRule="exact"/>
        <w:rPr>
          <w:sz w:val="20"/>
          <w:szCs w:val="20"/>
          <w:color w:val="auto"/>
        </w:rPr>
      </w:pPr>
    </w:p>
    <w:p>
      <w:pPr>
        <w:ind w:left="940" w:right="5719" w:hanging="3"/>
        <w:spacing w:after="0" w:line="371" w:lineRule="auto"/>
        <w:tabs>
          <w:tab w:leader="none" w:pos="1634" w:val="left"/>
        </w:tabs>
        <w:numPr>
          <w:ilvl w:val="0"/>
          <w:numId w:val="163"/>
        </w:numPr>
        <w:rPr>
          <w:rFonts w:ascii="Arial" w:cs="Arial" w:eastAsia="Arial" w:hAnsi="Arial"/>
          <w:sz w:val="17"/>
          <w:szCs w:val="17"/>
          <w:b w:val="1"/>
          <w:bCs w:val="1"/>
          <w:color w:val="003551"/>
        </w:rPr>
      </w:pPr>
      <w:r>
        <w:rPr>
          <w:rFonts w:ascii="Arial" w:cs="Arial" w:eastAsia="Arial" w:hAnsi="Arial"/>
          <w:sz w:val="17"/>
          <w:szCs w:val="17"/>
          <w:b w:val="1"/>
          <w:bCs w:val="1"/>
          <w:color w:val="003551"/>
        </w:rPr>
        <w:t>RESERVES AND PROFITS 16.1 Reserves</w:t>
      </w:r>
    </w:p>
    <w:p>
      <w:pPr>
        <w:ind w:left="1640" w:right="539"/>
        <w:spacing w:after="0" w:line="251" w:lineRule="auto"/>
        <w:rPr>
          <w:sz w:val="20"/>
          <w:szCs w:val="20"/>
          <w:color w:val="auto"/>
        </w:rPr>
      </w:pPr>
      <w:r>
        <w:rPr>
          <w:rFonts w:ascii="Arial" w:cs="Arial" w:eastAsia="Arial" w:hAnsi="Arial"/>
          <w:sz w:val="17"/>
          <w:szCs w:val="17"/>
          <w:color w:val="003551"/>
        </w:rPr>
        <w:t>The board may set aside out of the profits of the company such amounts as the directors think proper as a reserve, to be applied for any purpose for which the profits of the company may be properly applied, and may appropriate to the company’s profits any amount previously set aside as a reserve. Any amount set aside as a reserve is not required to be held separately from the company’s other assets and may be used by company or invested as the board thinks fit.</w:t>
      </w:r>
    </w:p>
    <w:p>
      <w:pPr>
        <w:spacing w:after="0" w:line="63"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16.2</w:t>
      </w:r>
      <w:r>
        <w:rPr>
          <w:sz w:val="20"/>
          <w:szCs w:val="20"/>
          <w:color w:val="auto"/>
        </w:rPr>
        <w:tab/>
      </w:r>
      <w:r>
        <w:rPr>
          <w:rFonts w:ascii="Arial" w:cs="Arial" w:eastAsia="Arial" w:hAnsi="Arial"/>
          <w:sz w:val="17"/>
          <w:szCs w:val="17"/>
          <w:b w:val="1"/>
          <w:bCs w:val="1"/>
          <w:color w:val="003551"/>
        </w:rPr>
        <w:t>Carry forward of profits</w:t>
      </w:r>
    </w:p>
    <w:p>
      <w:pPr>
        <w:spacing w:after="0" w:line="108" w:lineRule="exact"/>
        <w:rPr>
          <w:sz w:val="20"/>
          <w:szCs w:val="20"/>
          <w:color w:val="auto"/>
        </w:rPr>
      </w:pPr>
    </w:p>
    <w:p>
      <w:pPr>
        <w:ind w:left="1640" w:right="1119"/>
        <w:spacing w:after="0" w:line="283" w:lineRule="auto"/>
        <w:rPr>
          <w:sz w:val="20"/>
          <w:szCs w:val="20"/>
          <w:color w:val="auto"/>
        </w:rPr>
      </w:pPr>
      <w:r>
        <w:rPr>
          <w:rFonts w:ascii="Arial" w:cs="Arial" w:eastAsia="Arial" w:hAnsi="Arial"/>
          <w:sz w:val="17"/>
          <w:szCs w:val="17"/>
          <w:color w:val="003551"/>
        </w:rPr>
        <w:t>The board may carry forward any part of the profits of the company that it decides not to distribute as dividends without transferring those profits to a reserve.</w:t>
      </w:r>
    </w:p>
    <w:p>
      <w:pPr>
        <w:spacing w:after="0" w:line="35"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16.3</w:t>
      </w:r>
      <w:r>
        <w:rPr>
          <w:sz w:val="20"/>
          <w:szCs w:val="20"/>
          <w:color w:val="auto"/>
        </w:rPr>
        <w:tab/>
      </w:r>
      <w:r>
        <w:rPr>
          <w:rFonts w:ascii="Arial" w:cs="Arial" w:eastAsia="Arial" w:hAnsi="Arial"/>
          <w:sz w:val="17"/>
          <w:szCs w:val="17"/>
          <w:b w:val="1"/>
          <w:bCs w:val="1"/>
          <w:color w:val="003551"/>
        </w:rPr>
        <w:t>Capitalisation of reserves and profits</w:t>
      </w:r>
    </w:p>
    <w:p>
      <w:pPr>
        <w:spacing w:after="0" w:line="108" w:lineRule="exact"/>
        <w:rPr>
          <w:sz w:val="20"/>
          <w:szCs w:val="20"/>
          <w:color w:val="auto"/>
        </w:rPr>
      </w:pPr>
    </w:p>
    <w:p>
      <w:pPr>
        <w:ind w:left="1640" w:right="539"/>
        <w:spacing w:after="0" w:line="283" w:lineRule="auto"/>
        <w:rPr>
          <w:sz w:val="20"/>
          <w:szCs w:val="20"/>
          <w:color w:val="auto"/>
        </w:rPr>
      </w:pPr>
      <w:r>
        <w:rPr>
          <w:rFonts w:ascii="Arial" w:cs="Arial" w:eastAsia="Arial" w:hAnsi="Arial"/>
          <w:sz w:val="17"/>
          <w:szCs w:val="17"/>
          <w:color w:val="003551"/>
        </w:rPr>
        <w:t>Subject to the Listing Rules</w:t>
      </w:r>
      <w:r>
        <w:rPr>
          <w:rFonts w:ascii="Arial" w:cs="Arial" w:eastAsia="Arial" w:hAnsi="Arial"/>
          <w:sz w:val="17"/>
          <w:szCs w:val="17"/>
          <w:u w:val="single" w:color="auto"/>
          <w:color w:val="0000FF"/>
        </w:rPr>
        <w:t>, the Securities Laws</w:t>
      </w:r>
      <w:r>
        <w:rPr>
          <w:rFonts w:ascii="Arial" w:cs="Arial" w:eastAsia="Arial" w:hAnsi="Arial"/>
          <w:sz w:val="17"/>
          <w:szCs w:val="17"/>
          <w:color w:val="003551"/>
        </w:rPr>
        <w:t xml:space="preserve"> </w:t>
      </w:r>
      <w:r>
        <w:rPr>
          <w:rFonts w:ascii="Arial" w:cs="Arial" w:eastAsia="Arial" w:hAnsi="Arial"/>
          <w:sz w:val="17"/>
          <w:szCs w:val="17"/>
          <w:color w:val="000000"/>
        </w:rPr>
        <w:t>and any rights or restrictions for the time being</w:t>
      </w:r>
      <w:r>
        <w:rPr>
          <w:rFonts w:ascii="Arial" w:cs="Arial" w:eastAsia="Arial" w:hAnsi="Arial"/>
          <w:sz w:val="17"/>
          <w:szCs w:val="17"/>
          <w:color w:val="003551"/>
        </w:rPr>
        <w:t xml:space="preserve"> </w:t>
      </w:r>
      <w:r>
        <w:rPr>
          <w:rFonts w:ascii="Arial" w:cs="Arial" w:eastAsia="Arial" w:hAnsi="Arial"/>
          <w:sz w:val="17"/>
          <w:szCs w:val="17"/>
          <w:color w:val="000000"/>
        </w:rPr>
        <w:t>attached to any class or classes of shares:</w:t>
      </w:r>
    </w:p>
    <w:p>
      <w:pPr>
        <w:spacing w:after="0" w:line="37" w:lineRule="exact"/>
        <w:rPr>
          <w:sz w:val="20"/>
          <w:szCs w:val="20"/>
          <w:color w:val="auto"/>
        </w:rPr>
      </w:pPr>
    </w:p>
    <w:p>
      <w:pPr>
        <w:ind w:left="2320" w:right="399" w:hanging="335"/>
        <w:spacing w:after="0" w:line="262" w:lineRule="auto"/>
        <w:tabs>
          <w:tab w:leader="none" w:pos="2320" w:val="left"/>
        </w:tabs>
        <w:numPr>
          <w:ilvl w:val="0"/>
          <w:numId w:val="164"/>
        </w:numPr>
        <w:rPr>
          <w:rFonts w:ascii="Arial" w:cs="Arial" w:eastAsia="Arial" w:hAnsi="Arial"/>
          <w:sz w:val="17"/>
          <w:szCs w:val="17"/>
          <w:color w:val="003551"/>
        </w:rPr>
      </w:pPr>
      <w:r>
        <w:rPr>
          <w:rFonts w:ascii="Arial" w:cs="Arial" w:eastAsia="Arial" w:hAnsi="Arial"/>
          <w:sz w:val="17"/>
          <w:szCs w:val="17"/>
          <w:color w:val="003551"/>
        </w:rPr>
        <w:t>the board may resolve to capitalise all or part of any amount standing to the credit of any reserve account or the profit and loss account or otherwise available for distribution to members;</w:t>
      </w:r>
    </w:p>
    <w:p>
      <w:pPr>
        <w:spacing w:after="0" w:line="15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119380</wp:posOffset>
            </wp:positionV>
            <wp:extent cx="6786880" cy="1651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320" w:right="479" w:hanging="335"/>
        <w:spacing w:after="0" w:line="251" w:lineRule="auto"/>
        <w:tabs>
          <w:tab w:leader="none" w:pos="2320" w:val="left"/>
        </w:tabs>
        <w:numPr>
          <w:ilvl w:val="0"/>
          <w:numId w:val="165"/>
        </w:numPr>
        <w:rPr>
          <w:rFonts w:ascii="Arial" w:cs="Arial" w:eastAsia="Arial" w:hAnsi="Arial"/>
          <w:sz w:val="17"/>
          <w:szCs w:val="17"/>
          <w:color w:val="003551"/>
        </w:rPr>
      </w:pPr>
      <w:r>
        <w:rPr>
          <w:rFonts w:ascii="Arial" w:cs="Arial" w:eastAsia="Arial" w:hAnsi="Arial"/>
          <w:sz w:val="17"/>
          <w:szCs w:val="17"/>
          <w:color w:val="003551"/>
        </w:rPr>
        <w:t>the board may resolve to apply all or part of any amount so capitalised for the benefit of members in the proportions to which those members would have been entitled in a distribution of that sum by way of dividend in paying up any amounts unpaid on shares held by members or in paying up in full unissued shares or other securities to be issued to members as fully paid; and</w:t>
      </w:r>
    </w:p>
    <w:p>
      <w:pPr>
        <w:spacing w:after="0" w:line="65" w:lineRule="exact"/>
        <w:rPr>
          <w:rFonts w:ascii="Arial" w:cs="Arial" w:eastAsia="Arial" w:hAnsi="Arial"/>
          <w:sz w:val="17"/>
          <w:szCs w:val="17"/>
          <w:color w:val="003551"/>
        </w:rPr>
      </w:pPr>
    </w:p>
    <w:p>
      <w:pPr>
        <w:ind w:left="2320" w:hanging="335"/>
        <w:spacing w:after="0"/>
        <w:tabs>
          <w:tab w:leader="none" w:pos="2320" w:val="left"/>
        </w:tabs>
        <w:numPr>
          <w:ilvl w:val="0"/>
          <w:numId w:val="165"/>
        </w:numPr>
        <w:rPr>
          <w:rFonts w:ascii="Arial" w:cs="Arial" w:eastAsia="Arial" w:hAnsi="Arial"/>
          <w:sz w:val="17"/>
          <w:szCs w:val="17"/>
          <w:color w:val="003551"/>
        </w:rPr>
      </w:pPr>
      <w:r>
        <w:rPr>
          <w:rFonts w:ascii="Arial" w:cs="Arial" w:eastAsia="Arial" w:hAnsi="Arial"/>
          <w:sz w:val="17"/>
          <w:szCs w:val="17"/>
          <w:color w:val="003551"/>
        </w:rPr>
        <w:t xml:space="preserve">if the board resolves to apply any amount for the benefit of members under </w:t>
      </w:r>
      <w:r>
        <w:rPr>
          <w:rFonts w:ascii="Arial" w:cs="Arial" w:eastAsia="Arial" w:hAnsi="Arial"/>
          <w:sz w:val="17"/>
          <w:szCs w:val="17"/>
          <w:u w:val="single" w:color="auto"/>
          <w:color w:val="003551"/>
        </w:rPr>
        <w:t>rule 16.3(b)</w:t>
      </w:r>
      <w:r>
        <w:rPr>
          <w:rFonts w:ascii="Arial" w:cs="Arial" w:eastAsia="Arial" w:hAnsi="Arial"/>
          <w:sz w:val="17"/>
          <w:szCs w:val="17"/>
          <w:color w:val="003551"/>
        </w:rPr>
        <w:t>:</w:t>
      </w:r>
    </w:p>
    <w:p>
      <w:pPr>
        <w:spacing w:after="0" w:line="105" w:lineRule="exact"/>
        <w:rPr>
          <w:rFonts w:ascii="Arial" w:cs="Arial" w:eastAsia="Arial" w:hAnsi="Arial"/>
          <w:sz w:val="17"/>
          <w:szCs w:val="17"/>
          <w:color w:val="003551"/>
        </w:rPr>
      </w:pPr>
    </w:p>
    <w:p>
      <w:pPr>
        <w:ind w:left="2680" w:right="699" w:hanging="346"/>
        <w:spacing w:after="0" w:line="283" w:lineRule="auto"/>
        <w:tabs>
          <w:tab w:leader="none" w:pos="2680" w:val="left"/>
        </w:tabs>
        <w:numPr>
          <w:ilvl w:val="1"/>
          <w:numId w:val="165"/>
        </w:numPr>
        <w:rPr>
          <w:rFonts w:ascii="Arial" w:cs="Arial" w:eastAsia="Arial" w:hAnsi="Arial"/>
          <w:sz w:val="17"/>
          <w:szCs w:val="17"/>
          <w:color w:val="003551"/>
        </w:rPr>
      </w:pPr>
      <w:r>
        <w:rPr>
          <w:rFonts w:ascii="Arial" w:cs="Arial" w:eastAsia="Arial" w:hAnsi="Arial"/>
          <w:sz w:val="17"/>
          <w:szCs w:val="17"/>
          <w:color w:val="003551"/>
        </w:rPr>
        <w:t>the board must fix the time for determining entitlements to the application of that amount;</w:t>
      </w:r>
    </w:p>
    <w:p>
      <w:pPr>
        <w:spacing w:after="0" w:line="36" w:lineRule="exact"/>
        <w:rPr>
          <w:rFonts w:ascii="Arial" w:cs="Arial" w:eastAsia="Arial" w:hAnsi="Arial"/>
          <w:sz w:val="17"/>
          <w:szCs w:val="17"/>
          <w:color w:val="003551"/>
        </w:rPr>
      </w:pPr>
    </w:p>
    <w:p>
      <w:pPr>
        <w:ind w:left="2680" w:right="559" w:hanging="346"/>
        <w:spacing w:after="0" w:line="262" w:lineRule="auto"/>
        <w:tabs>
          <w:tab w:leader="none" w:pos="2680" w:val="left"/>
        </w:tabs>
        <w:numPr>
          <w:ilvl w:val="1"/>
          <w:numId w:val="165"/>
        </w:numPr>
        <w:rPr>
          <w:rFonts w:ascii="Arial" w:cs="Arial" w:eastAsia="Arial" w:hAnsi="Arial"/>
          <w:sz w:val="17"/>
          <w:szCs w:val="17"/>
          <w:color w:val="003551"/>
        </w:rPr>
      </w:pPr>
      <w:r>
        <w:rPr>
          <w:rFonts w:ascii="Arial" w:cs="Arial" w:eastAsia="Arial" w:hAnsi="Arial"/>
          <w:sz w:val="17"/>
          <w:szCs w:val="17"/>
          <w:color w:val="003551"/>
        </w:rPr>
        <w:t xml:space="preserve">if securities other than shares are to be issued to members under that resolution then </w:t>
      </w:r>
      <w:r>
        <w:rPr>
          <w:rFonts w:ascii="Arial" w:cs="Arial" w:eastAsia="Arial" w:hAnsi="Arial"/>
          <w:sz w:val="17"/>
          <w:szCs w:val="17"/>
          <w:u w:val="single" w:color="auto"/>
          <w:color w:val="003551"/>
        </w:rPr>
        <w:t>rule 12.3</w:t>
      </w:r>
      <w:r>
        <w:rPr>
          <w:rFonts w:ascii="Arial" w:cs="Arial" w:eastAsia="Arial" w:hAnsi="Arial"/>
          <w:sz w:val="17"/>
          <w:szCs w:val="17"/>
          <w:color w:val="003551"/>
        </w:rPr>
        <w:t xml:space="preserve"> applies as if references in that rule to shares included references to those other securities; and</w:t>
      </w:r>
    </w:p>
    <w:p>
      <w:pPr>
        <w:spacing w:after="0" w:line="54" w:lineRule="exact"/>
        <w:rPr>
          <w:rFonts w:ascii="Arial" w:cs="Arial" w:eastAsia="Arial" w:hAnsi="Arial"/>
          <w:sz w:val="17"/>
          <w:szCs w:val="17"/>
          <w:color w:val="003551"/>
        </w:rPr>
      </w:pPr>
    </w:p>
    <w:p>
      <w:pPr>
        <w:ind w:left="2680" w:hanging="346"/>
        <w:spacing w:after="0"/>
        <w:tabs>
          <w:tab w:leader="none" w:pos="2680" w:val="left"/>
        </w:tabs>
        <w:numPr>
          <w:ilvl w:val="1"/>
          <w:numId w:val="165"/>
        </w:numPr>
        <w:rPr>
          <w:rFonts w:ascii="Arial" w:cs="Arial" w:eastAsia="Arial" w:hAnsi="Arial"/>
          <w:sz w:val="17"/>
          <w:szCs w:val="17"/>
          <w:color w:val="003551"/>
        </w:rPr>
      </w:pPr>
      <w:r>
        <w:rPr>
          <w:rFonts w:ascii="Arial" w:cs="Arial" w:eastAsia="Arial" w:hAnsi="Arial"/>
          <w:sz w:val="17"/>
          <w:szCs w:val="17"/>
          <w:color w:val="003551"/>
        </w:rPr>
        <w:t>the board may do all other things necessary to give effect to that resolution.</w:t>
      </w:r>
    </w:p>
    <w:p>
      <w:pPr>
        <w:spacing w:after="0" w:line="104"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16.4</w:t>
      </w:r>
      <w:r>
        <w:rPr>
          <w:sz w:val="20"/>
          <w:szCs w:val="20"/>
          <w:color w:val="auto"/>
        </w:rPr>
        <w:tab/>
      </w:r>
      <w:r>
        <w:rPr>
          <w:rFonts w:ascii="Arial" w:cs="Arial" w:eastAsia="Arial" w:hAnsi="Arial"/>
          <w:sz w:val="17"/>
          <w:szCs w:val="17"/>
          <w:b w:val="1"/>
          <w:bCs w:val="1"/>
          <w:color w:val="003551"/>
        </w:rPr>
        <w:t>Agreement on behalf of members</w:t>
      </w:r>
    </w:p>
    <w:p>
      <w:pPr>
        <w:spacing w:after="0" w:line="108" w:lineRule="exact"/>
        <w:rPr>
          <w:sz w:val="20"/>
          <w:szCs w:val="20"/>
          <w:color w:val="auto"/>
        </w:rPr>
      </w:pPr>
    </w:p>
    <w:p>
      <w:pPr>
        <w:ind w:left="1640" w:right="439"/>
        <w:spacing w:after="0" w:line="248" w:lineRule="auto"/>
        <w:rPr>
          <w:sz w:val="20"/>
          <w:szCs w:val="20"/>
          <w:color w:val="auto"/>
        </w:rPr>
      </w:pPr>
      <w:r>
        <w:rPr>
          <w:rFonts w:ascii="Arial" w:cs="Arial" w:eastAsia="Arial" w:hAnsi="Arial"/>
          <w:sz w:val="17"/>
          <w:szCs w:val="17"/>
          <w:color w:val="003551"/>
        </w:rPr>
        <w:t xml:space="preserve">If any amount is applied for the benefit of members pursuant to a resolution under </w:t>
      </w:r>
      <w:r>
        <w:rPr>
          <w:rFonts w:ascii="Arial" w:cs="Arial" w:eastAsia="Arial" w:hAnsi="Arial"/>
          <w:sz w:val="17"/>
          <w:szCs w:val="17"/>
          <w:u w:val="single" w:color="auto"/>
          <w:color w:val="003551"/>
        </w:rPr>
        <w:t>rule 16.3(b)</w:t>
      </w:r>
      <w:r>
        <w:rPr>
          <w:rFonts w:ascii="Arial" w:cs="Arial" w:eastAsia="Arial" w:hAnsi="Arial"/>
          <w:sz w:val="17"/>
          <w:szCs w:val="17"/>
          <w:color w:val="003551"/>
        </w:rPr>
        <w:t xml:space="preserve">, the company may make, as agent of those members, or the board may authorise any other person to make, as agent of those members, an agreement with the company under which those members accept either or both of the payment by the company on their behalf of all or part of the amount unpaid on their existing shares or the issue to them of new shares or other securities under the capitalisation. Any agreement made under this </w:t>
      </w:r>
      <w:r>
        <w:rPr>
          <w:rFonts w:ascii="Arial" w:cs="Arial" w:eastAsia="Arial" w:hAnsi="Arial"/>
          <w:sz w:val="17"/>
          <w:szCs w:val="17"/>
          <w:u w:val="single" w:color="auto"/>
          <w:color w:val="003551"/>
        </w:rPr>
        <w:t>rule 16.4</w:t>
      </w:r>
      <w:r>
        <w:rPr>
          <w:rFonts w:ascii="Arial" w:cs="Arial" w:eastAsia="Arial" w:hAnsi="Arial"/>
          <w:sz w:val="17"/>
          <w:szCs w:val="17"/>
          <w:color w:val="003551"/>
        </w:rPr>
        <w:t xml:space="preserve"> is effective and binding on all the members concerned.</w:t>
      </w:r>
    </w:p>
    <w:p>
      <w:pPr>
        <w:spacing w:after="0" w:line="64"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17</w:t>
      </w:r>
      <w:r>
        <w:rPr>
          <w:sz w:val="20"/>
          <w:szCs w:val="20"/>
          <w:color w:val="auto"/>
        </w:rPr>
        <w:tab/>
      </w:r>
      <w:r>
        <w:rPr>
          <w:rFonts w:ascii="Arial" w:cs="Arial" w:eastAsia="Arial" w:hAnsi="Arial"/>
          <w:sz w:val="17"/>
          <w:szCs w:val="17"/>
          <w:b w:val="1"/>
          <w:bCs w:val="1"/>
          <w:color w:val="003551"/>
        </w:rPr>
        <w:t>DISTRIBUTION OF ASSETS</w:t>
      </w:r>
    </w:p>
    <w:p>
      <w:pPr>
        <w:spacing w:after="0" w:line="106"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17.1</w:t>
      </w:r>
      <w:r>
        <w:rPr>
          <w:sz w:val="20"/>
          <w:szCs w:val="20"/>
          <w:color w:val="auto"/>
        </w:rPr>
        <w:tab/>
      </w:r>
      <w:r>
        <w:rPr>
          <w:rFonts w:ascii="Arial" w:cs="Arial" w:eastAsia="Arial" w:hAnsi="Arial"/>
          <w:sz w:val="17"/>
          <w:szCs w:val="17"/>
          <w:b w:val="1"/>
          <w:bCs w:val="1"/>
          <w:color w:val="003551"/>
        </w:rPr>
        <w:t>Distribution by way of dividend or return of capital</w:t>
      </w:r>
    </w:p>
    <w:p>
      <w:pPr>
        <w:spacing w:after="0" w:line="108" w:lineRule="exact"/>
        <w:rPr>
          <w:sz w:val="20"/>
          <w:szCs w:val="20"/>
          <w:color w:val="auto"/>
        </w:rPr>
      </w:pPr>
    </w:p>
    <w:p>
      <w:pPr>
        <w:ind w:left="1640" w:right="459"/>
        <w:spacing w:after="0" w:line="255" w:lineRule="auto"/>
        <w:rPr>
          <w:sz w:val="20"/>
          <w:szCs w:val="20"/>
          <w:color w:val="auto"/>
        </w:rPr>
      </w:pPr>
      <w:r>
        <w:rPr>
          <w:rFonts w:ascii="Arial" w:cs="Arial" w:eastAsia="Arial" w:hAnsi="Arial"/>
          <w:sz w:val="17"/>
          <w:szCs w:val="17"/>
          <w:color w:val="003551"/>
        </w:rPr>
        <w:t>If the board resolves to pay any dividend or return any capital to members by way of reduction of capital or share buy-back or otherwise wholly or in part by way of distribution of specific assets (including fully paid shares or other securities of the company or of any other body corporate) either generally or to specific members, the board may:</w:t>
      </w:r>
    </w:p>
    <w:p>
      <w:pPr>
        <w:spacing w:after="0" w:line="60" w:lineRule="exact"/>
        <w:rPr>
          <w:sz w:val="20"/>
          <w:szCs w:val="20"/>
          <w:color w:val="auto"/>
        </w:rPr>
      </w:pPr>
    </w:p>
    <w:p>
      <w:pPr>
        <w:ind w:left="2320" w:hanging="335"/>
        <w:spacing w:after="0"/>
        <w:tabs>
          <w:tab w:leader="none" w:pos="2320" w:val="left"/>
        </w:tabs>
        <w:numPr>
          <w:ilvl w:val="0"/>
          <w:numId w:val="166"/>
        </w:numPr>
        <w:rPr>
          <w:rFonts w:ascii="Arial" w:cs="Arial" w:eastAsia="Arial" w:hAnsi="Arial"/>
          <w:sz w:val="17"/>
          <w:szCs w:val="17"/>
          <w:color w:val="003551"/>
        </w:rPr>
      </w:pPr>
      <w:r>
        <w:rPr>
          <w:rFonts w:ascii="Arial" w:cs="Arial" w:eastAsia="Arial" w:hAnsi="Arial"/>
          <w:sz w:val="17"/>
          <w:szCs w:val="17"/>
          <w:color w:val="003551"/>
        </w:rPr>
        <w:t>value the assets to be distributed in such manner as the directors think fit;</w:t>
      </w:r>
    </w:p>
    <w:p>
      <w:pPr>
        <w:spacing w:after="0" w:line="105" w:lineRule="exact"/>
        <w:rPr>
          <w:rFonts w:ascii="Arial" w:cs="Arial" w:eastAsia="Arial" w:hAnsi="Arial"/>
          <w:sz w:val="17"/>
          <w:szCs w:val="17"/>
          <w:color w:val="003551"/>
        </w:rPr>
      </w:pPr>
    </w:p>
    <w:p>
      <w:pPr>
        <w:ind w:left="2320" w:right="919" w:hanging="335"/>
        <w:spacing w:after="0" w:line="283" w:lineRule="auto"/>
        <w:tabs>
          <w:tab w:leader="none" w:pos="2320" w:val="left"/>
        </w:tabs>
        <w:numPr>
          <w:ilvl w:val="0"/>
          <w:numId w:val="166"/>
        </w:numPr>
        <w:rPr>
          <w:rFonts w:ascii="Arial" w:cs="Arial" w:eastAsia="Arial" w:hAnsi="Arial"/>
          <w:sz w:val="17"/>
          <w:szCs w:val="17"/>
          <w:color w:val="003551"/>
        </w:rPr>
      </w:pPr>
      <w:r>
        <w:rPr>
          <w:rFonts w:ascii="Arial" w:cs="Arial" w:eastAsia="Arial" w:hAnsi="Arial"/>
          <w:sz w:val="17"/>
          <w:szCs w:val="17"/>
          <w:color w:val="003551"/>
        </w:rPr>
        <w:t>vest the assets in such trustees and on such trusts for the benefit of the members entitled to the distribution of those assets as the directors think fit;</w:t>
      </w:r>
    </w:p>
    <w:p>
      <w:pPr>
        <w:spacing w:after="0" w:line="36" w:lineRule="exact"/>
        <w:rPr>
          <w:rFonts w:ascii="Arial" w:cs="Arial" w:eastAsia="Arial" w:hAnsi="Arial"/>
          <w:sz w:val="17"/>
          <w:szCs w:val="17"/>
          <w:color w:val="003551"/>
        </w:rPr>
      </w:pPr>
    </w:p>
    <w:p>
      <w:pPr>
        <w:ind w:left="2320" w:right="919" w:hanging="335"/>
        <w:spacing w:after="0" w:line="283" w:lineRule="auto"/>
        <w:tabs>
          <w:tab w:leader="none" w:pos="2320" w:val="left"/>
        </w:tabs>
        <w:numPr>
          <w:ilvl w:val="0"/>
          <w:numId w:val="166"/>
        </w:numPr>
        <w:rPr>
          <w:rFonts w:ascii="Arial" w:cs="Arial" w:eastAsia="Arial" w:hAnsi="Arial"/>
          <w:sz w:val="17"/>
          <w:szCs w:val="17"/>
          <w:color w:val="003551"/>
        </w:rPr>
      </w:pPr>
      <w:r>
        <w:rPr>
          <w:rFonts w:ascii="Arial" w:cs="Arial" w:eastAsia="Arial" w:hAnsi="Arial"/>
          <w:sz w:val="17"/>
          <w:szCs w:val="17"/>
          <w:color w:val="003551"/>
        </w:rPr>
        <w:t>if the distribution of specific assets to a particular member or members is illegal or impracticable, determine to make cash payments in lieu of that distribution;</w:t>
      </w:r>
    </w:p>
    <w:p>
      <w:pPr>
        <w:spacing w:after="0" w:line="36" w:lineRule="exact"/>
        <w:rPr>
          <w:rFonts w:ascii="Arial" w:cs="Arial" w:eastAsia="Arial" w:hAnsi="Arial"/>
          <w:sz w:val="17"/>
          <w:szCs w:val="17"/>
          <w:color w:val="003551"/>
        </w:rPr>
      </w:pPr>
    </w:p>
    <w:p>
      <w:pPr>
        <w:ind w:left="2320" w:right="419" w:hanging="335"/>
        <w:spacing w:after="0" w:line="262" w:lineRule="auto"/>
        <w:tabs>
          <w:tab w:leader="none" w:pos="2320" w:val="left"/>
        </w:tabs>
        <w:numPr>
          <w:ilvl w:val="0"/>
          <w:numId w:val="166"/>
        </w:numPr>
        <w:rPr>
          <w:rFonts w:ascii="Arial" w:cs="Arial" w:eastAsia="Arial" w:hAnsi="Arial"/>
          <w:sz w:val="17"/>
          <w:szCs w:val="17"/>
          <w:color w:val="003551"/>
        </w:rPr>
      </w:pPr>
      <w:r>
        <w:rPr>
          <w:rFonts w:ascii="Arial" w:cs="Arial" w:eastAsia="Arial" w:hAnsi="Arial"/>
          <w:sz w:val="17"/>
          <w:szCs w:val="17"/>
          <w:color w:val="003551"/>
        </w:rPr>
        <w:t>if members are entitled to fractions of a share or other security by reason of the distribution, determine to ignore fractional entitlements or to make cash payments in lieu of fractional entitlements; and</w:t>
      </w:r>
    </w:p>
    <w:p>
      <w:pPr>
        <w:spacing w:after="0" w:line="54" w:lineRule="exact"/>
        <w:rPr>
          <w:rFonts w:ascii="Arial" w:cs="Arial" w:eastAsia="Arial" w:hAnsi="Arial"/>
          <w:sz w:val="17"/>
          <w:szCs w:val="17"/>
          <w:color w:val="003551"/>
        </w:rPr>
      </w:pPr>
    </w:p>
    <w:p>
      <w:pPr>
        <w:ind w:left="2320" w:hanging="335"/>
        <w:spacing w:after="0"/>
        <w:tabs>
          <w:tab w:leader="none" w:pos="2320" w:val="left"/>
        </w:tabs>
        <w:numPr>
          <w:ilvl w:val="0"/>
          <w:numId w:val="166"/>
        </w:numPr>
        <w:rPr>
          <w:rFonts w:ascii="Arial" w:cs="Arial" w:eastAsia="Arial" w:hAnsi="Arial"/>
          <w:sz w:val="17"/>
          <w:szCs w:val="17"/>
          <w:color w:val="003551"/>
        </w:rPr>
      </w:pPr>
      <w:r>
        <w:rPr>
          <w:rFonts w:ascii="Arial" w:cs="Arial" w:eastAsia="Arial" w:hAnsi="Arial"/>
          <w:sz w:val="17"/>
          <w:szCs w:val="17"/>
          <w:color w:val="003551"/>
        </w:rPr>
        <w:t>settle any other matter regarding the distribution as the directors think fit.</w:t>
      </w:r>
    </w:p>
    <w:p>
      <w:pPr>
        <w:spacing w:after="0" w:line="104"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17.2</w:t>
      </w:r>
      <w:r>
        <w:rPr>
          <w:sz w:val="20"/>
          <w:szCs w:val="20"/>
          <w:color w:val="auto"/>
        </w:rPr>
        <w:tab/>
      </w:r>
      <w:r>
        <w:rPr>
          <w:rFonts w:ascii="Arial" w:cs="Arial" w:eastAsia="Arial" w:hAnsi="Arial"/>
          <w:sz w:val="17"/>
          <w:szCs w:val="17"/>
          <w:b w:val="1"/>
          <w:bCs w:val="1"/>
          <w:color w:val="003551"/>
        </w:rPr>
        <w:t>Agreement on behalf of members</w:t>
      </w:r>
    </w:p>
    <w:p>
      <w:pPr>
        <w:spacing w:after="0" w:line="108" w:lineRule="exact"/>
        <w:rPr>
          <w:sz w:val="20"/>
          <w:szCs w:val="20"/>
          <w:color w:val="auto"/>
        </w:rPr>
      </w:pPr>
    </w:p>
    <w:p>
      <w:pPr>
        <w:ind w:left="1640" w:right="399"/>
        <w:spacing w:after="0" w:line="248" w:lineRule="auto"/>
        <w:rPr>
          <w:sz w:val="20"/>
          <w:szCs w:val="20"/>
          <w:color w:val="auto"/>
        </w:rPr>
      </w:pPr>
      <w:r>
        <w:rPr>
          <w:rFonts w:ascii="Arial" w:cs="Arial" w:eastAsia="Arial" w:hAnsi="Arial"/>
          <w:sz w:val="17"/>
          <w:szCs w:val="17"/>
          <w:color w:val="003551"/>
        </w:rPr>
        <w:t>If the company distributes specific assets to any members, the company may make, as agent of those members, or the board may authorise any other person to make, as agent of those members, an agreement with the company or any other person under which those members accept the transfer of those assets and, in the case of a distribution of shares of a body corporate or securities of a trust, agree to become members of that body corporate or holders of securities in that trust. No member is obliged to accept any shares, securities or other assets in respect of which there is any liability.</w:t>
      </w:r>
    </w:p>
    <w:p>
      <w:pPr>
        <w:spacing w:after="0" w:line="17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119380</wp:posOffset>
            </wp:positionV>
            <wp:extent cx="6786880" cy="1651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17.3</w:t>
      </w:r>
      <w:r>
        <w:rPr>
          <w:sz w:val="20"/>
          <w:szCs w:val="20"/>
          <w:color w:val="auto"/>
        </w:rPr>
        <w:tab/>
      </w:r>
      <w:r>
        <w:rPr>
          <w:rFonts w:ascii="Arial" w:cs="Arial" w:eastAsia="Arial" w:hAnsi="Arial"/>
          <w:sz w:val="17"/>
          <w:szCs w:val="17"/>
          <w:b w:val="1"/>
          <w:bCs w:val="1"/>
          <w:color w:val="003551"/>
        </w:rPr>
        <w:t>Distribution of assets on a winding up</w:t>
      </w:r>
    </w:p>
    <w:p>
      <w:pPr>
        <w:spacing w:after="0" w:line="108" w:lineRule="exact"/>
        <w:rPr>
          <w:sz w:val="20"/>
          <w:szCs w:val="20"/>
          <w:color w:val="auto"/>
        </w:rPr>
      </w:pPr>
    </w:p>
    <w:p>
      <w:pPr>
        <w:ind w:left="1640" w:right="499"/>
        <w:spacing w:after="0" w:line="255" w:lineRule="auto"/>
        <w:rPr>
          <w:sz w:val="20"/>
          <w:szCs w:val="20"/>
          <w:color w:val="auto"/>
        </w:rPr>
      </w:pPr>
      <w:r>
        <w:rPr>
          <w:rFonts w:ascii="Arial" w:cs="Arial" w:eastAsia="Arial" w:hAnsi="Arial"/>
          <w:sz w:val="17"/>
          <w:szCs w:val="17"/>
          <w:color w:val="003551"/>
        </w:rPr>
        <w:t>Subject to any rights or restrictions for the time being attached to any class or classes of shares, on a winding up of the company, the liquidator may, with the sanction of a special resolution of the company, distribute among the members the whole or any part of the assets of the company and may for that purpose:</w:t>
      </w:r>
    </w:p>
    <w:p>
      <w:pPr>
        <w:spacing w:after="0" w:line="60" w:lineRule="exact"/>
        <w:rPr>
          <w:sz w:val="20"/>
          <w:szCs w:val="20"/>
          <w:color w:val="auto"/>
        </w:rPr>
      </w:pPr>
    </w:p>
    <w:p>
      <w:pPr>
        <w:ind w:left="2320" w:right="999" w:hanging="335"/>
        <w:spacing w:after="0" w:line="283" w:lineRule="auto"/>
        <w:tabs>
          <w:tab w:leader="none" w:pos="2320" w:val="left"/>
        </w:tabs>
        <w:numPr>
          <w:ilvl w:val="0"/>
          <w:numId w:val="167"/>
        </w:numPr>
        <w:rPr>
          <w:rFonts w:ascii="Arial" w:cs="Arial" w:eastAsia="Arial" w:hAnsi="Arial"/>
          <w:sz w:val="17"/>
          <w:szCs w:val="17"/>
          <w:color w:val="003551"/>
        </w:rPr>
      </w:pPr>
      <w:r>
        <w:rPr>
          <w:rFonts w:ascii="Arial" w:cs="Arial" w:eastAsia="Arial" w:hAnsi="Arial"/>
          <w:sz w:val="17"/>
          <w:szCs w:val="17"/>
          <w:color w:val="003551"/>
        </w:rPr>
        <w:t>decide how the assets are to be distributed as between the members or different classes of members;</w:t>
      </w:r>
    </w:p>
    <w:p>
      <w:pPr>
        <w:spacing w:after="0" w:line="36" w:lineRule="exact"/>
        <w:rPr>
          <w:rFonts w:ascii="Arial" w:cs="Arial" w:eastAsia="Arial" w:hAnsi="Arial"/>
          <w:sz w:val="17"/>
          <w:szCs w:val="17"/>
          <w:color w:val="003551"/>
        </w:rPr>
      </w:pPr>
    </w:p>
    <w:p>
      <w:pPr>
        <w:ind w:left="2320" w:hanging="335"/>
        <w:spacing w:after="0"/>
        <w:tabs>
          <w:tab w:leader="none" w:pos="2320" w:val="left"/>
        </w:tabs>
        <w:numPr>
          <w:ilvl w:val="0"/>
          <w:numId w:val="167"/>
        </w:numPr>
        <w:rPr>
          <w:rFonts w:ascii="Arial" w:cs="Arial" w:eastAsia="Arial" w:hAnsi="Arial"/>
          <w:sz w:val="17"/>
          <w:szCs w:val="17"/>
          <w:color w:val="003551"/>
        </w:rPr>
      </w:pPr>
      <w:r>
        <w:rPr>
          <w:rFonts w:ascii="Arial" w:cs="Arial" w:eastAsia="Arial" w:hAnsi="Arial"/>
          <w:sz w:val="17"/>
          <w:szCs w:val="17"/>
          <w:color w:val="003551"/>
        </w:rPr>
        <w:t>value the assets to be distributed in such manner as the liquidator thinks fit; and</w:t>
      </w:r>
    </w:p>
    <w:p>
      <w:pPr>
        <w:spacing w:after="0" w:line="105" w:lineRule="exact"/>
        <w:rPr>
          <w:rFonts w:ascii="Arial" w:cs="Arial" w:eastAsia="Arial" w:hAnsi="Arial"/>
          <w:sz w:val="17"/>
          <w:szCs w:val="17"/>
          <w:color w:val="003551"/>
        </w:rPr>
      </w:pPr>
    </w:p>
    <w:p>
      <w:pPr>
        <w:ind w:left="2320" w:right="439" w:hanging="335"/>
        <w:spacing w:after="0" w:line="269" w:lineRule="auto"/>
        <w:tabs>
          <w:tab w:leader="none" w:pos="2320" w:val="left"/>
        </w:tabs>
        <w:numPr>
          <w:ilvl w:val="0"/>
          <w:numId w:val="167"/>
        </w:numPr>
        <w:rPr>
          <w:rFonts w:ascii="Arial" w:cs="Arial" w:eastAsia="Arial" w:hAnsi="Arial"/>
          <w:sz w:val="17"/>
          <w:szCs w:val="17"/>
          <w:color w:val="003551"/>
        </w:rPr>
      </w:pPr>
      <w:r>
        <w:rPr>
          <w:rFonts w:ascii="Arial" w:cs="Arial" w:eastAsia="Arial" w:hAnsi="Arial"/>
          <w:sz w:val="17"/>
          <w:szCs w:val="17"/>
          <w:color w:val="003551"/>
        </w:rPr>
        <w:t>vest the whole or any part of any assets in such trustees and on such trusts for the benefit of the members entitled to the distribution of those assets as the liquidator thinks fit.</w:t>
      </w:r>
    </w:p>
    <w:p>
      <w:pPr>
        <w:spacing w:after="0" w:line="256" w:lineRule="exact"/>
        <w:rPr>
          <w:sz w:val="20"/>
          <w:szCs w:val="20"/>
          <w:color w:val="auto"/>
        </w:rPr>
      </w:pPr>
    </w:p>
    <w:p>
      <w:pPr>
        <w:ind w:left="1640" w:right="399"/>
        <w:spacing w:after="0" w:line="283" w:lineRule="auto"/>
        <w:rPr>
          <w:sz w:val="20"/>
          <w:szCs w:val="20"/>
          <w:color w:val="auto"/>
        </w:rPr>
      </w:pPr>
      <w:r>
        <w:rPr>
          <w:rFonts w:ascii="Arial" w:cs="Arial" w:eastAsia="Arial" w:hAnsi="Arial"/>
          <w:sz w:val="17"/>
          <w:szCs w:val="17"/>
          <w:color w:val="003551"/>
        </w:rPr>
        <w:t>No member is obliged to accept any shares, securities or other assets in respect of which there is any liability.</w:t>
      </w:r>
    </w:p>
    <w:p>
      <w:pPr>
        <w:spacing w:after="0" w:line="35" w:lineRule="exact"/>
        <w:rPr>
          <w:sz w:val="20"/>
          <w:szCs w:val="20"/>
          <w:color w:val="auto"/>
        </w:rPr>
      </w:pPr>
    </w:p>
    <w:p>
      <w:pPr>
        <w:ind w:left="940" w:right="5439" w:hanging="3"/>
        <w:spacing w:after="0" w:line="371" w:lineRule="auto"/>
        <w:tabs>
          <w:tab w:leader="none" w:pos="1634" w:val="left"/>
        </w:tabs>
        <w:numPr>
          <w:ilvl w:val="0"/>
          <w:numId w:val="168"/>
        </w:numPr>
        <w:rPr>
          <w:rFonts w:ascii="Arial" w:cs="Arial" w:eastAsia="Arial" w:hAnsi="Arial"/>
          <w:sz w:val="17"/>
          <w:szCs w:val="17"/>
          <w:b w:val="1"/>
          <w:bCs w:val="1"/>
          <w:color w:val="003551"/>
        </w:rPr>
      </w:pPr>
      <w:r>
        <w:rPr>
          <w:rFonts w:ascii="Arial" w:cs="Arial" w:eastAsia="Arial" w:hAnsi="Arial"/>
          <w:sz w:val="17"/>
          <w:szCs w:val="17"/>
          <w:b w:val="1"/>
          <w:bCs w:val="1"/>
          <w:color w:val="003551"/>
        </w:rPr>
        <w:t>INDEMNITY AND INSURANCE 18.1 Indemnity</w:t>
      </w:r>
    </w:p>
    <w:p>
      <w:pPr>
        <w:jc w:val="both"/>
        <w:ind w:left="1640" w:right="499"/>
        <w:spacing w:after="0" w:line="262" w:lineRule="auto"/>
        <w:rPr>
          <w:sz w:val="20"/>
          <w:szCs w:val="20"/>
          <w:color w:val="auto"/>
        </w:rPr>
      </w:pPr>
      <w:r>
        <w:rPr>
          <w:rFonts w:ascii="Arial" w:cs="Arial" w:eastAsia="Arial" w:hAnsi="Arial"/>
          <w:sz w:val="17"/>
          <w:szCs w:val="17"/>
          <w:color w:val="003551"/>
        </w:rPr>
        <w:t>To the maximum extent permitted by law (including, without limitation, the Corporations Act), the company must indemnify each person who is or has been a director, secretary or other officer of the company or a wholly-owned subsidiary of the company against:</w:t>
      </w:r>
    </w:p>
    <w:p>
      <w:pPr>
        <w:spacing w:after="0" w:line="54" w:lineRule="exact"/>
        <w:rPr>
          <w:sz w:val="20"/>
          <w:szCs w:val="20"/>
          <w:color w:val="auto"/>
        </w:rPr>
      </w:pPr>
    </w:p>
    <w:p>
      <w:pPr>
        <w:ind w:left="2320" w:right="639" w:hanging="335"/>
        <w:spacing w:after="0" w:line="283" w:lineRule="auto"/>
        <w:tabs>
          <w:tab w:leader="none" w:pos="2320" w:val="left"/>
        </w:tabs>
        <w:numPr>
          <w:ilvl w:val="0"/>
          <w:numId w:val="169"/>
        </w:numPr>
        <w:rPr>
          <w:rFonts w:ascii="Arial" w:cs="Arial" w:eastAsia="Arial" w:hAnsi="Arial"/>
          <w:sz w:val="17"/>
          <w:szCs w:val="17"/>
          <w:color w:val="003551"/>
        </w:rPr>
      </w:pPr>
      <w:r>
        <w:rPr>
          <w:rFonts w:ascii="Arial" w:cs="Arial" w:eastAsia="Arial" w:hAnsi="Arial"/>
          <w:sz w:val="17"/>
          <w:szCs w:val="17"/>
          <w:color w:val="003551"/>
        </w:rPr>
        <w:t xml:space="preserve">any liability incurred by the person in that capacity, other than a liability for legal costs covered under </w:t>
      </w:r>
      <w:r>
        <w:rPr>
          <w:rFonts w:ascii="Arial" w:cs="Arial" w:eastAsia="Arial" w:hAnsi="Arial"/>
          <w:sz w:val="17"/>
          <w:szCs w:val="17"/>
          <w:u w:val="single" w:color="auto"/>
          <w:color w:val="003551"/>
        </w:rPr>
        <w:t>paragraphs (b)</w:t>
      </w:r>
      <w:r>
        <w:rPr>
          <w:rFonts w:ascii="Arial" w:cs="Arial" w:eastAsia="Arial" w:hAnsi="Arial"/>
          <w:sz w:val="17"/>
          <w:szCs w:val="17"/>
          <w:color w:val="003551"/>
        </w:rPr>
        <w:t xml:space="preserve"> and </w:t>
      </w:r>
      <w:r>
        <w:rPr>
          <w:rFonts w:ascii="Arial" w:cs="Arial" w:eastAsia="Arial" w:hAnsi="Arial"/>
          <w:sz w:val="17"/>
          <w:szCs w:val="17"/>
          <w:u w:val="single" w:color="auto"/>
          <w:color w:val="003551"/>
        </w:rPr>
        <w:t>(c)</w:t>
      </w:r>
      <w:r>
        <w:rPr>
          <w:rFonts w:ascii="Arial" w:cs="Arial" w:eastAsia="Arial" w:hAnsi="Arial"/>
          <w:sz w:val="17"/>
          <w:szCs w:val="17"/>
          <w:color w:val="003551"/>
        </w:rPr>
        <w:t xml:space="preserve"> below;</w:t>
      </w:r>
    </w:p>
    <w:p>
      <w:pPr>
        <w:spacing w:after="0" w:line="36" w:lineRule="exact"/>
        <w:rPr>
          <w:rFonts w:ascii="Arial" w:cs="Arial" w:eastAsia="Arial" w:hAnsi="Arial"/>
          <w:sz w:val="17"/>
          <w:szCs w:val="17"/>
          <w:color w:val="003551"/>
        </w:rPr>
      </w:pPr>
    </w:p>
    <w:p>
      <w:pPr>
        <w:ind w:left="2320" w:right="679" w:hanging="335"/>
        <w:spacing w:after="0" w:line="262" w:lineRule="auto"/>
        <w:tabs>
          <w:tab w:leader="none" w:pos="2320" w:val="left"/>
        </w:tabs>
        <w:numPr>
          <w:ilvl w:val="0"/>
          <w:numId w:val="169"/>
        </w:numPr>
        <w:rPr>
          <w:rFonts w:ascii="Arial" w:cs="Arial" w:eastAsia="Arial" w:hAnsi="Arial"/>
          <w:sz w:val="17"/>
          <w:szCs w:val="17"/>
          <w:color w:val="003551"/>
        </w:rPr>
      </w:pPr>
      <w:r>
        <w:rPr>
          <w:rFonts w:ascii="Arial" w:cs="Arial" w:eastAsia="Arial" w:hAnsi="Arial"/>
          <w:sz w:val="17"/>
          <w:szCs w:val="17"/>
          <w:color w:val="003551"/>
        </w:rPr>
        <w:t>all legal costs incurred in connection with, any civil, criminal, administrative or judicial proceedings or investigation in which that person becomes involved as a result of holding that office; and</w:t>
      </w:r>
    </w:p>
    <w:p>
      <w:pPr>
        <w:spacing w:after="0" w:line="54" w:lineRule="exact"/>
        <w:rPr>
          <w:rFonts w:ascii="Arial" w:cs="Arial" w:eastAsia="Arial" w:hAnsi="Arial"/>
          <w:sz w:val="17"/>
          <w:szCs w:val="17"/>
          <w:color w:val="003551"/>
        </w:rPr>
      </w:pPr>
    </w:p>
    <w:p>
      <w:pPr>
        <w:jc w:val="both"/>
        <w:ind w:left="2320" w:right="579" w:hanging="335"/>
        <w:spacing w:after="0" w:line="262" w:lineRule="auto"/>
        <w:tabs>
          <w:tab w:leader="none" w:pos="2320" w:val="left"/>
        </w:tabs>
        <w:numPr>
          <w:ilvl w:val="0"/>
          <w:numId w:val="169"/>
        </w:numPr>
        <w:rPr>
          <w:rFonts w:ascii="Arial" w:cs="Arial" w:eastAsia="Arial" w:hAnsi="Arial"/>
          <w:sz w:val="17"/>
          <w:szCs w:val="17"/>
          <w:color w:val="003551"/>
        </w:rPr>
      </w:pPr>
      <w:r>
        <w:rPr>
          <w:rFonts w:ascii="Arial" w:cs="Arial" w:eastAsia="Arial" w:hAnsi="Arial"/>
          <w:sz w:val="17"/>
          <w:szCs w:val="17"/>
          <w:color w:val="003551"/>
        </w:rPr>
        <w:t>all legal costs incurred in good faith in obtaining legal advice on issues relevant to the performance of that person’s functions and the discharge of that person’s duties as an officer of the company or a wholly-owned subsidiary of the company,</w:t>
      </w:r>
    </w:p>
    <w:p>
      <w:pPr>
        <w:spacing w:after="0" w:line="54" w:lineRule="exact"/>
        <w:rPr>
          <w:sz w:val="20"/>
          <w:szCs w:val="20"/>
          <w:color w:val="auto"/>
        </w:rPr>
      </w:pPr>
    </w:p>
    <w:p>
      <w:pPr>
        <w:ind w:left="1640" w:right="1059"/>
        <w:spacing w:after="0" w:line="283" w:lineRule="auto"/>
        <w:rPr>
          <w:sz w:val="20"/>
          <w:szCs w:val="20"/>
          <w:color w:val="auto"/>
        </w:rPr>
      </w:pPr>
      <w:r>
        <w:rPr>
          <w:rFonts w:ascii="Arial" w:cs="Arial" w:eastAsia="Arial" w:hAnsi="Arial"/>
          <w:sz w:val="17"/>
          <w:szCs w:val="17"/>
          <w:color w:val="003551"/>
        </w:rPr>
        <w:t>except to the extent that the person is otherwise entitled to be indemnified and is actually indemnified by another person, including under any insurance policy.</w:t>
      </w:r>
    </w:p>
    <w:p>
      <w:pPr>
        <w:spacing w:after="0" w:line="35"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18.2</w:t>
      </w:r>
      <w:r>
        <w:rPr>
          <w:sz w:val="20"/>
          <w:szCs w:val="20"/>
          <w:color w:val="auto"/>
        </w:rPr>
        <w:tab/>
      </w:r>
      <w:r>
        <w:rPr>
          <w:rFonts w:ascii="Arial" w:cs="Arial" w:eastAsia="Arial" w:hAnsi="Arial"/>
          <w:sz w:val="17"/>
          <w:szCs w:val="17"/>
          <w:b w:val="1"/>
          <w:bCs w:val="1"/>
          <w:color w:val="003551"/>
        </w:rPr>
        <w:t>Extent of indemnity</w:t>
      </w:r>
    </w:p>
    <w:p>
      <w:pPr>
        <w:spacing w:after="0" w:line="108" w:lineRule="exact"/>
        <w:rPr>
          <w:sz w:val="20"/>
          <w:szCs w:val="20"/>
          <w:color w:val="auto"/>
        </w:rPr>
      </w:pPr>
    </w:p>
    <w:p>
      <w:pPr>
        <w:ind w:left="1640" w:right="819"/>
        <w:spacing w:after="0" w:line="283" w:lineRule="auto"/>
        <w:rPr>
          <w:sz w:val="20"/>
          <w:szCs w:val="20"/>
          <w:color w:val="auto"/>
        </w:rPr>
      </w:pPr>
      <w:r>
        <w:rPr>
          <w:rFonts w:ascii="Arial" w:cs="Arial" w:eastAsia="Arial" w:hAnsi="Arial"/>
          <w:sz w:val="17"/>
          <w:szCs w:val="17"/>
          <w:color w:val="003551"/>
        </w:rPr>
        <w:t xml:space="preserve">The indemnity in </w:t>
      </w:r>
      <w:r>
        <w:rPr>
          <w:rFonts w:ascii="Arial" w:cs="Arial" w:eastAsia="Arial" w:hAnsi="Arial"/>
          <w:sz w:val="17"/>
          <w:szCs w:val="17"/>
          <w:u w:val="single" w:color="auto"/>
          <w:color w:val="003551"/>
        </w:rPr>
        <w:t>rule 18.1</w:t>
      </w:r>
      <w:r>
        <w:rPr>
          <w:rFonts w:ascii="Arial" w:cs="Arial" w:eastAsia="Arial" w:hAnsi="Arial"/>
          <w:sz w:val="17"/>
          <w:szCs w:val="17"/>
          <w:color w:val="003551"/>
        </w:rPr>
        <w:t xml:space="preserve"> applies to liabilities and legal costs incurred both before and after adoption of this constitution and is enforceable by a person:</w:t>
      </w:r>
    </w:p>
    <w:p>
      <w:pPr>
        <w:spacing w:after="0" w:line="37" w:lineRule="exact"/>
        <w:rPr>
          <w:sz w:val="20"/>
          <w:szCs w:val="20"/>
          <w:color w:val="auto"/>
        </w:rPr>
      </w:pPr>
    </w:p>
    <w:p>
      <w:pPr>
        <w:ind w:left="2320" w:hanging="335"/>
        <w:spacing w:after="0"/>
        <w:tabs>
          <w:tab w:leader="none" w:pos="2320" w:val="left"/>
        </w:tabs>
        <w:numPr>
          <w:ilvl w:val="0"/>
          <w:numId w:val="170"/>
        </w:numPr>
        <w:rPr>
          <w:rFonts w:ascii="Arial" w:cs="Arial" w:eastAsia="Arial" w:hAnsi="Arial"/>
          <w:sz w:val="17"/>
          <w:szCs w:val="17"/>
          <w:color w:val="003551"/>
        </w:rPr>
      </w:pPr>
      <w:r>
        <w:rPr>
          <w:rFonts w:ascii="Arial" w:cs="Arial" w:eastAsia="Arial" w:hAnsi="Arial"/>
          <w:sz w:val="17"/>
          <w:szCs w:val="17"/>
          <w:color w:val="003551"/>
        </w:rPr>
        <w:t>without that person first having to incur any expense or make any payment; and</w:t>
      </w:r>
    </w:p>
    <w:p>
      <w:pPr>
        <w:spacing w:after="0" w:line="105" w:lineRule="exact"/>
        <w:rPr>
          <w:rFonts w:ascii="Arial" w:cs="Arial" w:eastAsia="Arial" w:hAnsi="Arial"/>
          <w:sz w:val="17"/>
          <w:szCs w:val="17"/>
          <w:color w:val="003551"/>
        </w:rPr>
      </w:pPr>
    </w:p>
    <w:p>
      <w:pPr>
        <w:ind w:left="2320" w:right="579" w:hanging="335"/>
        <w:spacing w:after="0" w:line="283" w:lineRule="auto"/>
        <w:tabs>
          <w:tab w:leader="none" w:pos="2320" w:val="left"/>
        </w:tabs>
        <w:numPr>
          <w:ilvl w:val="0"/>
          <w:numId w:val="170"/>
        </w:numPr>
        <w:rPr>
          <w:rFonts w:ascii="Arial" w:cs="Arial" w:eastAsia="Arial" w:hAnsi="Arial"/>
          <w:sz w:val="17"/>
          <w:szCs w:val="17"/>
          <w:color w:val="003551"/>
        </w:rPr>
      </w:pPr>
      <w:r>
        <w:rPr>
          <w:rFonts w:ascii="Arial" w:cs="Arial" w:eastAsia="Arial" w:hAnsi="Arial"/>
          <w:sz w:val="17"/>
          <w:szCs w:val="17"/>
          <w:color w:val="003551"/>
        </w:rPr>
        <w:t>even though the person may have ceased to be an officer of the company or a wholly-owned subsidiary of the company.</w:t>
      </w:r>
    </w:p>
    <w:p>
      <w:pPr>
        <w:spacing w:after="0" w:line="142"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119380</wp:posOffset>
            </wp:positionV>
            <wp:extent cx="6786880" cy="1651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18.3</w:t>
      </w:r>
      <w:r>
        <w:rPr>
          <w:sz w:val="20"/>
          <w:szCs w:val="20"/>
          <w:color w:val="auto"/>
        </w:rPr>
        <w:tab/>
      </w:r>
      <w:r>
        <w:rPr>
          <w:rFonts w:ascii="Arial" w:cs="Arial" w:eastAsia="Arial" w:hAnsi="Arial"/>
          <w:sz w:val="17"/>
          <w:szCs w:val="17"/>
          <w:b w:val="1"/>
          <w:bCs w:val="1"/>
          <w:color w:val="003551"/>
        </w:rPr>
        <w:t>Insurance</w:t>
      </w:r>
    </w:p>
    <w:p>
      <w:pPr>
        <w:spacing w:after="0" w:line="108" w:lineRule="exact"/>
        <w:rPr>
          <w:sz w:val="20"/>
          <w:szCs w:val="20"/>
          <w:color w:val="auto"/>
        </w:rPr>
      </w:pPr>
    </w:p>
    <w:p>
      <w:pPr>
        <w:ind w:left="1640" w:right="559"/>
        <w:spacing w:after="0" w:line="255" w:lineRule="auto"/>
        <w:rPr>
          <w:sz w:val="20"/>
          <w:szCs w:val="20"/>
          <w:color w:val="auto"/>
        </w:rPr>
      </w:pPr>
      <w:r>
        <w:rPr>
          <w:rFonts w:ascii="Arial" w:cs="Arial" w:eastAsia="Arial" w:hAnsi="Arial"/>
          <w:sz w:val="17"/>
          <w:szCs w:val="17"/>
          <w:color w:val="003551"/>
        </w:rPr>
        <w:t>To the extent permitted by law, the company may pay or agree to pay a premium for a contract insuring a person who is or has been a director, secretary or other officer of the company or a wholly-owned subsidiary of the company against liability incurred by the person in that capacity, including a liability for legal costs.</w:t>
      </w:r>
    </w:p>
    <w:p>
      <w:pPr>
        <w:spacing w:after="0" w:line="58"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18.4</w:t>
      </w:r>
      <w:r>
        <w:rPr>
          <w:sz w:val="20"/>
          <w:szCs w:val="20"/>
          <w:color w:val="auto"/>
        </w:rPr>
        <w:tab/>
      </w:r>
      <w:r>
        <w:rPr>
          <w:rFonts w:ascii="Arial" w:cs="Arial" w:eastAsia="Arial" w:hAnsi="Arial"/>
          <w:sz w:val="17"/>
          <w:szCs w:val="17"/>
          <w:b w:val="1"/>
          <w:bCs w:val="1"/>
          <w:color w:val="003551"/>
        </w:rPr>
        <w:t>Company may enter into contracts</w:t>
      </w:r>
    </w:p>
    <w:p>
      <w:pPr>
        <w:spacing w:after="0" w:line="108" w:lineRule="exact"/>
        <w:rPr>
          <w:sz w:val="20"/>
          <w:szCs w:val="20"/>
          <w:color w:val="auto"/>
        </w:rPr>
      </w:pPr>
    </w:p>
    <w:p>
      <w:pPr>
        <w:ind w:left="1640" w:right="499"/>
        <w:spacing w:after="0" w:line="245" w:lineRule="auto"/>
        <w:rPr>
          <w:sz w:val="20"/>
          <w:szCs w:val="20"/>
          <w:color w:val="auto"/>
        </w:rPr>
      </w:pPr>
      <w:r>
        <w:rPr>
          <w:rFonts w:ascii="Arial" w:cs="Arial" w:eastAsia="Arial" w:hAnsi="Arial"/>
          <w:sz w:val="17"/>
          <w:szCs w:val="17"/>
          <w:color w:val="003551"/>
        </w:rPr>
        <w:t xml:space="preserve">The company may enter into a contract with a person who is or has been a director, secretary or other officer of the company or a wholly-owned subsidiary of the company setting out the rights and obligations of that person and the company with respect to the matters referred to in </w:t>
      </w:r>
      <w:r>
        <w:rPr>
          <w:rFonts w:ascii="Arial" w:cs="Arial" w:eastAsia="Arial" w:hAnsi="Arial"/>
          <w:sz w:val="17"/>
          <w:szCs w:val="17"/>
          <w:u w:val="single" w:color="auto"/>
          <w:color w:val="003551"/>
        </w:rPr>
        <w:t>rules</w:t>
      </w:r>
      <w:r>
        <w:rPr>
          <w:rFonts w:ascii="Arial" w:cs="Arial" w:eastAsia="Arial" w:hAnsi="Arial"/>
          <w:sz w:val="17"/>
          <w:szCs w:val="17"/>
          <w:color w:val="003551"/>
        </w:rPr>
        <w:t xml:space="preserve"> </w:t>
      </w:r>
      <w:r>
        <w:rPr>
          <w:rFonts w:ascii="Arial" w:cs="Arial" w:eastAsia="Arial" w:hAnsi="Arial"/>
          <w:sz w:val="17"/>
          <w:szCs w:val="17"/>
          <w:u w:val="single" w:color="auto"/>
          <w:color w:val="003551"/>
        </w:rPr>
        <w:t>18.1</w:t>
      </w:r>
      <w:r>
        <w:rPr>
          <w:rFonts w:ascii="Arial" w:cs="Arial" w:eastAsia="Arial" w:hAnsi="Arial"/>
          <w:sz w:val="17"/>
          <w:szCs w:val="17"/>
          <w:color w:val="003551"/>
        </w:rPr>
        <w:t xml:space="preserve"> to </w:t>
      </w:r>
      <w:r>
        <w:rPr>
          <w:rFonts w:ascii="Arial" w:cs="Arial" w:eastAsia="Arial" w:hAnsi="Arial"/>
          <w:sz w:val="17"/>
          <w:szCs w:val="17"/>
          <w:u w:val="single" w:color="auto"/>
          <w:color w:val="003551"/>
        </w:rPr>
        <w:t>18.3</w:t>
      </w:r>
      <w:r>
        <w:rPr>
          <w:rFonts w:ascii="Arial" w:cs="Arial" w:eastAsia="Arial" w:hAnsi="Arial"/>
          <w:sz w:val="17"/>
          <w:szCs w:val="17"/>
          <w:color w:val="003551"/>
        </w:rPr>
        <w:t>. A contract entered into pursuant to this rule may also include provisions requiring the company to make payments to that person by way of advance of legal costs prior to the final disposition of the litigation, provided that such person provides an undertaking reasonably acceptable in form and substance to the board for the repayment of such advances if it is ultimately determined by a court of competent jurisdiction that such person is not entitled to indemnification and to give that person access to the accounting records and other books and documents of the company.</w:t>
      </w:r>
    </w:p>
    <w:p>
      <w:pPr>
        <w:spacing w:after="0" w:line="72"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18.5</w:t>
      </w:r>
      <w:r>
        <w:rPr>
          <w:sz w:val="20"/>
          <w:szCs w:val="20"/>
          <w:color w:val="auto"/>
        </w:rPr>
        <w:tab/>
      </w:r>
      <w:r>
        <w:rPr>
          <w:rFonts w:ascii="Arial" w:cs="Arial" w:eastAsia="Arial" w:hAnsi="Arial"/>
          <w:sz w:val="17"/>
          <w:szCs w:val="17"/>
          <w:b w:val="1"/>
          <w:bCs w:val="1"/>
          <w:color w:val="003551"/>
        </w:rPr>
        <w:t>Indemnity not exclusive</w:t>
      </w:r>
    </w:p>
    <w:p>
      <w:pPr>
        <w:spacing w:after="0" w:line="134"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 xml:space="preserve">Nothing in </w:t>
      </w:r>
      <w:r>
        <w:rPr>
          <w:rFonts w:ascii="Arial" w:cs="Arial" w:eastAsia="Arial" w:hAnsi="Arial"/>
          <w:sz w:val="17"/>
          <w:szCs w:val="17"/>
          <w:u w:val="single" w:color="auto"/>
          <w:color w:val="003551"/>
        </w:rPr>
        <w:t>rule 18.1</w:t>
      </w:r>
      <w:r>
        <w:rPr>
          <w:rFonts w:ascii="Arial" w:cs="Arial" w:eastAsia="Arial" w:hAnsi="Arial"/>
          <w:sz w:val="17"/>
          <w:szCs w:val="17"/>
          <w:color w:val="003551"/>
        </w:rPr>
        <w:t>:</w:t>
      </w:r>
    </w:p>
    <w:p>
      <w:pPr>
        <w:spacing w:after="0" w:line="106" w:lineRule="exact"/>
        <w:rPr>
          <w:sz w:val="20"/>
          <w:szCs w:val="20"/>
          <w:color w:val="auto"/>
        </w:rPr>
      </w:pPr>
    </w:p>
    <w:p>
      <w:pPr>
        <w:ind w:left="2320" w:right="579" w:hanging="335"/>
        <w:spacing w:after="0" w:line="283" w:lineRule="auto"/>
        <w:tabs>
          <w:tab w:leader="none" w:pos="2320" w:val="left"/>
        </w:tabs>
        <w:numPr>
          <w:ilvl w:val="0"/>
          <w:numId w:val="171"/>
        </w:numPr>
        <w:rPr>
          <w:rFonts w:ascii="Arial" w:cs="Arial" w:eastAsia="Arial" w:hAnsi="Arial"/>
          <w:sz w:val="17"/>
          <w:szCs w:val="17"/>
          <w:color w:val="003551"/>
        </w:rPr>
      </w:pPr>
      <w:r>
        <w:rPr>
          <w:rFonts w:ascii="Arial" w:cs="Arial" w:eastAsia="Arial" w:hAnsi="Arial"/>
          <w:sz w:val="17"/>
          <w:szCs w:val="17"/>
          <w:color w:val="003551"/>
        </w:rPr>
        <w:t>affects any other right or remedy that a person to whom those rules apply may have in respect of any liability referred to in those rules;</w:t>
      </w:r>
    </w:p>
    <w:p>
      <w:pPr>
        <w:spacing w:after="0" w:line="36" w:lineRule="exact"/>
        <w:rPr>
          <w:rFonts w:ascii="Arial" w:cs="Arial" w:eastAsia="Arial" w:hAnsi="Arial"/>
          <w:sz w:val="17"/>
          <w:szCs w:val="17"/>
          <w:color w:val="003551"/>
        </w:rPr>
      </w:pPr>
    </w:p>
    <w:p>
      <w:pPr>
        <w:ind w:left="2320" w:right="599" w:hanging="335"/>
        <w:spacing w:after="0" w:line="283" w:lineRule="auto"/>
        <w:tabs>
          <w:tab w:leader="none" w:pos="2320" w:val="left"/>
        </w:tabs>
        <w:numPr>
          <w:ilvl w:val="0"/>
          <w:numId w:val="171"/>
        </w:numPr>
        <w:rPr>
          <w:rFonts w:ascii="Arial" w:cs="Arial" w:eastAsia="Arial" w:hAnsi="Arial"/>
          <w:sz w:val="17"/>
          <w:szCs w:val="17"/>
          <w:color w:val="003551"/>
        </w:rPr>
      </w:pPr>
      <w:r>
        <w:rPr>
          <w:rFonts w:ascii="Arial" w:cs="Arial" w:eastAsia="Arial" w:hAnsi="Arial"/>
          <w:sz w:val="17"/>
          <w:szCs w:val="17"/>
          <w:color w:val="003551"/>
        </w:rPr>
        <w:t>limits the capacity of the company to indemnify or provide or pay for insurance for any person to whom those rules do not apply; or</w:t>
      </w:r>
    </w:p>
    <w:p>
      <w:pPr>
        <w:spacing w:after="0" w:line="36" w:lineRule="exact"/>
        <w:rPr>
          <w:rFonts w:ascii="Arial" w:cs="Arial" w:eastAsia="Arial" w:hAnsi="Arial"/>
          <w:sz w:val="17"/>
          <w:szCs w:val="17"/>
          <w:color w:val="003551"/>
        </w:rPr>
      </w:pPr>
    </w:p>
    <w:p>
      <w:pPr>
        <w:ind w:left="2320" w:right="779" w:hanging="335"/>
        <w:spacing w:after="0" w:line="283" w:lineRule="auto"/>
        <w:tabs>
          <w:tab w:leader="none" w:pos="2320" w:val="left"/>
        </w:tabs>
        <w:numPr>
          <w:ilvl w:val="0"/>
          <w:numId w:val="171"/>
        </w:numPr>
        <w:rPr>
          <w:rFonts w:ascii="Arial" w:cs="Arial" w:eastAsia="Arial" w:hAnsi="Arial"/>
          <w:sz w:val="17"/>
          <w:szCs w:val="17"/>
          <w:color w:val="003551"/>
        </w:rPr>
      </w:pPr>
      <w:r>
        <w:rPr>
          <w:rFonts w:ascii="Arial" w:cs="Arial" w:eastAsia="Arial" w:hAnsi="Arial"/>
          <w:sz w:val="17"/>
          <w:szCs w:val="17"/>
          <w:color w:val="003551"/>
        </w:rPr>
        <w:t>limits or diminishes the terms of any indemnity conferred or agreement to indemnify entered into prior to the adoption of this constitution.</w:t>
      </w:r>
    </w:p>
    <w:p>
      <w:pPr>
        <w:spacing w:after="0" w:line="35" w:lineRule="exact"/>
        <w:rPr>
          <w:sz w:val="20"/>
          <w:szCs w:val="20"/>
          <w:color w:val="auto"/>
        </w:rPr>
      </w:pPr>
    </w:p>
    <w:p>
      <w:pPr>
        <w:ind w:left="940" w:right="4359" w:hanging="3"/>
        <w:spacing w:after="0" w:line="395" w:lineRule="auto"/>
        <w:tabs>
          <w:tab w:leader="none" w:pos="1634" w:val="left"/>
        </w:tabs>
        <w:numPr>
          <w:ilvl w:val="0"/>
          <w:numId w:val="172"/>
        </w:numPr>
        <w:rPr>
          <w:rFonts w:ascii="Arial" w:cs="Arial" w:eastAsia="Arial" w:hAnsi="Arial"/>
          <w:sz w:val="17"/>
          <w:szCs w:val="17"/>
          <w:b w:val="1"/>
          <w:bCs w:val="1"/>
          <w:color w:val="003551"/>
        </w:rPr>
      </w:pPr>
      <w:r>
        <w:rPr>
          <w:rFonts w:ascii="Arial" w:cs="Arial" w:eastAsia="Arial" w:hAnsi="Arial"/>
          <w:sz w:val="17"/>
          <w:szCs w:val="17"/>
          <w:b w:val="1"/>
          <w:bCs w:val="1"/>
          <w:color w:val="003551"/>
        </w:rPr>
        <w:t>SEALS AND EXECUTION OF DOCUMENTS 19.1 Common seal</w:t>
      </w:r>
    </w:p>
    <w:p>
      <w:pPr>
        <w:jc w:val="center"/>
        <w:ind w:right="179"/>
        <w:spacing w:after="0"/>
        <w:rPr>
          <w:sz w:val="20"/>
          <w:szCs w:val="20"/>
          <w:color w:val="auto"/>
        </w:rPr>
      </w:pPr>
      <w:r>
        <w:rPr>
          <w:rFonts w:ascii="Arial" w:cs="Arial" w:eastAsia="Arial" w:hAnsi="Arial"/>
          <w:sz w:val="17"/>
          <w:szCs w:val="17"/>
          <w:color w:val="003551"/>
        </w:rPr>
        <w:t xml:space="preserve">The company </w:t>
      </w:r>
      <w:r>
        <w:rPr>
          <w:rFonts w:ascii="Arial" w:cs="Arial" w:eastAsia="Arial" w:hAnsi="Arial"/>
          <w:sz w:val="17"/>
          <w:szCs w:val="17"/>
          <w:color w:val="FF0000"/>
          <w:strike w:val="1"/>
        </w:rPr>
        <w:t>y</w:t>
      </w:r>
      <w:r>
        <w:rPr>
          <w:rFonts w:ascii="Arial" w:cs="Arial" w:eastAsia="Arial" w:hAnsi="Arial"/>
          <w:sz w:val="17"/>
          <w:szCs w:val="17"/>
          <w:color w:val="003551"/>
        </w:rPr>
        <w:t xml:space="preserve"> </w:t>
      </w:r>
      <w:r>
        <w:rPr>
          <w:rFonts w:ascii="Arial" w:cs="Arial" w:eastAsia="Arial" w:hAnsi="Arial"/>
          <w:sz w:val="17"/>
          <w:szCs w:val="17"/>
          <w:color w:val="000000"/>
        </w:rPr>
        <w:t>may have a common seal. If the company has a common seal:</w:t>
      </w:r>
    </w:p>
    <w:p>
      <w:pPr>
        <w:spacing w:after="0" w:line="106" w:lineRule="exact"/>
        <w:rPr>
          <w:sz w:val="20"/>
          <w:szCs w:val="20"/>
          <w:color w:val="auto"/>
        </w:rPr>
      </w:pPr>
    </w:p>
    <w:p>
      <w:pPr>
        <w:ind w:left="2320" w:hanging="335"/>
        <w:spacing w:after="0"/>
        <w:tabs>
          <w:tab w:leader="none" w:pos="2320" w:val="left"/>
        </w:tabs>
        <w:numPr>
          <w:ilvl w:val="0"/>
          <w:numId w:val="173"/>
        </w:numPr>
        <w:rPr>
          <w:rFonts w:ascii="Arial" w:cs="Arial" w:eastAsia="Arial" w:hAnsi="Arial"/>
          <w:sz w:val="17"/>
          <w:szCs w:val="17"/>
          <w:color w:val="003551"/>
        </w:rPr>
      </w:pPr>
      <w:r>
        <w:rPr>
          <w:rFonts w:ascii="Arial" w:cs="Arial" w:eastAsia="Arial" w:hAnsi="Arial"/>
          <w:sz w:val="17"/>
          <w:szCs w:val="17"/>
          <w:color w:val="003551"/>
        </w:rPr>
        <w:t>the directors must provide for the safe custody of the common seal;</w:t>
      </w:r>
    </w:p>
    <w:p>
      <w:pPr>
        <w:spacing w:after="0" w:line="105" w:lineRule="exact"/>
        <w:rPr>
          <w:rFonts w:ascii="Arial" w:cs="Arial" w:eastAsia="Arial" w:hAnsi="Arial"/>
          <w:sz w:val="17"/>
          <w:szCs w:val="17"/>
          <w:color w:val="003551"/>
        </w:rPr>
      </w:pPr>
    </w:p>
    <w:p>
      <w:pPr>
        <w:ind w:left="2320" w:hanging="335"/>
        <w:spacing w:after="0"/>
        <w:tabs>
          <w:tab w:leader="none" w:pos="2320" w:val="left"/>
        </w:tabs>
        <w:numPr>
          <w:ilvl w:val="0"/>
          <w:numId w:val="173"/>
        </w:numPr>
        <w:rPr>
          <w:rFonts w:ascii="Arial" w:cs="Arial" w:eastAsia="Arial" w:hAnsi="Arial"/>
          <w:sz w:val="17"/>
          <w:szCs w:val="17"/>
          <w:color w:val="003551"/>
        </w:rPr>
      </w:pPr>
      <w:r>
        <w:rPr>
          <w:rFonts w:ascii="Arial" w:cs="Arial" w:eastAsia="Arial" w:hAnsi="Arial"/>
          <w:sz w:val="17"/>
          <w:szCs w:val="17"/>
          <w:color w:val="003551"/>
        </w:rPr>
        <w:t>it may also have a duplicate common seal; and</w:t>
      </w:r>
    </w:p>
    <w:p>
      <w:pPr>
        <w:spacing w:after="0" w:line="105" w:lineRule="exact"/>
        <w:rPr>
          <w:rFonts w:ascii="Arial" w:cs="Arial" w:eastAsia="Arial" w:hAnsi="Arial"/>
          <w:sz w:val="17"/>
          <w:szCs w:val="17"/>
          <w:color w:val="003551"/>
        </w:rPr>
      </w:pPr>
    </w:p>
    <w:p>
      <w:pPr>
        <w:ind w:left="2320" w:right="479" w:hanging="335"/>
        <w:spacing w:after="0" w:line="262" w:lineRule="auto"/>
        <w:tabs>
          <w:tab w:leader="none" w:pos="2320" w:val="left"/>
        </w:tabs>
        <w:numPr>
          <w:ilvl w:val="0"/>
          <w:numId w:val="173"/>
        </w:numPr>
        <w:rPr>
          <w:rFonts w:ascii="Arial" w:cs="Arial" w:eastAsia="Arial" w:hAnsi="Arial"/>
          <w:sz w:val="17"/>
          <w:szCs w:val="17"/>
          <w:color w:val="003551"/>
        </w:rPr>
      </w:pPr>
      <w:r>
        <w:rPr>
          <w:rFonts w:ascii="Arial" w:cs="Arial" w:eastAsia="Arial" w:hAnsi="Arial"/>
          <w:sz w:val="17"/>
          <w:szCs w:val="17"/>
          <w:color w:val="003551"/>
        </w:rPr>
        <w:t>rule 19‎.2 applies in respect of the common seal and any duplicate common seal (and references in that rule to the common seal include references to any duplicate common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1477010</wp:posOffset>
            </wp:positionH>
            <wp:positionV relativeFrom="paragraph">
              <wp:posOffset>-287020</wp:posOffset>
            </wp:positionV>
            <wp:extent cx="43116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431165" cy="8255"/>
                    </a:xfrm>
                    <a:prstGeom prst="rect">
                      <a:avLst/>
                    </a:prstGeom>
                    <a:noFill/>
                  </pic:spPr>
                </pic:pic>
              </a:graphicData>
            </a:graphic>
          </wp:anchor>
        </w:drawing>
      </w:r>
    </w:p>
    <w:p>
      <w:pPr>
        <w:spacing w:after="0" w:line="13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119380</wp:posOffset>
            </wp:positionV>
            <wp:extent cx="6786880" cy="1651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19.2</w:t>
      </w:r>
      <w:r>
        <w:rPr>
          <w:sz w:val="20"/>
          <w:szCs w:val="20"/>
          <w:color w:val="auto"/>
        </w:rPr>
        <w:tab/>
      </w:r>
      <w:r>
        <w:rPr>
          <w:rFonts w:ascii="Arial" w:cs="Arial" w:eastAsia="Arial" w:hAnsi="Arial"/>
          <w:sz w:val="17"/>
          <w:szCs w:val="17"/>
          <w:b w:val="1"/>
          <w:bCs w:val="1"/>
          <w:color w:val="003551"/>
        </w:rPr>
        <w:t>Use of common seal</w:t>
      </w:r>
    </w:p>
    <w:p>
      <w:pPr>
        <w:spacing w:after="0" w:line="108" w:lineRule="exact"/>
        <w:rPr>
          <w:sz w:val="20"/>
          <w:szCs w:val="20"/>
          <w:color w:val="auto"/>
        </w:rPr>
      </w:pPr>
    </w:p>
    <w:p>
      <w:pPr>
        <w:ind w:left="1640" w:right="399"/>
        <w:spacing w:after="0" w:line="262" w:lineRule="auto"/>
        <w:rPr>
          <w:sz w:val="20"/>
          <w:szCs w:val="20"/>
          <w:color w:val="auto"/>
        </w:rPr>
      </w:pPr>
      <w:r>
        <w:rPr>
          <w:rFonts w:ascii="Arial" w:cs="Arial" w:eastAsia="Arial" w:hAnsi="Arial"/>
          <w:sz w:val="17"/>
          <w:szCs w:val="17"/>
          <w:color w:val="003551"/>
        </w:rPr>
        <w:t>The common seal may only be used with the authority of the board, or of a committee of the board which is authorised by the board to authorise the use of the common seal. Every document to which the common seal is affixed must be signed by:</w:t>
      </w:r>
    </w:p>
    <w:p>
      <w:pPr>
        <w:spacing w:after="0" w:line="54" w:lineRule="exact"/>
        <w:rPr>
          <w:sz w:val="20"/>
          <w:szCs w:val="20"/>
          <w:color w:val="auto"/>
        </w:rPr>
      </w:pPr>
    </w:p>
    <w:p>
      <w:pPr>
        <w:ind w:left="2320" w:hanging="335"/>
        <w:spacing w:after="0"/>
        <w:tabs>
          <w:tab w:leader="none" w:pos="2320" w:val="left"/>
        </w:tabs>
        <w:numPr>
          <w:ilvl w:val="0"/>
          <w:numId w:val="174"/>
        </w:numPr>
        <w:rPr>
          <w:rFonts w:ascii="Arial" w:cs="Arial" w:eastAsia="Arial" w:hAnsi="Arial"/>
          <w:sz w:val="17"/>
          <w:szCs w:val="17"/>
          <w:color w:val="003551"/>
        </w:rPr>
      </w:pPr>
      <w:r>
        <w:rPr>
          <w:rFonts w:ascii="Arial" w:cs="Arial" w:eastAsia="Arial" w:hAnsi="Arial"/>
          <w:sz w:val="17"/>
          <w:szCs w:val="17"/>
          <w:color w:val="003551"/>
        </w:rPr>
        <w:t>2 directors;</w:t>
      </w:r>
    </w:p>
    <w:p>
      <w:pPr>
        <w:spacing w:after="0" w:line="105" w:lineRule="exact"/>
        <w:rPr>
          <w:rFonts w:ascii="Arial" w:cs="Arial" w:eastAsia="Arial" w:hAnsi="Arial"/>
          <w:sz w:val="17"/>
          <w:szCs w:val="17"/>
          <w:color w:val="003551"/>
        </w:rPr>
      </w:pPr>
    </w:p>
    <w:p>
      <w:pPr>
        <w:ind w:left="2320" w:hanging="335"/>
        <w:spacing w:after="0"/>
        <w:tabs>
          <w:tab w:leader="none" w:pos="2320" w:val="left"/>
        </w:tabs>
        <w:numPr>
          <w:ilvl w:val="0"/>
          <w:numId w:val="174"/>
        </w:numPr>
        <w:rPr>
          <w:rFonts w:ascii="Arial" w:cs="Arial" w:eastAsia="Arial" w:hAnsi="Arial"/>
          <w:sz w:val="17"/>
          <w:szCs w:val="17"/>
          <w:color w:val="003551"/>
        </w:rPr>
      </w:pPr>
      <w:r>
        <w:rPr>
          <w:rFonts w:ascii="Arial" w:cs="Arial" w:eastAsia="Arial" w:hAnsi="Arial"/>
          <w:sz w:val="17"/>
          <w:szCs w:val="17"/>
          <w:color w:val="003551"/>
        </w:rPr>
        <w:t>a director and a secretary; or</w:t>
      </w:r>
    </w:p>
    <w:p>
      <w:pPr>
        <w:spacing w:after="0" w:line="105" w:lineRule="exact"/>
        <w:rPr>
          <w:rFonts w:ascii="Arial" w:cs="Arial" w:eastAsia="Arial" w:hAnsi="Arial"/>
          <w:sz w:val="17"/>
          <w:szCs w:val="17"/>
          <w:color w:val="003551"/>
        </w:rPr>
      </w:pPr>
    </w:p>
    <w:p>
      <w:pPr>
        <w:ind w:left="2320" w:right="439" w:hanging="335"/>
        <w:spacing w:after="0" w:line="283" w:lineRule="auto"/>
        <w:tabs>
          <w:tab w:leader="none" w:pos="2320" w:val="left"/>
        </w:tabs>
        <w:numPr>
          <w:ilvl w:val="0"/>
          <w:numId w:val="174"/>
        </w:numPr>
        <w:rPr>
          <w:rFonts w:ascii="Arial" w:cs="Arial" w:eastAsia="Arial" w:hAnsi="Arial"/>
          <w:sz w:val="17"/>
          <w:szCs w:val="17"/>
          <w:color w:val="003551"/>
        </w:rPr>
      </w:pPr>
      <w:r>
        <w:rPr>
          <w:rFonts w:ascii="Arial" w:cs="Arial" w:eastAsia="Arial" w:hAnsi="Arial"/>
          <w:sz w:val="17"/>
          <w:szCs w:val="17"/>
          <w:color w:val="003551"/>
        </w:rPr>
        <w:t>a director and another person appointed by the board to countersign that document or a class of documents in which that document is included.</w:t>
      </w:r>
    </w:p>
    <w:p>
      <w:pPr>
        <w:spacing w:after="0" w:line="35"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19.3</w:t>
      </w:r>
      <w:r>
        <w:rPr>
          <w:sz w:val="20"/>
          <w:szCs w:val="20"/>
          <w:color w:val="auto"/>
        </w:rPr>
        <w:tab/>
      </w:r>
      <w:r>
        <w:rPr>
          <w:rFonts w:ascii="Arial" w:cs="Arial" w:eastAsia="Arial" w:hAnsi="Arial"/>
          <w:sz w:val="17"/>
          <w:szCs w:val="17"/>
          <w:b w:val="1"/>
          <w:bCs w:val="1"/>
          <w:color w:val="003551"/>
        </w:rPr>
        <w:t>Share certificate sealing and signing mechanics</w:t>
      </w:r>
    </w:p>
    <w:p>
      <w:pPr>
        <w:spacing w:after="0" w:line="108" w:lineRule="exact"/>
        <w:rPr>
          <w:sz w:val="20"/>
          <w:szCs w:val="20"/>
          <w:color w:val="auto"/>
        </w:rPr>
      </w:pPr>
    </w:p>
    <w:p>
      <w:pPr>
        <w:ind w:left="1640" w:right="639"/>
        <w:spacing w:after="0" w:line="262" w:lineRule="auto"/>
        <w:rPr>
          <w:sz w:val="20"/>
          <w:szCs w:val="20"/>
          <w:color w:val="auto"/>
        </w:rPr>
      </w:pPr>
      <w:r>
        <w:rPr>
          <w:rFonts w:ascii="Arial" w:cs="Arial" w:eastAsia="Arial" w:hAnsi="Arial"/>
          <w:sz w:val="17"/>
          <w:szCs w:val="17"/>
          <w:color w:val="003551"/>
        </w:rPr>
        <w:t>The directors may decide, either generally or in any particular case, that the common seal and the signature of any director, secretary or other person is to be printed on or affixed to any certificate for shares by some mechanical or other means.</w:t>
      </w:r>
    </w:p>
    <w:p>
      <w:pPr>
        <w:spacing w:after="0" w:line="52"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19.4</w:t>
      </w:r>
      <w:r>
        <w:rPr>
          <w:sz w:val="20"/>
          <w:szCs w:val="20"/>
          <w:color w:val="auto"/>
        </w:rPr>
        <w:tab/>
      </w:r>
      <w:r>
        <w:rPr>
          <w:rFonts w:ascii="Arial" w:cs="Arial" w:eastAsia="Arial" w:hAnsi="Arial"/>
          <w:sz w:val="17"/>
          <w:szCs w:val="17"/>
          <w:b w:val="1"/>
          <w:bCs w:val="1"/>
          <w:color w:val="003551"/>
        </w:rPr>
        <w:t>Execution of documents</w:t>
      </w:r>
    </w:p>
    <w:p>
      <w:pPr>
        <w:spacing w:after="0" w:line="108" w:lineRule="exact"/>
        <w:rPr>
          <w:sz w:val="20"/>
          <w:szCs w:val="20"/>
          <w:color w:val="auto"/>
        </w:rPr>
      </w:pPr>
    </w:p>
    <w:p>
      <w:pPr>
        <w:ind w:left="1640" w:right="519"/>
        <w:spacing w:after="0" w:line="262" w:lineRule="auto"/>
        <w:rPr>
          <w:sz w:val="20"/>
          <w:szCs w:val="20"/>
          <w:color w:val="auto"/>
        </w:rPr>
      </w:pPr>
      <w:r>
        <w:rPr>
          <w:rFonts w:ascii="Arial" w:cs="Arial" w:eastAsia="Arial" w:hAnsi="Arial"/>
          <w:sz w:val="17"/>
          <w:szCs w:val="17"/>
          <w:color w:val="003551"/>
        </w:rPr>
        <w:t>Without limiting the ways in which the company can execute documents under the Corporations Act or otherwise, the company may execute a document if the document is approved by the board for execution and is signed by:</w:t>
      </w:r>
    </w:p>
    <w:p>
      <w:pPr>
        <w:spacing w:after="0" w:line="54" w:lineRule="exact"/>
        <w:rPr>
          <w:sz w:val="20"/>
          <w:szCs w:val="20"/>
          <w:color w:val="auto"/>
        </w:rPr>
      </w:pPr>
    </w:p>
    <w:p>
      <w:pPr>
        <w:ind w:left="2320" w:hanging="335"/>
        <w:spacing w:after="0"/>
        <w:tabs>
          <w:tab w:leader="none" w:pos="2320" w:val="left"/>
        </w:tabs>
        <w:numPr>
          <w:ilvl w:val="0"/>
          <w:numId w:val="175"/>
        </w:numPr>
        <w:rPr>
          <w:rFonts w:ascii="Arial" w:cs="Arial" w:eastAsia="Arial" w:hAnsi="Arial"/>
          <w:sz w:val="17"/>
          <w:szCs w:val="17"/>
          <w:color w:val="003551"/>
        </w:rPr>
      </w:pPr>
      <w:r>
        <w:rPr>
          <w:rFonts w:ascii="Arial" w:cs="Arial" w:eastAsia="Arial" w:hAnsi="Arial"/>
          <w:sz w:val="17"/>
          <w:szCs w:val="17"/>
          <w:color w:val="003551"/>
        </w:rPr>
        <w:t>2 directors;</w:t>
      </w:r>
    </w:p>
    <w:p>
      <w:pPr>
        <w:spacing w:after="0" w:line="105" w:lineRule="exact"/>
        <w:rPr>
          <w:rFonts w:ascii="Arial" w:cs="Arial" w:eastAsia="Arial" w:hAnsi="Arial"/>
          <w:sz w:val="17"/>
          <w:szCs w:val="17"/>
          <w:color w:val="003551"/>
        </w:rPr>
      </w:pPr>
    </w:p>
    <w:p>
      <w:pPr>
        <w:ind w:left="2320" w:hanging="335"/>
        <w:spacing w:after="0"/>
        <w:tabs>
          <w:tab w:leader="none" w:pos="2320" w:val="left"/>
        </w:tabs>
        <w:numPr>
          <w:ilvl w:val="0"/>
          <w:numId w:val="175"/>
        </w:numPr>
        <w:rPr>
          <w:rFonts w:ascii="Arial" w:cs="Arial" w:eastAsia="Arial" w:hAnsi="Arial"/>
          <w:sz w:val="17"/>
          <w:szCs w:val="17"/>
          <w:color w:val="003551"/>
        </w:rPr>
      </w:pPr>
      <w:r>
        <w:rPr>
          <w:rFonts w:ascii="Arial" w:cs="Arial" w:eastAsia="Arial" w:hAnsi="Arial"/>
          <w:sz w:val="17"/>
          <w:szCs w:val="17"/>
          <w:color w:val="003551"/>
        </w:rPr>
        <w:t>a director and a secretary; or</w:t>
      </w:r>
    </w:p>
    <w:p>
      <w:pPr>
        <w:spacing w:after="0" w:line="105" w:lineRule="exact"/>
        <w:rPr>
          <w:rFonts w:ascii="Arial" w:cs="Arial" w:eastAsia="Arial" w:hAnsi="Arial"/>
          <w:sz w:val="17"/>
          <w:szCs w:val="17"/>
          <w:color w:val="003551"/>
        </w:rPr>
      </w:pPr>
    </w:p>
    <w:p>
      <w:pPr>
        <w:ind w:left="2320" w:right="739" w:hanging="335"/>
        <w:spacing w:after="0" w:line="255" w:lineRule="auto"/>
        <w:tabs>
          <w:tab w:leader="none" w:pos="2320" w:val="left"/>
        </w:tabs>
        <w:numPr>
          <w:ilvl w:val="0"/>
          <w:numId w:val="175"/>
        </w:numPr>
        <w:rPr>
          <w:rFonts w:ascii="Arial" w:cs="Arial" w:eastAsia="Arial" w:hAnsi="Arial"/>
          <w:sz w:val="17"/>
          <w:szCs w:val="17"/>
          <w:color w:val="003551"/>
        </w:rPr>
      </w:pPr>
      <w:r>
        <w:rPr>
          <w:rFonts w:ascii="Arial" w:cs="Arial" w:eastAsia="Arial" w:hAnsi="Arial"/>
          <w:sz w:val="17"/>
          <w:szCs w:val="17"/>
          <w:color w:val="003551"/>
        </w:rPr>
        <w:t>any person or persons authorised by the board for the purposes of executing that document or the class of document to which that document belongs (including any person or persons so authorised under a power of attorney given by the company in accordance with this constitution).</w:t>
      </w:r>
    </w:p>
    <w:p>
      <w:pPr>
        <w:spacing w:after="0" w:line="58"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19.5</w:t>
      </w:r>
      <w:r>
        <w:rPr>
          <w:sz w:val="20"/>
          <w:szCs w:val="20"/>
          <w:color w:val="auto"/>
        </w:rPr>
        <w:tab/>
      </w:r>
      <w:r>
        <w:rPr>
          <w:rFonts w:ascii="Arial" w:cs="Arial" w:eastAsia="Arial" w:hAnsi="Arial"/>
          <w:sz w:val="17"/>
          <w:szCs w:val="17"/>
          <w:b w:val="1"/>
          <w:bCs w:val="1"/>
          <w:color w:val="003551"/>
        </w:rPr>
        <w:t>Signing of cheques and receipts</w:t>
      </w:r>
    </w:p>
    <w:p>
      <w:pPr>
        <w:spacing w:after="0" w:line="108" w:lineRule="exact"/>
        <w:rPr>
          <w:sz w:val="20"/>
          <w:szCs w:val="20"/>
          <w:color w:val="auto"/>
        </w:rPr>
      </w:pPr>
    </w:p>
    <w:p>
      <w:pPr>
        <w:ind w:left="1640" w:right="419"/>
        <w:spacing w:after="0" w:line="255" w:lineRule="auto"/>
        <w:rPr>
          <w:sz w:val="20"/>
          <w:szCs w:val="20"/>
          <w:color w:val="auto"/>
        </w:rPr>
      </w:pPr>
      <w:r>
        <w:rPr>
          <w:rFonts w:ascii="Arial" w:cs="Arial" w:eastAsia="Arial" w:hAnsi="Arial"/>
          <w:sz w:val="17"/>
          <w:szCs w:val="17"/>
          <w:color w:val="003551"/>
        </w:rPr>
        <w:t>The board may determine how cheques, promissory notes, bankers’ drafts, bills of exchange and other negotiable instruments must be signed, drawn, accepted, endorsed or otherwise executed on behalf of the company and how receipts for money paid to the company must be signed or otherwise executed.</w:t>
      </w:r>
    </w:p>
    <w:p>
      <w:pPr>
        <w:spacing w:after="0" w:line="58" w:lineRule="exact"/>
        <w:rPr>
          <w:sz w:val="20"/>
          <w:szCs w:val="20"/>
          <w:color w:val="auto"/>
        </w:rPr>
      </w:pPr>
    </w:p>
    <w:p>
      <w:pPr>
        <w:ind w:left="940" w:right="1679" w:hanging="3"/>
        <w:spacing w:after="0" w:line="371" w:lineRule="auto"/>
        <w:tabs>
          <w:tab w:leader="none" w:pos="1634" w:val="left"/>
        </w:tabs>
        <w:numPr>
          <w:ilvl w:val="0"/>
          <w:numId w:val="176"/>
        </w:numPr>
        <w:rPr>
          <w:rFonts w:ascii="Arial" w:cs="Arial" w:eastAsia="Arial" w:hAnsi="Arial"/>
          <w:sz w:val="17"/>
          <w:szCs w:val="17"/>
          <w:b w:val="1"/>
          <w:bCs w:val="1"/>
          <w:color w:val="003551"/>
        </w:rPr>
      </w:pPr>
      <w:r>
        <w:rPr>
          <w:rFonts w:ascii="Arial" w:cs="Arial" w:eastAsia="Arial" w:hAnsi="Arial"/>
          <w:sz w:val="17"/>
          <w:szCs w:val="17"/>
          <w:b w:val="1"/>
          <w:bCs w:val="1"/>
          <w:color w:val="003551"/>
        </w:rPr>
        <w:t xml:space="preserve">AUDIT, </w:t>
      </w:r>
      <w:r>
        <w:rPr>
          <w:rFonts w:ascii="Arial" w:cs="Arial" w:eastAsia="Arial" w:hAnsi="Arial"/>
          <w:sz w:val="17"/>
          <w:szCs w:val="17"/>
          <w:b w:val="1"/>
          <w:bCs w:val="1"/>
          <w:color w:val="FF0000"/>
          <w:strike w:val="1"/>
        </w:rPr>
        <w:t>FINANCAL</w:t>
      </w:r>
      <w:r>
        <w:rPr>
          <w:rFonts w:ascii="Arial" w:cs="Arial" w:eastAsia="Arial" w:hAnsi="Arial"/>
          <w:sz w:val="17"/>
          <w:szCs w:val="17"/>
          <w:b w:val="1"/>
          <w:bCs w:val="1"/>
          <w:u w:val="single" w:color="auto"/>
          <w:color w:val="0000FF"/>
        </w:rPr>
        <w:t>FINANCIAL</w:t>
      </w:r>
      <w:r>
        <w:rPr>
          <w:rFonts w:ascii="Arial" w:cs="Arial" w:eastAsia="Arial" w:hAnsi="Arial"/>
          <w:sz w:val="17"/>
          <w:szCs w:val="17"/>
          <w:b w:val="1"/>
          <w:bCs w:val="1"/>
          <w:color w:val="003551"/>
        </w:rPr>
        <w:t xml:space="preserve"> </w:t>
      </w:r>
      <w:r>
        <w:rPr>
          <w:rFonts w:ascii="Arial" w:cs="Arial" w:eastAsia="Arial" w:hAnsi="Arial"/>
          <w:sz w:val="17"/>
          <w:szCs w:val="17"/>
          <w:b w:val="1"/>
          <w:bCs w:val="1"/>
          <w:color w:val="000000"/>
        </w:rPr>
        <w:t>ACCOUNTS AND INSPECTION OF RECORDS</w:t>
      </w:r>
      <w:r>
        <w:rPr>
          <w:rFonts w:ascii="Arial" w:cs="Arial" w:eastAsia="Arial" w:hAnsi="Arial"/>
          <w:sz w:val="17"/>
          <w:szCs w:val="17"/>
          <w:b w:val="1"/>
          <w:bCs w:val="1"/>
          <w:color w:val="003551"/>
        </w:rPr>
        <w:t xml:space="preserve"> 20.1 Audit</w:t>
      </w:r>
    </w:p>
    <w:p>
      <w:pPr>
        <w:jc w:val="both"/>
        <w:ind w:left="1640" w:right="479"/>
        <w:spacing w:after="0" w:line="262" w:lineRule="auto"/>
        <w:rPr>
          <w:sz w:val="20"/>
          <w:szCs w:val="20"/>
          <w:color w:val="auto"/>
        </w:rPr>
      </w:pPr>
      <w:r>
        <w:rPr>
          <w:rFonts w:ascii="Arial" w:cs="Arial" w:eastAsia="Arial" w:hAnsi="Arial"/>
          <w:sz w:val="17"/>
          <w:szCs w:val="17"/>
          <w:color w:val="003551"/>
        </w:rPr>
        <w:t>The financial statements of the company for each financial year must be audited by an auditor in accordance with Corporations Act. The auditor of the company must be appointed and removed from time to time in accordance with the Corporations Act.</w:t>
      </w:r>
    </w:p>
    <w:p>
      <w:pPr>
        <w:spacing w:after="0" w:line="52"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20.2</w:t>
      </w:r>
      <w:r>
        <w:rPr>
          <w:sz w:val="20"/>
          <w:szCs w:val="20"/>
          <w:color w:val="auto"/>
        </w:rPr>
        <w:tab/>
      </w:r>
      <w:r>
        <w:rPr>
          <w:rFonts w:ascii="Arial" w:cs="Arial" w:eastAsia="Arial" w:hAnsi="Arial"/>
          <w:sz w:val="17"/>
          <w:szCs w:val="17"/>
          <w:b w:val="1"/>
          <w:bCs w:val="1"/>
          <w:color w:val="003551"/>
        </w:rPr>
        <w:t>Provision of financial statements</w:t>
      </w:r>
    </w:p>
    <w:p>
      <w:pPr>
        <w:spacing w:after="0" w:line="108" w:lineRule="exact"/>
        <w:rPr>
          <w:sz w:val="20"/>
          <w:szCs w:val="20"/>
          <w:color w:val="auto"/>
        </w:rPr>
      </w:pPr>
    </w:p>
    <w:p>
      <w:pPr>
        <w:ind w:left="1640" w:right="599"/>
        <w:spacing w:after="0" w:line="283" w:lineRule="auto"/>
        <w:rPr>
          <w:sz w:val="20"/>
          <w:szCs w:val="20"/>
          <w:color w:val="auto"/>
        </w:rPr>
      </w:pPr>
      <w:r>
        <w:rPr>
          <w:rFonts w:ascii="Arial" w:cs="Arial" w:eastAsia="Arial" w:hAnsi="Arial"/>
          <w:sz w:val="17"/>
          <w:szCs w:val="17"/>
          <w:color w:val="003551"/>
        </w:rPr>
        <w:t>The board must cause the financial statements of the company to be prepared and provided to members as and when required by the Corporations Act.</w:t>
      </w:r>
    </w:p>
    <w:p>
      <w:pPr>
        <w:spacing w:after="0" w:line="142"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119380</wp:posOffset>
            </wp:positionV>
            <wp:extent cx="6786880" cy="1651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640"/>
        <w:spacing w:after="0"/>
        <w:rPr>
          <w:sz w:val="20"/>
          <w:szCs w:val="20"/>
          <w:color w:val="auto"/>
        </w:rPr>
      </w:pPr>
      <w:r>
        <w:rPr>
          <w:rFonts w:ascii="Arial" w:cs="Arial" w:eastAsia="Arial" w:hAnsi="Arial"/>
          <w:sz w:val="17"/>
          <w:szCs w:val="17"/>
          <w:b w:val="1"/>
          <w:bCs w:val="1"/>
          <w:color w:val="003551"/>
        </w:rPr>
        <w:t>Inspection by members</w:t>
      </w:r>
    </w:p>
    <w:p>
      <w:pPr>
        <w:spacing w:after="0" w:line="108" w:lineRule="exact"/>
        <w:rPr>
          <w:sz w:val="20"/>
          <w:szCs w:val="20"/>
          <w:color w:val="auto"/>
        </w:rPr>
      </w:pPr>
    </w:p>
    <w:p>
      <w:pPr>
        <w:ind w:left="1640" w:right="479"/>
        <w:spacing w:after="0" w:line="251" w:lineRule="auto"/>
        <w:rPr>
          <w:sz w:val="20"/>
          <w:szCs w:val="20"/>
          <w:color w:val="auto"/>
        </w:rPr>
      </w:pPr>
      <w:r>
        <w:rPr>
          <w:rFonts w:ascii="Arial" w:cs="Arial" w:eastAsia="Arial" w:hAnsi="Arial"/>
          <w:sz w:val="17"/>
          <w:szCs w:val="17"/>
          <w:color w:val="003551"/>
        </w:rPr>
        <w:t>Subject to the Corporations Act, the board may determine whether and to what extent, and at what time and places and under what conditions, the accounting records and other books and documents of the company or any of them will be open to the inspection of members. A member does not have the right to inspect any document of the company except as provided by law or this constitution or as authorised by the board or by the company in general meeting.</w:t>
      </w:r>
    </w:p>
    <w:p>
      <w:pPr>
        <w:spacing w:after="0" w:line="63"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u w:val="single" w:color="auto"/>
          <w:color w:val="0000FF"/>
        </w:rPr>
        <w:t>20.3</w:t>
      </w:r>
      <w:r>
        <w:rPr>
          <w:sz w:val="20"/>
          <w:szCs w:val="20"/>
          <w:color w:val="auto"/>
        </w:rPr>
        <w:tab/>
      </w:r>
      <w:r>
        <w:rPr>
          <w:rFonts w:ascii="Arial" w:cs="Arial" w:eastAsia="Arial" w:hAnsi="Arial"/>
          <w:sz w:val="17"/>
          <w:szCs w:val="17"/>
          <w:b w:val="1"/>
          <w:bCs w:val="1"/>
          <w:color w:val="FF0000"/>
          <w:strike w:val="1"/>
        </w:rPr>
        <w:t xml:space="preserve">20.4 </w:t>
      </w:r>
      <w:r>
        <w:rPr>
          <w:rFonts w:ascii="Arial" w:cs="Arial" w:eastAsia="Arial" w:hAnsi="Arial"/>
          <w:sz w:val="17"/>
          <w:szCs w:val="17"/>
          <w:b w:val="1"/>
          <w:bCs w:val="1"/>
          <w:color w:val="000000"/>
          <w:strike w:val="1"/>
        </w:rPr>
        <w:t>Inspection by current and former officers</w:t>
      </w:r>
    </w:p>
    <w:p>
      <w:pPr>
        <w:spacing w:after="0" w:line="108" w:lineRule="exact"/>
        <w:rPr>
          <w:sz w:val="20"/>
          <w:szCs w:val="20"/>
          <w:color w:val="auto"/>
        </w:rPr>
      </w:pPr>
    </w:p>
    <w:p>
      <w:pPr>
        <w:ind w:left="1640" w:right="419"/>
        <w:spacing w:after="0" w:line="262" w:lineRule="auto"/>
        <w:rPr>
          <w:sz w:val="20"/>
          <w:szCs w:val="20"/>
          <w:color w:val="auto"/>
        </w:rPr>
      </w:pPr>
      <w:r>
        <w:rPr>
          <w:rFonts w:ascii="Arial" w:cs="Arial" w:eastAsia="Arial" w:hAnsi="Arial"/>
          <w:sz w:val="17"/>
          <w:szCs w:val="17"/>
          <w:color w:val="003551"/>
        </w:rPr>
        <w:t xml:space="preserve">In addition to any rights given by law, each person who is or has been a director, secretary or other officer of the company may access the accounting records and other books and documents of the company in accordance with the terms of any contract entered into under </w:t>
      </w:r>
      <w:r>
        <w:rPr>
          <w:rFonts w:ascii="Arial" w:cs="Arial" w:eastAsia="Arial" w:hAnsi="Arial"/>
          <w:sz w:val="17"/>
          <w:szCs w:val="17"/>
          <w:u w:val="single" w:color="auto"/>
          <w:color w:val="003551"/>
        </w:rPr>
        <w:t>rule 18.4</w:t>
      </w:r>
      <w:r>
        <w:rPr>
          <w:rFonts w:ascii="Arial" w:cs="Arial" w:eastAsia="Arial" w:hAnsi="Arial"/>
          <w:sz w:val="17"/>
          <w:szCs w:val="17"/>
          <w:color w:val="003551"/>
        </w:rPr>
        <w:t>.</w:t>
      </w:r>
    </w:p>
    <w:p>
      <w:pPr>
        <w:spacing w:after="0" w:line="52" w:lineRule="exact"/>
        <w:rPr>
          <w:sz w:val="20"/>
          <w:szCs w:val="20"/>
          <w:color w:val="auto"/>
        </w:rPr>
      </w:pPr>
    </w:p>
    <w:p>
      <w:pPr>
        <w:ind w:left="940" w:right="5359" w:hanging="3"/>
        <w:spacing w:after="0" w:line="387" w:lineRule="auto"/>
        <w:tabs>
          <w:tab w:leader="none" w:pos="1634" w:val="left"/>
        </w:tabs>
        <w:numPr>
          <w:ilvl w:val="0"/>
          <w:numId w:val="177"/>
        </w:numPr>
        <w:rPr>
          <w:rFonts w:ascii="Arial" w:cs="Arial" w:eastAsia="Arial" w:hAnsi="Arial"/>
          <w:sz w:val="17"/>
          <w:szCs w:val="17"/>
          <w:b w:val="1"/>
          <w:bCs w:val="1"/>
          <w:color w:val="003551"/>
        </w:rPr>
      </w:pPr>
      <w:r>
        <w:rPr>
          <w:rFonts w:ascii="Arial" w:cs="Arial" w:eastAsia="Arial" w:hAnsi="Arial"/>
          <w:sz w:val="17"/>
          <w:szCs w:val="17"/>
          <w:b w:val="1"/>
          <w:bCs w:val="1"/>
          <w:color w:val="003551"/>
        </w:rPr>
        <w:t>PAYMENTS BY THE COMPANY 21.1 Method of payment</w:t>
      </w:r>
    </w:p>
    <w:p>
      <w:pPr>
        <w:ind w:left="1640"/>
        <w:spacing w:after="0"/>
        <w:rPr>
          <w:rFonts w:ascii="Arial" w:cs="Arial" w:eastAsia="Arial" w:hAnsi="Arial"/>
          <w:sz w:val="17"/>
          <w:szCs w:val="17"/>
          <w:b w:val="1"/>
          <w:bCs w:val="1"/>
          <w:color w:val="003551"/>
        </w:rPr>
      </w:pPr>
      <w:r>
        <w:rPr>
          <w:rFonts w:ascii="Arial" w:cs="Arial" w:eastAsia="Arial" w:hAnsi="Arial"/>
          <w:sz w:val="17"/>
          <w:szCs w:val="17"/>
          <w:color w:val="003551"/>
        </w:rPr>
        <w:t>The company may pay any dividend or other amount payable to a member in respect of a share:</w:t>
      </w:r>
    </w:p>
    <w:p>
      <w:pPr>
        <w:spacing w:after="0" w:line="105" w:lineRule="exact"/>
        <w:rPr>
          <w:rFonts w:ascii="Arial" w:cs="Arial" w:eastAsia="Arial" w:hAnsi="Arial"/>
          <w:sz w:val="17"/>
          <w:szCs w:val="17"/>
          <w:b w:val="1"/>
          <w:bCs w:val="1"/>
          <w:color w:val="003551"/>
        </w:rPr>
      </w:pPr>
    </w:p>
    <w:p>
      <w:pPr>
        <w:ind w:left="2320" w:right="679" w:hanging="335"/>
        <w:spacing w:after="0" w:line="255" w:lineRule="auto"/>
        <w:tabs>
          <w:tab w:leader="none" w:pos="2320" w:val="left"/>
        </w:tabs>
        <w:numPr>
          <w:ilvl w:val="1"/>
          <w:numId w:val="177"/>
        </w:numPr>
        <w:rPr>
          <w:rFonts w:ascii="Arial" w:cs="Arial" w:eastAsia="Arial" w:hAnsi="Arial"/>
          <w:sz w:val="17"/>
          <w:szCs w:val="17"/>
          <w:color w:val="003551"/>
        </w:rPr>
      </w:pPr>
      <w:r>
        <w:rPr>
          <w:rFonts w:ascii="Arial" w:cs="Arial" w:eastAsia="Arial" w:hAnsi="Arial"/>
          <w:sz w:val="17"/>
          <w:szCs w:val="17"/>
          <w:color w:val="003551"/>
        </w:rPr>
        <w:t>by cheque payable to the member (or in the case of joint holders, payable to the joint holder first named in the Register) or to any other person that the member (or in the case of joint holders, all joint holders) may nominate by giving notice in writing to the company for this purpose;</w:t>
      </w:r>
    </w:p>
    <w:p>
      <w:pPr>
        <w:spacing w:after="0" w:line="59" w:lineRule="exact"/>
        <w:rPr>
          <w:rFonts w:ascii="Arial" w:cs="Arial" w:eastAsia="Arial" w:hAnsi="Arial"/>
          <w:sz w:val="17"/>
          <w:szCs w:val="17"/>
          <w:color w:val="003551"/>
        </w:rPr>
      </w:pPr>
    </w:p>
    <w:p>
      <w:pPr>
        <w:ind w:left="2320" w:right="379" w:hanging="335"/>
        <w:spacing w:after="0" w:line="262" w:lineRule="auto"/>
        <w:tabs>
          <w:tab w:leader="none" w:pos="2320" w:val="left"/>
        </w:tabs>
        <w:numPr>
          <w:ilvl w:val="1"/>
          <w:numId w:val="177"/>
        </w:numPr>
        <w:rPr>
          <w:rFonts w:ascii="Arial" w:cs="Arial" w:eastAsia="Arial" w:hAnsi="Arial"/>
          <w:sz w:val="17"/>
          <w:szCs w:val="17"/>
          <w:color w:val="003551"/>
        </w:rPr>
      </w:pPr>
      <w:r>
        <w:rPr>
          <w:rFonts w:ascii="Arial" w:cs="Arial" w:eastAsia="Arial" w:hAnsi="Arial"/>
          <w:sz w:val="17"/>
          <w:szCs w:val="17"/>
          <w:color w:val="003551"/>
        </w:rPr>
        <w:t>by any electronic funds transfer system to any account that the member (or in the case of joint holders, all joint holders) may nominate by giving notice in writing to the company for this purpose; or</w:t>
      </w:r>
    </w:p>
    <w:p>
      <w:pPr>
        <w:spacing w:after="0" w:line="54" w:lineRule="exact"/>
        <w:rPr>
          <w:rFonts w:ascii="Arial" w:cs="Arial" w:eastAsia="Arial" w:hAnsi="Arial"/>
          <w:sz w:val="17"/>
          <w:szCs w:val="17"/>
          <w:color w:val="003551"/>
        </w:rPr>
      </w:pPr>
    </w:p>
    <w:p>
      <w:pPr>
        <w:ind w:left="2320" w:right="659" w:hanging="335"/>
        <w:spacing w:after="0" w:line="283" w:lineRule="auto"/>
        <w:tabs>
          <w:tab w:leader="none" w:pos="2320" w:val="left"/>
        </w:tabs>
        <w:numPr>
          <w:ilvl w:val="1"/>
          <w:numId w:val="177"/>
        </w:numPr>
        <w:rPr>
          <w:rFonts w:ascii="Arial" w:cs="Arial" w:eastAsia="Arial" w:hAnsi="Arial"/>
          <w:sz w:val="17"/>
          <w:szCs w:val="17"/>
          <w:color w:val="003551"/>
        </w:rPr>
      </w:pPr>
      <w:r>
        <w:rPr>
          <w:rFonts w:ascii="Arial" w:cs="Arial" w:eastAsia="Arial" w:hAnsi="Arial"/>
          <w:sz w:val="17"/>
          <w:szCs w:val="17"/>
          <w:color w:val="003551"/>
        </w:rPr>
        <w:t>by any other means agreed between the company and the member (or in the case of joint holders, all joint holders).</w:t>
      </w:r>
    </w:p>
    <w:p>
      <w:pPr>
        <w:spacing w:after="0" w:line="37" w:lineRule="exact"/>
        <w:rPr>
          <w:sz w:val="20"/>
          <w:szCs w:val="20"/>
          <w:color w:val="auto"/>
        </w:rPr>
      </w:pPr>
    </w:p>
    <w:p>
      <w:pPr>
        <w:ind w:left="1640" w:right="399"/>
        <w:spacing w:after="0" w:line="251" w:lineRule="auto"/>
        <w:rPr>
          <w:sz w:val="20"/>
          <w:szCs w:val="20"/>
          <w:color w:val="auto"/>
        </w:rPr>
      </w:pPr>
      <w:r>
        <w:rPr>
          <w:rFonts w:ascii="Arial" w:cs="Arial" w:eastAsia="Arial" w:hAnsi="Arial"/>
          <w:sz w:val="17"/>
          <w:szCs w:val="17"/>
          <w:color w:val="003551"/>
        </w:rPr>
        <w:t>The company may send any cheque referred to in rule 21‎.1(a) by post to the address of the member shown in the Register (or in the case of joint holders, to the address in the Register of the joint holder first named in the Register) or to any other address that the member (or in the case of joint holders, all joint holders) may nominate by giving notice in writing to the company for this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-529590</wp:posOffset>
            </wp:positionV>
            <wp:extent cx="56705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567055" cy="8255"/>
                    </a:xfrm>
                    <a:prstGeom prst="rect">
                      <a:avLst/>
                    </a:prstGeom>
                    <a:noFill/>
                  </pic:spPr>
                </pic:pic>
              </a:graphicData>
            </a:graphic>
          </wp:anchor>
        </w:drawing>
      </w:r>
    </w:p>
    <w:p>
      <w:pPr>
        <w:spacing w:after="0" w:line="43"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21.2</w:t>
      </w:r>
      <w:r>
        <w:rPr>
          <w:sz w:val="20"/>
          <w:szCs w:val="20"/>
          <w:color w:val="auto"/>
        </w:rPr>
        <w:tab/>
      </w:r>
      <w:r>
        <w:rPr>
          <w:rFonts w:ascii="Arial" w:cs="Arial" w:eastAsia="Arial" w:hAnsi="Arial"/>
          <w:sz w:val="17"/>
          <w:szCs w:val="17"/>
          <w:b w:val="1"/>
          <w:bCs w:val="1"/>
          <w:color w:val="003551"/>
        </w:rPr>
        <w:t>Persons entitled by transmission</w:t>
      </w:r>
    </w:p>
    <w:p>
      <w:pPr>
        <w:spacing w:after="0" w:line="108" w:lineRule="exact"/>
        <w:rPr>
          <w:sz w:val="20"/>
          <w:szCs w:val="20"/>
          <w:color w:val="auto"/>
        </w:rPr>
      </w:pPr>
    </w:p>
    <w:p>
      <w:pPr>
        <w:ind w:left="1640" w:right="439"/>
        <w:spacing w:after="0" w:line="283" w:lineRule="auto"/>
        <w:rPr>
          <w:sz w:val="20"/>
          <w:szCs w:val="20"/>
          <w:color w:val="auto"/>
        </w:rPr>
      </w:pPr>
      <w:r>
        <w:rPr>
          <w:rFonts w:ascii="Arial" w:cs="Arial" w:eastAsia="Arial" w:hAnsi="Arial"/>
          <w:sz w:val="17"/>
          <w:szCs w:val="17"/>
          <w:color w:val="003551"/>
        </w:rPr>
        <w:t>The company may pay any dividend or other amount payable in respect of a share to any person entitled to the share as a result of a Transmission Event as if:</w:t>
      </w:r>
    </w:p>
    <w:p>
      <w:pPr>
        <w:spacing w:after="0" w:line="37" w:lineRule="exact"/>
        <w:rPr>
          <w:sz w:val="20"/>
          <w:szCs w:val="20"/>
          <w:color w:val="auto"/>
        </w:rPr>
      </w:pPr>
    </w:p>
    <w:p>
      <w:pPr>
        <w:ind w:left="2320" w:hanging="335"/>
        <w:spacing w:after="0"/>
        <w:tabs>
          <w:tab w:leader="none" w:pos="2320" w:val="left"/>
        </w:tabs>
        <w:numPr>
          <w:ilvl w:val="0"/>
          <w:numId w:val="178"/>
        </w:numPr>
        <w:rPr>
          <w:rFonts w:ascii="Arial" w:cs="Arial" w:eastAsia="Arial" w:hAnsi="Arial"/>
          <w:sz w:val="17"/>
          <w:szCs w:val="17"/>
          <w:color w:val="003551"/>
        </w:rPr>
      </w:pPr>
      <w:r>
        <w:rPr>
          <w:rFonts w:ascii="Arial" w:cs="Arial" w:eastAsia="Arial" w:hAnsi="Arial"/>
          <w:sz w:val="17"/>
          <w:szCs w:val="17"/>
          <w:color w:val="003551"/>
        </w:rPr>
        <w:t>the person were registered as the holder of that share; and</w:t>
      </w:r>
    </w:p>
    <w:p>
      <w:pPr>
        <w:spacing w:after="0" w:line="105" w:lineRule="exact"/>
        <w:rPr>
          <w:rFonts w:ascii="Arial" w:cs="Arial" w:eastAsia="Arial" w:hAnsi="Arial"/>
          <w:sz w:val="17"/>
          <w:szCs w:val="17"/>
          <w:color w:val="003551"/>
        </w:rPr>
      </w:pPr>
    </w:p>
    <w:p>
      <w:pPr>
        <w:ind w:left="2320" w:right="599" w:hanging="335"/>
        <w:spacing w:after="0" w:line="283" w:lineRule="auto"/>
        <w:tabs>
          <w:tab w:leader="none" w:pos="2320" w:val="left"/>
        </w:tabs>
        <w:numPr>
          <w:ilvl w:val="0"/>
          <w:numId w:val="178"/>
        </w:numPr>
        <w:rPr>
          <w:rFonts w:ascii="Arial" w:cs="Arial" w:eastAsia="Arial" w:hAnsi="Arial"/>
          <w:sz w:val="17"/>
          <w:szCs w:val="17"/>
          <w:color w:val="003551"/>
        </w:rPr>
      </w:pPr>
      <w:r>
        <w:rPr>
          <w:rFonts w:ascii="Arial" w:cs="Arial" w:eastAsia="Arial" w:hAnsi="Arial"/>
          <w:sz w:val="17"/>
          <w:szCs w:val="17"/>
          <w:color w:val="003551"/>
        </w:rPr>
        <w:t>any address notified by the person to the company in writing for this purpose were the address of the person in the Register.</w:t>
      </w:r>
    </w:p>
    <w:p>
      <w:pPr>
        <w:spacing w:after="0" w:line="35"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21.3</w:t>
      </w:r>
      <w:r>
        <w:rPr>
          <w:sz w:val="20"/>
          <w:szCs w:val="20"/>
          <w:color w:val="auto"/>
        </w:rPr>
        <w:tab/>
      </w:r>
      <w:r>
        <w:rPr>
          <w:rFonts w:ascii="Arial" w:cs="Arial" w:eastAsia="Arial" w:hAnsi="Arial"/>
          <w:sz w:val="17"/>
          <w:szCs w:val="17"/>
          <w:b w:val="1"/>
          <w:bCs w:val="1"/>
          <w:color w:val="003551"/>
        </w:rPr>
        <w:t>Risk of payments</w:t>
      </w:r>
    </w:p>
    <w:p>
      <w:pPr>
        <w:spacing w:after="0" w:line="108" w:lineRule="exact"/>
        <w:rPr>
          <w:sz w:val="20"/>
          <w:szCs w:val="20"/>
          <w:color w:val="auto"/>
        </w:rPr>
      </w:pPr>
    </w:p>
    <w:p>
      <w:pPr>
        <w:jc w:val="both"/>
        <w:ind w:left="1640" w:right="699"/>
        <w:spacing w:after="0" w:line="262" w:lineRule="auto"/>
        <w:rPr>
          <w:sz w:val="20"/>
          <w:szCs w:val="20"/>
          <w:color w:val="auto"/>
        </w:rPr>
      </w:pPr>
      <w:r>
        <w:rPr>
          <w:rFonts w:ascii="Arial" w:cs="Arial" w:eastAsia="Arial" w:hAnsi="Arial"/>
          <w:sz w:val="17"/>
          <w:szCs w:val="17"/>
          <w:color w:val="003551"/>
        </w:rPr>
        <w:t xml:space="preserve">Each cheque and other payment made in accordance with </w:t>
      </w:r>
      <w:r>
        <w:rPr>
          <w:rFonts w:ascii="Arial" w:cs="Arial" w:eastAsia="Arial" w:hAnsi="Arial"/>
          <w:sz w:val="17"/>
          <w:szCs w:val="17"/>
          <w:u w:val="single" w:color="auto"/>
          <w:color w:val="003551"/>
        </w:rPr>
        <w:t>rule 21.1</w:t>
      </w:r>
      <w:r>
        <w:rPr>
          <w:rFonts w:ascii="Arial" w:cs="Arial" w:eastAsia="Arial" w:hAnsi="Arial"/>
          <w:sz w:val="17"/>
          <w:szCs w:val="17"/>
          <w:color w:val="003551"/>
        </w:rPr>
        <w:t xml:space="preserve"> is made at the risk of the person or persons entitled to it and the company is not responsible for any amount lost or any delay in the receipt of any payment if the payment is made in accordance with that rule.</w:t>
      </w:r>
    </w:p>
    <w:p>
      <w:pPr>
        <w:spacing w:after="0" w:line="15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127635</wp:posOffset>
            </wp:positionV>
            <wp:extent cx="6786880" cy="1651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21.4</w:t>
      </w:r>
      <w:r>
        <w:rPr>
          <w:sz w:val="20"/>
          <w:szCs w:val="20"/>
          <w:color w:val="auto"/>
        </w:rPr>
        <w:tab/>
      </w:r>
      <w:r>
        <w:rPr>
          <w:rFonts w:ascii="Arial" w:cs="Arial" w:eastAsia="Arial" w:hAnsi="Arial"/>
          <w:sz w:val="17"/>
          <w:szCs w:val="17"/>
          <w:b w:val="1"/>
          <w:bCs w:val="1"/>
          <w:color w:val="003551"/>
        </w:rPr>
        <w:t>Currency of payments</w:t>
      </w:r>
    </w:p>
    <w:p>
      <w:pPr>
        <w:spacing w:after="0" w:line="147"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The board:</w:t>
      </w:r>
    </w:p>
    <w:p>
      <w:pPr>
        <w:spacing w:after="0" w:line="106" w:lineRule="exact"/>
        <w:rPr>
          <w:sz w:val="20"/>
          <w:szCs w:val="20"/>
          <w:color w:val="auto"/>
        </w:rPr>
      </w:pPr>
    </w:p>
    <w:p>
      <w:pPr>
        <w:ind w:left="2320" w:right="419" w:hanging="335"/>
        <w:spacing w:after="0" w:line="255" w:lineRule="auto"/>
        <w:tabs>
          <w:tab w:leader="none" w:pos="2320" w:val="left"/>
        </w:tabs>
        <w:numPr>
          <w:ilvl w:val="0"/>
          <w:numId w:val="179"/>
        </w:numPr>
        <w:rPr>
          <w:rFonts w:ascii="Arial" w:cs="Arial" w:eastAsia="Arial" w:hAnsi="Arial"/>
          <w:sz w:val="17"/>
          <w:szCs w:val="17"/>
          <w:color w:val="003551"/>
        </w:rPr>
      </w:pPr>
      <w:r>
        <w:rPr>
          <w:rFonts w:ascii="Arial" w:cs="Arial" w:eastAsia="Arial" w:hAnsi="Arial"/>
          <w:sz w:val="17"/>
          <w:szCs w:val="17"/>
          <w:color w:val="003551"/>
        </w:rPr>
        <w:t>may determine to pay any dividend or other amount payable in respect of a share in a currency other than Australian dollars and to convert the amount payable from Australian dollars to the currency of payment in such manner and at such exchange rate as the directors think fit; and</w:t>
      </w:r>
    </w:p>
    <w:p>
      <w:pPr>
        <w:spacing w:after="0" w:line="59" w:lineRule="exact"/>
        <w:rPr>
          <w:rFonts w:ascii="Arial" w:cs="Arial" w:eastAsia="Arial" w:hAnsi="Arial"/>
          <w:sz w:val="17"/>
          <w:szCs w:val="17"/>
          <w:color w:val="003551"/>
        </w:rPr>
      </w:pPr>
    </w:p>
    <w:p>
      <w:pPr>
        <w:ind w:left="2320" w:right="479" w:hanging="335"/>
        <w:spacing w:after="0" w:line="255" w:lineRule="auto"/>
        <w:tabs>
          <w:tab w:leader="none" w:pos="2320" w:val="left"/>
        </w:tabs>
        <w:numPr>
          <w:ilvl w:val="0"/>
          <w:numId w:val="179"/>
        </w:numPr>
        <w:rPr>
          <w:rFonts w:ascii="Arial" w:cs="Arial" w:eastAsia="Arial" w:hAnsi="Arial"/>
          <w:sz w:val="17"/>
          <w:szCs w:val="17"/>
          <w:color w:val="003551"/>
        </w:rPr>
      </w:pPr>
      <w:r>
        <w:rPr>
          <w:rFonts w:ascii="Arial" w:cs="Arial" w:eastAsia="Arial" w:hAnsi="Arial"/>
          <w:sz w:val="17"/>
          <w:szCs w:val="17"/>
          <w:color w:val="003551"/>
        </w:rPr>
        <w:t xml:space="preserve">in making any determination under </w:t>
      </w:r>
      <w:r>
        <w:rPr>
          <w:rFonts w:ascii="Arial" w:cs="Arial" w:eastAsia="Arial" w:hAnsi="Arial"/>
          <w:sz w:val="17"/>
          <w:szCs w:val="17"/>
          <w:u w:val="single" w:color="auto"/>
          <w:color w:val="003551"/>
        </w:rPr>
        <w:t>rule 21.4(a)</w:t>
      </w:r>
      <w:r>
        <w:rPr>
          <w:rFonts w:ascii="Arial" w:cs="Arial" w:eastAsia="Arial" w:hAnsi="Arial"/>
          <w:sz w:val="17"/>
          <w:szCs w:val="17"/>
          <w:color w:val="003551"/>
        </w:rPr>
        <w:t xml:space="preserve"> may differentiate between members as to the currency in which any payment referred to in that rule is to be paid and may have regard to the registered addresses of members, any subregister or branch register on which shares are registered and any other matters that they consider appropriate.</w:t>
      </w:r>
    </w:p>
    <w:p>
      <w:pPr>
        <w:spacing w:after="0" w:line="60" w:lineRule="exact"/>
        <w:rPr>
          <w:sz w:val="20"/>
          <w:szCs w:val="20"/>
          <w:color w:val="auto"/>
        </w:rPr>
      </w:pPr>
    </w:p>
    <w:p>
      <w:pPr>
        <w:ind w:left="1640" w:right="759"/>
        <w:spacing w:after="0" w:line="283" w:lineRule="auto"/>
        <w:rPr>
          <w:sz w:val="20"/>
          <w:szCs w:val="20"/>
          <w:color w:val="auto"/>
        </w:rPr>
      </w:pPr>
      <w:r>
        <w:rPr>
          <w:rFonts w:ascii="Arial" w:cs="Arial" w:eastAsia="Arial" w:hAnsi="Arial"/>
          <w:sz w:val="17"/>
          <w:szCs w:val="17"/>
          <w:color w:val="003551"/>
        </w:rPr>
        <w:t xml:space="preserve">Payment in another currency of any amount converted under this </w:t>
      </w:r>
      <w:r>
        <w:rPr>
          <w:rFonts w:ascii="Arial" w:cs="Arial" w:eastAsia="Arial" w:hAnsi="Arial"/>
          <w:sz w:val="17"/>
          <w:szCs w:val="17"/>
          <w:u w:val="single" w:color="auto"/>
          <w:color w:val="003551"/>
        </w:rPr>
        <w:t>rule 21.4</w:t>
      </w:r>
      <w:r>
        <w:rPr>
          <w:rFonts w:ascii="Arial" w:cs="Arial" w:eastAsia="Arial" w:hAnsi="Arial"/>
          <w:sz w:val="17"/>
          <w:szCs w:val="17"/>
          <w:color w:val="003551"/>
        </w:rPr>
        <w:t xml:space="preserve"> is as between the company and a member adequate and proper payment of the amount payable.</w:t>
      </w:r>
    </w:p>
    <w:p>
      <w:pPr>
        <w:spacing w:after="0" w:line="35"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21.5</w:t>
      </w:r>
      <w:r>
        <w:rPr>
          <w:sz w:val="20"/>
          <w:szCs w:val="20"/>
          <w:color w:val="auto"/>
        </w:rPr>
        <w:tab/>
      </w:r>
      <w:r>
        <w:rPr>
          <w:rFonts w:ascii="Arial" w:cs="Arial" w:eastAsia="Arial" w:hAnsi="Arial"/>
          <w:sz w:val="17"/>
          <w:szCs w:val="17"/>
          <w:b w:val="1"/>
          <w:bCs w:val="1"/>
          <w:color w:val="003551"/>
        </w:rPr>
        <w:t>Company unable to make payment</w:t>
      </w:r>
    </w:p>
    <w:p>
      <w:pPr>
        <w:spacing w:after="0" w:line="108" w:lineRule="exact"/>
        <w:rPr>
          <w:sz w:val="20"/>
          <w:szCs w:val="20"/>
          <w:color w:val="auto"/>
        </w:rPr>
      </w:pPr>
    </w:p>
    <w:p>
      <w:pPr>
        <w:ind w:left="1980" w:hanging="344"/>
        <w:spacing w:after="0"/>
        <w:tabs>
          <w:tab w:leader="none" w:pos="1980" w:val="left"/>
        </w:tabs>
        <w:numPr>
          <w:ilvl w:val="0"/>
          <w:numId w:val="180"/>
        </w:numPr>
        <w:rPr>
          <w:rFonts w:ascii="Arial" w:cs="Arial" w:eastAsia="Arial" w:hAnsi="Arial"/>
          <w:sz w:val="17"/>
          <w:szCs w:val="17"/>
          <w:color w:val="003551"/>
        </w:rPr>
      </w:pPr>
      <w:r>
        <w:rPr>
          <w:rFonts w:ascii="Arial" w:cs="Arial" w:eastAsia="Arial" w:hAnsi="Arial"/>
          <w:sz w:val="17"/>
          <w:szCs w:val="17"/>
          <w:color w:val="003551"/>
        </w:rPr>
        <w:t>If at the time that any dividend or other amount becomes payable to a member:</w:t>
      </w:r>
    </w:p>
    <w:p>
      <w:pPr>
        <w:spacing w:after="0" w:line="105" w:lineRule="exact"/>
        <w:rPr>
          <w:rFonts w:ascii="Arial" w:cs="Arial" w:eastAsia="Arial" w:hAnsi="Arial"/>
          <w:sz w:val="17"/>
          <w:szCs w:val="17"/>
          <w:color w:val="003551"/>
        </w:rPr>
      </w:pPr>
    </w:p>
    <w:p>
      <w:pPr>
        <w:ind w:left="2320" w:right="939" w:hanging="335"/>
        <w:spacing w:after="0" w:line="283" w:lineRule="auto"/>
        <w:tabs>
          <w:tab w:leader="none" w:pos="2320" w:val="left"/>
        </w:tabs>
        <w:numPr>
          <w:ilvl w:val="1"/>
          <w:numId w:val="180"/>
        </w:numPr>
        <w:rPr>
          <w:rFonts w:ascii="Arial" w:cs="Arial" w:eastAsia="Arial" w:hAnsi="Arial"/>
          <w:sz w:val="17"/>
          <w:szCs w:val="17"/>
          <w:color w:val="003551"/>
        </w:rPr>
      </w:pPr>
      <w:r>
        <w:rPr>
          <w:rFonts w:ascii="Arial" w:cs="Arial" w:eastAsia="Arial" w:hAnsi="Arial"/>
          <w:sz w:val="17"/>
          <w:szCs w:val="17"/>
          <w:color w:val="003551"/>
        </w:rPr>
        <w:t>the board has determined that payments will be made only by an electronic funds transfer system to an account nominated by the member; and</w:t>
      </w:r>
    </w:p>
    <w:p>
      <w:pPr>
        <w:spacing w:after="0" w:line="36" w:lineRule="exact"/>
        <w:rPr>
          <w:rFonts w:ascii="Arial" w:cs="Arial" w:eastAsia="Arial" w:hAnsi="Arial"/>
          <w:sz w:val="17"/>
          <w:szCs w:val="17"/>
          <w:color w:val="003551"/>
        </w:rPr>
      </w:pPr>
    </w:p>
    <w:p>
      <w:pPr>
        <w:ind w:left="2320" w:hanging="335"/>
        <w:spacing w:after="0"/>
        <w:tabs>
          <w:tab w:leader="none" w:pos="2320" w:val="left"/>
        </w:tabs>
        <w:numPr>
          <w:ilvl w:val="1"/>
          <w:numId w:val="180"/>
        </w:numPr>
        <w:rPr>
          <w:rFonts w:ascii="Arial" w:cs="Arial" w:eastAsia="Arial" w:hAnsi="Arial"/>
          <w:sz w:val="17"/>
          <w:szCs w:val="17"/>
          <w:color w:val="003551"/>
        </w:rPr>
      </w:pPr>
      <w:r>
        <w:rPr>
          <w:rFonts w:ascii="Arial" w:cs="Arial" w:eastAsia="Arial" w:hAnsi="Arial"/>
          <w:sz w:val="17"/>
          <w:szCs w:val="17"/>
          <w:color w:val="003551"/>
        </w:rPr>
        <w:t xml:space="preserve">the member has not nominated any such account under </w:t>
      </w:r>
      <w:r>
        <w:rPr>
          <w:rFonts w:ascii="Arial" w:cs="Arial" w:eastAsia="Arial" w:hAnsi="Arial"/>
          <w:sz w:val="17"/>
          <w:szCs w:val="17"/>
          <w:u w:val="single" w:color="auto"/>
          <w:color w:val="003551"/>
        </w:rPr>
        <w:t>rule 21.1(b)</w:t>
      </w:r>
      <w:r>
        <w:rPr>
          <w:rFonts w:ascii="Arial" w:cs="Arial" w:eastAsia="Arial" w:hAnsi="Arial"/>
          <w:sz w:val="17"/>
          <w:szCs w:val="17"/>
          <w:color w:val="003551"/>
        </w:rPr>
        <w:t>,</w:t>
      </w:r>
    </w:p>
    <w:p>
      <w:pPr>
        <w:spacing w:after="0" w:line="106" w:lineRule="exact"/>
        <w:rPr>
          <w:sz w:val="20"/>
          <w:szCs w:val="20"/>
          <w:color w:val="auto"/>
        </w:rPr>
      </w:pPr>
    </w:p>
    <w:p>
      <w:pPr>
        <w:jc w:val="both"/>
        <w:ind w:left="1640" w:right="599"/>
        <w:spacing w:after="0" w:line="262" w:lineRule="auto"/>
        <w:rPr>
          <w:sz w:val="20"/>
          <w:szCs w:val="20"/>
          <w:color w:val="auto"/>
        </w:rPr>
      </w:pPr>
      <w:r>
        <w:rPr>
          <w:rFonts w:ascii="Arial" w:cs="Arial" w:eastAsia="Arial" w:hAnsi="Arial"/>
          <w:sz w:val="17"/>
          <w:szCs w:val="17"/>
          <w:color w:val="003551"/>
        </w:rPr>
        <w:t>then the company may pay the dividend or other amount into an account of the company to be held until the member notifies the company in writing of a valid account into which the payment may be made by electronic funds transfer.</w:t>
      </w:r>
    </w:p>
    <w:p>
      <w:pPr>
        <w:spacing w:after="0" w:line="54" w:lineRule="exact"/>
        <w:rPr>
          <w:sz w:val="20"/>
          <w:szCs w:val="20"/>
          <w:color w:val="auto"/>
        </w:rPr>
      </w:pPr>
    </w:p>
    <w:p>
      <w:pPr>
        <w:ind w:left="1980" w:hanging="344"/>
        <w:spacing w:after="0"/>
        <w:tabs>
          <w:tab w:leader="none" w:pos="1980" w:val="left"/>
        </w:tabs>
        <w:numPr>
          <w:ilvl w:val="0"/>
          <w:numId w:val="181"/>
        </w:numPr>
        <w:rPr>
          <w:rFonts w:ascii="Arial" w:cs="Arial" w:eastAsia="Arial" w:hAnsi="Arial"/>
          <w:sz w:val="17"/>
          <w:szCs w:val="17"/>
          <w:color w:val="003551"/>
        </w:rPr>
      </w:pPr>
      <w:r>
        <w:rPr>
          <w:rFonts w:ascii="Arial" w:cs="Arial" w:eastAsia="Arial" w:hAnsi="Arial"/>
          <w:sz w:val="17"/>
          <w:szCs w:val="17"/>
          <w:color w:val="003551"/>
        </w:rPr>
        <w:t>If at the time that any dividend or other amount becomes payable to a member:</w:t>
      </w:r>
    </w:p>
    <w:p>
      <w:pPr>
        <w:spacing w:after="0" w:line="105" w:lineRule="exact"/>
        <w:rPr>
          <w:rFonts w:ascii="Arial" w:cs="Arial" w:eastAsia="Arial" w:hAnsi="Arial"/>
          <w:sz w:val="17"/>
          <w:szCs w:val="17"/>
          <w:color w:val="003551"/>
        </w:rPr>
      </w:pPr>
    </w:p>
    <w:p>
      <w:pPr>
        <w:ind w:left="2320" w:right="579" w:hanging="335"/>
        <w:spacing w:after="0" w:line="283" w:lineRule="auto"/>
        <w:tabs>
          <w:tab w:leader="none" w:pos="2320" w:val="left"/>
        </w:tabs>
        <w:numPr>
          <w:ilvl w:val="1"/>
          <w:numId w:val="181"/>
        </w:numPr>
        <w:rPr>
          <w:rFonts w:ascii="Arial" w:cs="Arial" w:eastAsia="Arial" w:hAnsi="Arial"/>
          <w:sz w:val="17"/>
          <w:szCs w:val="17"/>
          <w:color w:val="003551"/>
        </w:rPr>
      </w:pPr>
      <w:r>
        <w:rPr>
          <w:rFonts w:ascii="Arial" w:cs="Arial" w:eastAsia="Arial" w:hAnsi="Arial"/>
          <w:sz w:val="17"/>
          <w:szCs w:val="17"/>
          <w:color w:val="003551"/>
        </w:rPr>
        <w:t xml:space="preserve">the member does not have an address in the Register and has not nominated another address under </w:t>
      </w:r>
      <w:r>
        <w:rPr>
          <w:rFonts w:ascii="Arial" w:cs="Arial" w:eastAsia="Arial" w:hAnsi="Arial"/>
          <w:sz w:val="17"/>
          <w:szCs w:val="17"/>
          <w:u w:val="single" w:color="auto"/>
          <w:color w:val="003551"/>
        </w:rPr>
        <w:t>rule 21.1</w:t>
      </w:r>
      <w:r>
        <w:rPr>
          <w:rFonts w:ascii="Arial" w:cs="Arial" w:eastAsia="Arial" w:hAnsi="Arial"/>
          <w:sz w:val="17"/>
          <w:szCs w:val="17"/>
          <w:color w:val="003551"/>
        </w:rPr>
        <w:t>; or</w:t>
      </w:r>
    </w:p>
    <w:p>
      <w:pPr>
        <w:spacing w:after="0" w:line="36" w:lineRule="exact"/>
        <w:rPr>
          <w:rFonts w:ascii="Arial" w:cs="Arial" w:eastAsia="Arial" w:hAnsi="Arial"/>
          <w:sz w:val="17"/>
          <w:szCs w:val="17"/>
          <w:color w:val="003551"/>
        </w:rPr>
      </w:pPr>
    </w:p>
    <w:p>
      <w:pPr>
        <w:jc w:val="both"/>
        <w:ind w:left="2320" w:right="639" w:hanging="335"/>
        <w:spacing w:after="0" w:line="262" w:lineRule="auto"/>
        <w:tabs>
          <w:tab w:leader="none" w:pos="2320" w:val="left"/>
        </w:tabs>
        <w:numPr>
          <w:ilvl w:val="1"/>
          <w:numId w:val="181"/>
        </w:numPr>
        <w:rPr>
          <w:rFonts w:ascii="Arial" w:cs="Arial" w:eastAsia="Arial" w:hAnsi="Arial"/>
          <w:sz w:val="17"/>
          <w:szCs w:val="17"/>
          <w:color w:val="003551"/>
        </w:rPr>
      </w:pPr>
      <w:r>
        <w:rPr>
          <w:rFonts w:ascii="Arial" w:cs="Arial" w:eastAsia="Arial" w:hAnsi="Arial"/>
          <w:sz w:val="17"/>
          <w:szCs w:val="17"/>
          <w:color w:val="003551"/>
        </w:rPr>
        <w:t xml:space="preserve">the directors have reason to believe that the member is not known at the address for that member in the Register or at any other address nominated by the member under </w:t>
      </w:r>
      <w:r>
        <w:rPr>
          <w:rFonts w:ascii="Arial" w:cs="Arial" w:eastAsia="Arial" w:hAnsi="Arial"/>
          <w:sz w:val="17"/>
          <w:szCs w:val="17"/>
          <w:u w:val="single" w:color="auto"/>
          <w:color w:val="003551"/>
        </w:rPr>
        <w:t>rule 21.1</w:t>
      </w:r>
      <w:r>
        <w:rPr>
          <w:rFonts w:ascii="Arial" w:cs="Arial" w:eastAsia="Arial" w:hAnsi="Arial"/>
          <w:sz w:val="17"/>
          <w:szCs w:val="17"/>
          <w:color w:val="003551"/>
        </w:rPr>
        <w:t>,</w:t>
      </w:r>
    </w:p>
    <w:p>
      <w:pPr>
        <w:spacing w:after="0" w:line="54" w:lineRule="exact"/>
        <w:rPr>
          <w:sz w:val="20"/>
          <w:szCs w:val="20"/>
          <w:color w:val="auto"/>
        </w:rPr>
      </w:pPr>
    </w:p>
    <w:p>
      <w:pPr>
        <w:ind w:left="1640" w:right="399"/>
        <w:spacing w:after="0" w:line="255" w:lineRule="auto"/>
        <w:rPr>
          <w:sz w:val="20"/>
          <w:szCs w:val="20"/>
          <w:color w:val="auto"/>
        </w:rPr>
      </w:pPr>
      <w:r>
        <w:rPr>
          <w:rFonts w:ascii="Arial" w:cs="Arial" w:eastAsia="Arial" w:hAnsi="Arial"/>
          <w:sz w:val="17"/>
          <w:szCs w:val="17"/>
          <w:color w:val="003551"/>
        </w:rPr>
        <w:t xml:space="preserve">then, unless the member has nominated an account under </w:t>
      </w:r>
      <w:r>
        <w:rPr>
          <w:rFonts w:ascii="Arial" w:cs="Arial" w:eastAsia="Arial" w:hAnsi="Arial"/>
          <w:sz w:val="17"/>
          <w:szCs w:val="17"/>
          <w:u w:val="single" w:color="auto"/>
          <w:color w:val="003551"/>
        </w:rPr>
        <w:t>rule 21.1(b),</w:t>
      </w:r>
      <w:r>
        <w:rPr>
          <w:rFonts w:ascii="Arial" w:cs="Arial" w:eastAsia="Arial" w:hAnsi="Arial"/>
          <w:sz w:val="17"/>
          <w:szCs w:val="17"/>
          <w:color w:val="003551"/>
        </w:rPr>
        <w:t xml:space="preserve"> the company may pay the dividend or other amount into an account of the company to be held until the member notifies the company in writing of an address to which the payment may be sent by cheque or an account into which the payment may be made by electronic funds transfer.</w:t>
      </w:r>
    </w:p>
    <w:p>
      <w:pPr>
        <w:spacing w:after="0" w:line="58"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21.6</w:t>
      </w:r>
      <w:r>
        <w:rPr>
          <w:sz w:val="20"/>
          <w:szCs w:val="20"/>
          <w:color w:val="auto"/>
        </w:rPr>
        <w:tab/>
      </w:r>
      <w:r>
        <w:rPr>
          <w:rFonts w:ascii="Arial" w:cs="Arial" w:eastAsia="Arial" w:hAnsi="Arial"/>
          <w:sz w:val="17"/>
          <w:szCs w:val="17"/>
          <w:b w:val="1"/>
          <w:bCs w:val="1"/>
          <w:color w:val="003551"/>
        </w:rPr>
        <w:t>Payment returned or rejected</w:t>
      </w:r>
    </w:p>
    <w:p>
      <w:pPr>
        <w:spacing w:after="0" w:line="108" w:lineRule="exact"/>
        <w:rPr>
          <w:sz w:val="20"/>
          <w:szCs w:val="20"/>
          <w:color w:val="auto"/>
        </w:rPr>
      </w:pPr>
    </w:p>
    <w:p>
      <w:pPr>
        <w:ind w:left="1640" w:right="399"/>
        <w:spacing w:after="0" w:line="251" w:lineRule="auto"/>
        <w:rPr>
          <w:sz w:val="20"/>
          <w:szCs w:val="20"/>
          <w:color w:val="auto"/>
        </w:rPr>
      </w:pPr>
      <w:r>
        <w:rPr>
          <w:rFonts w:ascii="Arial" w:cs="Arial" w:eastAsia="Arial" w:hAnsi="Arial"/>
          <w:sz w:val="17"/>
          <w:szCs w:val="17"/>
          <w:color w:val="003551"/>
        </w:rPr>
        <w:t>If any cheque sent under rule 21‎.1(a) is returned to the company or if any electronic funds transfer made under rule 21‎.1(b) is refunded or rejected, the company may pay the dividend or other amount into an account of the company to be held until the member notifies the company in writing of an alternative address to which the payment may be sent by cheque or an alternative account into which the payment may be made by electronic funds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2289810</wp:posOffset>
            </wp:positionH>
            <wp:positionV relativeFrom="paragraph">
              <wp:posOffset>-529590</wp:posOffset>
            </wp:positionV>
            <wp:extent cx="56705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567055" cy="8255"/>
                    </a:xfrm>
                    <a:prstGeom prst="rect">
                      <a:avLst/>
                    </a:prstGeom>
                    <a:noFill/>
                  </pic:spPr>
                </pic:pic>
              </a:graphicData>
            </a:graphic>
          </wp:anchor>
        </w:drawing>
        <w:drawing>
          <wp:anchor simplePos="0" relativeHeight="251657728" behindDoc="1" locked="0" layoutInCell="0" allowOverlap="1">
            <wp:simplePos x="0" y="0"/>
            <wp:positionH relativeFrom="column">
              <wp:posOffset>2067560</wp:posOffset>
            </wp:positionH>
            <wp:positionV relativeFrom="paragraph">
              <wp:posOffset>-405130</wp:posOffset>
            </wp:positionV>
            <wp:extent cx="56705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567055" cy="8255"/>
                    </a:xfrm>
                    <a:prstGeom prst="rect">
                      <a:avLst/>
                    </a:prstGeom>
                    <a:noFill/>
                  </pic:spPr>
                </pic:pic>
              </a:graphicData>
            </a:graphic>
          </wp:anchor>
        </w:drawing>
      </w:r>
    </w:p>
    <w:p>
      <w:pPr>
        <w:spacing w:after="0" w:line="43"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21.7</w:t>
      </w:r>
      <w:r>
        <w:rPr>
          <w:sz w:val="20"/>
          <w:szCs w:val="20"/>
          <w:color w:val="auto"/>
        </w:rPr>
        <w:tab/>
      </w:r>
      <w:r>
        <w:rPr>
          <w:rFonts w:ascii="Arial" w:cs="Arial" w:eastAsia="Arial" w:hAnsi="Arial"/>
          <w:sz w:val="17"/>
          <w:szCs w:val="17"/>
          <w:b w:val="1"/>
          <w:bCs w:val="1"/>
          <w:color w:val="003551"/>
        </w:rPr>
        <w:t>Terms on which amounts held</w:t>
      </w:r>
    </w:p>
    <w:p>
      <w:pPr>
        <w:spacing w:after="0" w:line="108" w:lineRule="exact"/>
        <w:rPr>
          <w:sz w:val="20"/>
          <w:szCs w:val="20"/>
          <w:color w:val="auto"/>
        </w:rPr>
      </w:pPr>
    </w:p>
    <w:p>
      <w:pPr>
        <w:ind w:left="1980" w:right="699" w:hanging="344"/>
        <w:spacing w:after="0" w:line="283" w:lineRule="auto"/>
        <w:tabs>
          <w:tab w:leader="none" w:pos="1980" w:val="left"/>
        </w:tabs>
        <w:numPr>
          <w:ilvl w:val="0"/>
          <w:numId w:val="182"/>
        </w:numPr>
        <w:rPr>
          <w:rFonts w:ascii="Arial" w:cs="Arial" w:eastAsia="Arial" w:hAnsi="Arial"/>
          <w:sz w:val="17"/>
          <w:szCs w:val="17"/>
          <w:color w:val="003551"/>
        </w:rPr>
      </w:pPr>
      <w:r>
        <w:rPr>
          <w:rFonts w:ascii="Arial" w:cs="Arial" w:eastAsia="Arial" w:hAnsi="Arial"/>
          <w:sz w:val="17"/>
          <w:szCs w:val="17"/>
          <w:color w:val="003551"/>
        </w:rPr>
        <w:t>An amount credited to an account under rule 21‎.5 or 21</w:t>
      </w:r>
      <w:r>
        <w:rPr>
          <w:rFonts w:ascii="Arial" w:cs="Arial" w:eastAsia="Arial" w:hAnsi="Arial"/>
          <w:sz w:val="17"/>
          <w:szCs w:val="17"/>
          <w:u w:val="single" w:color="auto"/>
          <w:color w:val="003551"/>
        </w:rPr>
        <w:t>‎.6</w:t>
      </w:r>
      <w:r>
        <w:rPr>
          <w:rFonts w:ascii="Arial" w:cs="Arial" w:eastAsia="Arial" w:hAnsi="Arial"/>
          <w:sz w:val="17"/>
          <w:szCs w:val="17"/>
          <w:color w:val="003551"/>
        </w:rPr>
        <w:t xml:space="preserve"> is to be treated as having been paid to the member at the time it is credited to that account.</w:t>
      </w:r>
    </w:p>
    <w:p>
      <w:pPr>
        <w:spacing w:after="0" w:line="36" w:lineRule="exact"/>
        <w:rPr>
          <w:rFonts w:ascii="Arial" w:cs="Arial" w:eastAsia="Arial" w:hAnsi="Arial"/>
          <w:sz w:val="17"/>
          <w:szCs w:val="17"/>
          <w:color w:val="003551"/>
        </w:rPr>
      </w:pPr>
    </w:p>
    <w:p>
      <w:pPr>
        <w:ind w:left="1980" w:right="479" w:hanging="344"/>
        <w:spacing w:after="0" w:line="255" w:lineRule="auto"/>
        <w:tabs>
          <w:tab w:leader="none" w:pos="1980" w:val="left"/>
        </w:tabs>
        <w:numPr>
          <w:ilvl w:val="0"/>
          <w:numId w:val="182"/>
        </w:numPr>
        <w:rPr>
          <w:rFonts w:ascii="Arial" w:cs="Arial" w:eastAsia="Arial" w:hAnsi="Arial"/>
          <w:sz w:val="17"/>
          <w:szCs w:val="17"/>
          <w:color w:val="003551"/>
        </w:rPr>
      </w:pPr>
      <w:r>
        <w:rPr>
          <w:rFonts w:ascii="Arial" w:cs="Arial" w:eastAsia="Arial" w:hAnsi="Arial"/>
          <w:sz w:val="17"/>
          <w:szCs w:val="17"/>
          <w:color w:val="003551"/>
        </w:rPr>
        <w:t xml:space="preserve">The company is not a trustee of any amount paid into an account of the company under rule 21‎.5 or rule 21‎.6 and no member is entitled to any interest on any such amount. Any amount paid into such an account may be used by </w:t>
      </w:r>
      <w:r>
        <w:rPr>
          <w:rFonts w:ascii="Arial" w:cs="Arial" w:eastAsia="Arial" w:hAnsi="Arial"/>
          <w:sz w:val="17"/>
          <w:szCs w:val="17"/>
          <w:u w:val="single" w:color="auto"/>
          <w:color w:val="0000FF"/>
        </w:rPr>
        <w:t>the</w:t>
      </w:r>
      <w:r>
        <w:rPr>
          <w:rFonts w:ascii="Arial" w:cs="Arial" w:eastAsia="Arial" w:hAnsi="Arial"/>
          <w:sz w:val="17"/>
          <w:szCs w:val="17"/>
          <w:color w:val="003551"/>
        </w:rPr>
        <w:t xml:space="preserve"> </w:t>
      </w:r>
      <w:r>
        <w:rPr>
          <w:rFonts w:ascii="Arial" w:cs="Arial" w:eastAsia="Arial" w:hAnsi="Arial"/>
          <w:sz w:val="17"/>
          <w:szCs w:val="17"/>
          <w:color w:val="000000"/>
        </w:rPr>
        <w:t>company or invested as the directors</w:t>
      </w:r>
      <w:r>
        <w:rPr>
          <w:rFonts w:ascii="Arial" w:cs="Arial" w:eastAsia="Arial" w:hAnsi="Arial"/>
          <w:sz w:val="17"/>
          <w:szCs w:val="17"/>
          <w:color w:val="003551"/>
        </w:rPr>
        <w:t xml:space="preserve"> </w:t>
      </w:r>
      <w:r>
        <w:rPr>
          <w:rFonts w:ascii="Arial" w:cs="Arial" w:eastAsia="Arial" w:hAnsi="Arial"/>
          <w:sz w:val="17"/>
          <w:szCs w:val="17"/>
          <w:color w:val="000000"/>
        </w:rPr>
        <w:t>think fit or disposed of in accordance with the laws relating to unclaimed monies.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3257550</wp:posOffset>
            </wp:positionH>
            <wp:positionV relativeFrom="paragraph">
              <wp:posOffset>-723900</wp:posOffset>
            </wp:positionV>
            <wp:extent cx="43116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431165" cy="8255"/>
                    </a:xfrm>
                    <a:prstGeom prst="rect">
                      <a:avLst/>
                    </a:prstGeom>
                    <a:noFill/>
                  </pic:spPr>
                </pic:pic>
              </a:graphicData>
            </a:graphic>
          </wp:anchor>
        </w:drawing>
        <w:drawing>
          <wp:anchor simplePos="0" relativeHeight="251657728" behindDoc="1" locked="0" layoutInCell="0" allowOverlap="1">
            <wp:simplePos x="0" y="0"/>
            <wp:positionH relativeFrom="column">
              <wp:posOffset>1254760</wp:posOffset>
            </wp:positionH>
            <wp:positionV relativeFrom="paragraph">
              <wp:posOffset>-283210</wp:posOffset>
            </wp:positionV>
            <wp:extent cx="102298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022985" cy="8255"/>
                    </a:xfrm>
                    <a:prstGeom prst="rect">
                      <a:avLst/>
                    </a:prstGeom>
                    <a:noFill/>
                  </pic:spPr>
                </pic:pic>
              </a:graphicData>
            </a:graphic>
          </wp:anchor>
        </w:drawing>
      </w:r>
    </w:p>
    <w:p>
      <w:pPr>
        <w:spacing w:after="0" w:line="145"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119380</wp:posOffset>
            </wp:positionV>
            <wp:extent cx="6786880" cy="1651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21.8</w:t>
      </w:r>
      <w:r>
        <w:rPr>
          <w:sz w:val="20"/>
          <w:szCs w:val="20"/>
          <w:color w:val="auto"/>
        </w:rPr>
        <w:tab/>
      </w:r>
      <w:r>
        <w:rPr>
          <w:rFonts w:ascii="Arial" w:cs="Arial" w:eastAsia="Arial" w:hAnsi="Arial"/>
          <w:sz w:val="17"/>
          <w:szCs w:val="17"/>
          <w:b w:val="1"/>
          <w:bCs w:val="1"/>
          <w:color w:val="003551"/>
        </w:rPr>
        <w:t>Reinvest unclaimed monies</w:t>
      </w:r>
    </w:p>
    <w:p>
      <w:pPr>
        <w:spacing w:after="0" w:line="108" w:lineRule="exact"/>
        <w:rPr>
          <w:sz w:val="20"/>
          <w:szCs w:val="20"/>
          <w:color w:val="auto"/>
        </w:rPr>
      </w:pPr>
    </w:p>
    <w:p>
      <w:pPr>
        <w:ind w:left="1980" w:right="419" w:hanging="344"/>
        <w:spacing w:after="0" w:line="251" w:lineRule="auto"/>
        <w:tabs>
          <w:tab w:leader="none" w:pos="1980" w:val="left"/>
        </w:tabs>
        <w:numPr>
          <w:ilvl w:val="0"/>
          <w:numId w:val="183"/>
        </w:numPr>
        <w:rPr>
          <w:rFonts w:ascii="Arial" w:cs="Arial" w:eastAsia="Arial" w:hAnsi="Arial"/>
          <w:sz w:val="17"/>
          <w:szCs w:val="17"/>
          <w:color w:val="003551"/>
        </w:rPr>
      </w:pPr>
      <w:r>
        <w:rPr>
          <w:rFonts w:ascii="Arial" w:cs="Arial" w:eastAsia="Arial" w:hAnsi="Arial"/>
          <w:sz w:val="17"/>
          <w:szCs w:val="17"/>
          <w:color w:val="003551"/>
        </w:rPr>
        <w:t xml:space="preserve">If a cheque sent under </w:t>
      </w:r>
      <w:r>
        <w:rPr>
          <w:rFonts w:ascii="Arial" w:cs="Arial" w:eastAsia="Arial" w:hAnsi="Arial"/>
          <w:sz w:val="17"/>
          <w:szCs w:val="17"/>
          <w:u w:val="single" w:color="auto"/>
          <w:color w:val="003551"/>
        </w:rPr>
        <w:t>rule 21.1(a)</w:t>
      </w:r>
      <w:r>
        <w:rPr>
          <w:rFonts w:ascii="Arial" w:cs="Arial" w:eastAsia="Arial" w:hAnsi="Arial"/>
          <w:sz w:val="17"/>
          <w:szCs w:val="17"/>
          <w:color w:val="003551"/>
        </w:rPr>
        <w:t xml:space="preserve"> is not presented for payment for at least 11 calendar months after issue or an amount is held in an account under </w:t>
      </w:r>
      <w:r>
        <w:rPr>
          <w:rFonts w:ascii="Arial" w:cs="Arial" w:eastAsia="Arial" w:hAnsi="Arial"/>
          <w:sz w:val="17"/>
          <w:szCs w:val="17"/>
          <w:u w:val="single" w:color="auto"/>
          <w:color w:val="003551"/>
        </w:rPr>
        <w:t>rule 21.6</w:t>
      </w:r>
      <w:r>
        <w:rPr>
          <w:rFonts w:ascii="Arial" w:cs="Arial" w:eastAsia="Arial" w:hAnsi="Arial"/>
          <w:sz w:val="17"/>
          <w:szCs w:val="17"/>
          <w:color w:val="003551"/>
        </w:rPr>
        <w:t xml:space="preserve"> for at least 11 calendar months (an “</w:t>
      </w:r>
      <w:r>
        <w:rPr>
          <w:rFonts w:ascii="Arial" w:cs="Arial" w:eastAsia="Arial" w:hAnsi="Arial"/>
          <w:sz w:val="17"/>
          <w:szCs w:val="17"/>
          <w:b w:val="1"/>
          <w:bCs w:val="1"/>
          <w:color w:val="003551"/>
        </w:rPr>
        <w:t>Unclaimed Amount</w:t>
      </w:r>
      <w:r>
        <w:rPr>
          <w:rFonts w:ascii="Arial" w:cs="Arial" w:eastAsia="Arial" w:hAnsi="Arial"/>
          <w:sz w:val="17"/>
          <w:szCs w:val="17"/>
          <w:color w:val="003551"/>
        </w:rPr>
        <w:t>”), the board may reinvest the Unclaimed Amount, after deducting reasonable expenses, into shares in the company on behalf of, and in the name of, the member concerned and may stop payment on the cheque.</w:t>
      </w:r>
    </w:p>
    <w:p>
      <w:pPr>
        <w:spacing w:after="0" w:line="65" w:lineRule="exact"/>
        <w:rPr>
          <w:rFonts w:ascii="Arial" w:cs="Arial" w:eastAsia="Arial" w:hAnsi="Arial"/>
          <w:sz w:val="17"/>
          <w:szCs w:val="17"/>
          <w:color w:val="003551"/>
        </w:rPr>
      </w:pPr>
    </w:p>
    <w:p>
      <w:pPr>
        <w:jc w:val="both"/>
        <w:ind w:left="1980" w:right="539" w:hanging="344"/>
        <w:spacing w:after="0" w:line="255" w:lineRule="auto"/>
        <w:tabs>
          <w:tab w:leader="none" w:pos="1980" w:val="left"/>
        </w:tabs>
        <w:numPr>
          <w:ilvl w:val="0"/>
          <w:numId w:val="183"/>
        </w:numPr>
        <w:rPr>
          <w:rFonts w:ascii="Arial" w:cs="Arial" w:eastAsia="Arial" w:hAnsi="Arial"/>
          <w:sz w:val="17"/>
          <w:szCs w:val="17"/>
          <w:color w:val="003551"/>
        </w:rPr>
      </w:pPr>
      <w:r>
        <w:rPr>
          <w:rFonts w:ascii="Arial" w:cs="Arial" w:eastAsia="Arial" w:hAnsi="Arial"/>
          <w:sz w:val="17"/>
          <w:szCs w:val="17"/>
          <w:color w:val="003551"/>
        </w:rPr>
        <w:t xml:space="preserve">Shares acquired under </w:t>
      </w:r>
      <w:r>
        <w:rPr>
          <w:rFonts w:ascii="Arial" w:cs="Arial" w:eastAsia="Arial" w:hAnsi="Arial"/>
          <w:sz w:val="17"/>
          <w:szCs w:val="17"/>
          <w:u w:val="single" w:color="auto"/>
          <w:color w:val="003551"/>
        </w:rPr>
        <w:t>rule 21.8(a)</w:t>
      </w:r>
      <w:r>
        <w:rPr>
          <w:rFonts w:ascii="Arial" w:cs="Arial" w:eastAsia="Arial" w:hAnsi="Arial"/>
          <w:sz w:val="17"/>
          <w:szCs w:val="17"/>
          <w:color w:val="003551"/>
        </w:rPr>
        <w:t xml:space="preserve"> may be acquired on market or by way of new issue at a price the board accepts is market price at the time. Any residual sum which arises from the reinvestment may be carried forward or donated to charity on behalf of the member, as the board decides.</w:t>
      </w:r>
    </w:p>
    <w:p>
      <w:pPr>
        <w:spacing w:after="0" w:line="59" w:lineRule="exact"/>
        <w:rPr>
          <w:rFonts w:ascii="Arial" w:cs="Arial" w:eastAsia="Arial" w:hAnsi="Arial"/>
          <w:sz w:val="17"/>
          <w:szCs w:val="17"/>
          <w:color w:val="003551"/>
        </w:rPr>
      </w:pPr>
    </w:p>
    <w:p>
      <w:pPr>
        <w:ind w:left="1980" w:right="459" w:hanging="344"/>
        <w:spacing w:after="0" w:line="255" w:lineRule="auto"/>
        <w:tabs>
          <w:tab w:leader="none" w:pos="1980" w:val="left"/>
        </w:tabs>
        <w:numPr>
          <w:ilvl w:val="0"/>
          <w:numId w:val="183"/>
        </w:numPr>
        <w:rPr>
          <w:rFonts w:ascii="Arial" w:cs="Arial" w:eastAsia="Arial" w:hAnsi="Arial"/>
          <w:sz w:val="17"/>
          <w:szCs w:val="17"/>
          <w:color w:val="003551"/>
        </w:rPr>
      </w:pPr>
      <w:r>
        <w:rPr>
          <w:rFonts w:ascii="Arial" w:cs="Arial" w:eastAsia="Arial" w:hAnsi="Arial"/>
          <w:sz w:val="17"/>
          <w:szCs w:val="17"/>
          <w:color w:val="003551"/>
        </w:rPr>
        <w:t xml:space="preserve">The company’s liability to provide the Unclaimed Amount is discharged by an application under this </w:t>
      </w:r>
      <w:r>
        <w:rPr>
          <w:rFonts w:ascii="Arial" w:cs="Arial" w:eastAsia="Arial" w:hAnsi="Arial"/>
          <w:sz w:val="17"/>
          <w:szCs w:val="17"/>
          <w:u w:val="single" w:color="auto"/>
          <w:color w:val="003551"/>
        </w:rPr>
        <w:t>rule 21.8</w:t>
      </w:r>
      <w:r>
        <w:rPr>
          <w:rFonts w:ascii="Arial" w:cs="Arial" w:eastAsia="Arial" w:hAnsi="Arial"/>
          <w:sz w:val="17"/>
          <w:szCs w:val="17"/>
          <w:color w:val="003551"/>
        </w:rPr>
        <w:t xml:space="preserve">. The board may do anything necessary or desirable (including executing any document) on behalf of the member to effect the application of an Unclaimed Amount under this </w:t>
      </w:r>
      <w:r>
        <w:rPr>
          <w:rFonts w:ascii="Arial" w:cs="Arial" w:eastAsia="Arial" w:hAnsi="Arial"/>
          <w:sz w:val="17"/>
          <w:szCs w:val="17"/>
          <w:u w:val="single" w:color="auto"/>
          <w:color w:val="003551"/>
        </w:rPr>
        <w:t>rule 21.8</w:t>
      </w:r>
      <w:r>
        <w:rPr>
          <w:rFonts w:ascii="Arial" w:cs="Arial" w:eastAsia="Arial" w:hAnsi="Arial"/>
          <w:sz w:val="17"/>
          <w:szCs w:val="17"/>
          <w:color w:val="003551"/>
        </w:rPr>
        <w:t>.</w:t>
      </w:r>
    </w:p>
    <w:p>
      <w:pPr>
        <w:spacing w:after="0" w:line="59" w:lineRule="exact"/>
        <w:rPr>
          <w:rFonts w:ascii="Arial" w:cs="Arial" w:eastAsia="Arial" w:hAnsi="Arial"/>
          <w:sz w:val="17"/>
          <w:szCs w:val="17"/>
          <w:color w:val="003551"/>
        </w:rPr>
      </w:pPr>
    </w:p>
    <w:p>
      <w:pPr>
        <w:ind w:left="1980" w:right="799" w:hanging="344"/>
        <w:spacing w:after="0" w:line="283" w:lineRule="auto"/>
        <w:tabs>
          <w:tab w:leader="none" w:pos="1980" w:val="left"/>
        </w:tabs>
        <w:numPr>
          <w:ilvl w:val="0"/>
          <w:numId w:val="183"/>
        </w:numPr>
        <w:rPr>
          <w:rFonts w:ascii="Arial" w:cs="Arial" w:eastAsia="Arial" w:hAnsi="Arial"/>
          <w:sz w:val="17"/>
          <w:szCs w:val="17"/>
          <w:color w:val="003551"/>
        </w:rPr>
      </w:pPr>
      <w:r>
        <w:rPr>
          <w:rFonts w:ascii="Arial" w:cs="Arial" w:eastAsia="Arial" w:hAnsi="Arial"/>
          <w:sz w:val="17"/>
          <w:szCs w:val="17"/>
          <w:color w:val="003551"/>
        </w:rPr>
        <w:t xml:space="preserve">The board may determine other rules to regulate the operation of this rule 21‎.8 and may delegate its power under this </w:t>
      </w:r>
      <w:r>
        <w:rPr>
          <w:rFonts w:ascii="Arial" w:cs="Arial" w:eastAsia="Arial" w:hAnsi="Arial"/>
          <w:sz w:val="17"/>
          <w:szCs w:val="17"/>
          <w:u w:val="single" w:color="auto"/>
          <w:color w:val="003551"/>
        </w:rPr>
        <w:t>rule 21.8</w:t>
      </w:r>
      <w:r>
        <w:rPr>
          <w:rFonts w:ascii="Arial" w:cs="Arial" w:eastAsia="Arial" w:hAnsi="Arial"/>
          <w:sz w:val="17"/>
          <w:szCs w:val="17"/>
          <w:color w:val="003551"/>
        </w:rPr>
        <w:t xml:space="preserve"> to any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-173355</wp:posOffset>
            </wp:positionV>
            <wp:extent cx="43116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431165" cy="8255"/>
                    </a:xfrm>
                    <a:prstGeom prst="rect">
                      <a:avLst/>
                    </a:prstGeom>
                    <a:noFill/>
                  </pic:spPr>
                </pic:pic>
              </a:graphicData>
            </a:graphic>
          </wp:anchor>
        </w:drawing>
      </w:r>
    </w:p>
    <w:p>
      <w:pPr>
        <w:spacing w:after="0" w:line="15" w:lineRule="exact"/>
        <w:rPr>
          <w:sz w:val="20"/>
          <w:szCs w:val="20"/>
          <w:color w:val="auto"/>
        </w:rPr>
      </w:pPr>
    </w:p>
    <w:p>
      <w:pPr>
        <w:ind w:left="940" w:right="3139" w:hanging="3"/>
        <w:spacing w:after="0" w:line="371" w:lineRule="auto"/>
        <w:tabs>
          <w:tab w:leader="none" w:pos="1634" w:val="left"/>
        </w:tabs>
        <w:numPr>
          <w:ilvl w:val="0"/>
          <w:numId w:val="184"/>
        </w:numPr>
        <w:rPr>
          <w:rFonts w:ascii="Arial" w:cs="Arial" w:eastAsia="Arial" w:hAnsi="Arial"/>
          <w:sz w:val="17"/>
          <w:szCs w:val="17"/>
          <w:b w:val="1"/>
          <w:bCs w:val="1"/>
          <w:color w:val="003551"/>
        </w:rPr>
      </w:pPr>
      <w:r>
        <w:rPr>
          <w:rFonts w:ascii="Arial" w:cs="Arial" w:eastAsia="Arial" w:hAnsi="Arial"/>
          <w:sz w:val="17"/>
          <w:szCs w:val="17"/>
          <w:b w:val="1"/>
          <w:bCs w:val="1"/>
          <w:color w:val="003551"/>
        </w:rPr>
        <w:t>NOTICES, DOCUMENTS AND OTHER COMMUNICATIONS 22.1 Meaning of communication</w:t>
      </w:r>
    </w:p>
    <w:p>
      <w:pPr>
        <w:ind w:left="1640" w:right="999"/>
        <w:spacing w:after="0" w:line="283" w:lineRule="auto"/>
        <w:rPr>
          <w:sz w:val="20"/>
          <w:szCs w:val="20"/>
          <w:color w:val="auto"/>
        </w:rPr>
      </w:pPr>
      <w:r>
        <w:rPr>
          <w:rFonts w:ascii="Arial" w:cs="Arial" w:eastAsia="Arial" w:hAnsi="Arial"/>
          <w:sz w:val="17"/>
          <w:szCs w:val="17"/>
          <w:color w:val="003551"/>
        </w:rPr>
        <w:t xml:space="preserve">In this </w:t>
      </w:r>
      <w:r>
        <w:rPr>
          <w:rFonts w:ascii="Arial" w:cs="Arial" w:eastAsia="Arial" w:hAnsi="Arial"/>
          <w:sz w:val="17"/>
          <w:szCs w:val="17"/>
          <w:u w:val="single" w:color="auto"/>
          <w:color w:val="003551"/>
        </w:rPr>
        <w:t>rule 22</w:t>
      </w:r>
      <w:r>
        <w:rPr>
          <w:rFonts w:ascii="Arial" w:cs="Arial" w:eastAsia="Arial" w:hAnsi="Arial"/>
          <w:sz w:val="17"/>
          <w:szCs w:val="17"/>
          <w:color w:val="003551"/>
        </w:rPr>
        <w:t>, a reference to a communication includes a reference to any notice or other document.</w:t>
      </w:r>
    </w:p>
    <w:p>
      <w:pPr>
        <w:spacing w:after="0" w:line="35"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22.2</w:t>
      </w:r>
      <w:r>
        <w:rPr>
          <w:sz w:val="20"/>
          <w:szCs w:val="20"/>
          <w:color w:val="auto"/>
        </w:rPr>
        <w:tab/>
      </w:r>
      <w:r>
        <w:rPr>
          <w:rFonts w:ascii="Arial" w:cs="Arial" w:eastAsia="Arial" w:hAnsi="Arial"/>
          <w:sz w:val="17"/>
          <w:szCs w:val="17"/>
          <w:b w:val="1"/>
          <w:bCs w:val="1"/>
          <w:color w:val="003551"/>
        </w:rPr>
        <w:t>Communications by the company to members</w:t>
      </w:r>
    </w:p>
    <w:p>
      <w:pPr>
        <w:spacing w:after="0" w:line="134"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The company may give any communication to a member:</w:t>
      </w:r>
    </w:p>
    <w:p>
      <w:pPr>
        <w:spacing w:after="0" w:line="106" w:lineRule="exact"/>
        <w:rPr>
          <w:sz w:val="20"/>
          <w:szCs w:val="20"/>
          <w:color w:val="auto"/>
        </w:rPr>
      </w:pPr>
    </w:p>
    <w:p>
      <w:pPr>
        <w:ind w:left="2320" w:hanging="335"/>
        <w:spacing w:after="0"/>
        <w:tabs>
          <w:tab w:leader="none" w:pos="2320" w:val="left"/>
        </w:tabs>
        <w:numPr>
          <w:ilvl w:val="0"/>
          <w:numId w:val="185"/>
        </w:numPr>
        <w:rPr>
          <w:rFonts w:ascii="Arial" w:cs="Arial" w:eastAsia="Arial" w:hAnsi="Arial"/>
          <w:sz w:val="17"/>
          <w:szCs w:val="17"/>
          <w:color w:val="003551"/>
        </w:rPr>
      </w:pPr>
      <w:r>
        <w:rPr>
          <w:rFonts w:ascii="Arial" w:cs="Arial" w:eastAsia="Arial" w:hAnsi="Arial"/>
          <w:sz w:val="17"/>
          <w:szCs w:val="17"/>
          <w:color w:val="003551"/>
        </w:rPr>
        <w:t>by delivering it personally to the member;</w:t>
      </w:r>
    </w:p>
    <w:p>
      <w:pPr>
        <w:spacing w:after="0" w:line="105" w:lineRule="exact"/>
        <w:rPr>
          <w:rFonts w:ascii="Arial" w:cs="Arial" w:eastAsia="Arial" w:hAnsi="Arial"/>
          <w:sz w:val="17"/>
          <w:szCs w:val="17"/>
          <w:color w:val="003551"/>
        </w:rPr>
      </w:pPr>
    </w:p>
    <w:p>
      <w:pPr>
        <w:jc w:val="both"/>
        <w:ind w:left="2320" w:right="659" w:hanging="335"/>
        <w:spacing w:after="0" w:line="283" w:lineRule="auto"/>
        <w:tabs>
          <w:tab w:leader="none" w:pos="2320" w:val="left"/>
        </w:tabs>
        <w:numPr>
          <w:ilvl w:val="0"/>
          <w:numId w:val="185"/>
        </w:numPr>
        <w:rPr>
          <w:rFonts w:ascii="Arial" w:cs="Arial" w:eastAsia="Arial" w:hAnsi="Arial"/>
          <w:sz w:val="17"/>
          <w:szCs w:val="17"/>
          <w:color w:val="003551"/>
        </w:rPr>
      </w:pPr>
      <w:r>
        <w:rPr>
          <w:rFonts w:ascii="Arial" w:cs="Arial" w:eastAsia="Arial" w:hAnsi="Arial"/>
          <w:sz w:val="17"/>
          <w:szCs w:val="17"/>
          <w:color w:val="003551"/>
        </w:rPr>
        <w:t>by sending it to the address for the member in the Register or an alternative address nominated by the member by giving notice in writing to the company for this purpose:</w:t>
      </w:r>
    </w:p>
    <w:p>
      <w:pPr>
        <w:spacing w:after="0" w:line="36" w:lineRule="exact"/>
        <w:rPr>
          <w:rFonts w:ascii="Arial" w:cs="Arial" w:eastAsia="Arial" w:hAnsi="Arial"/>
          <w:sz w:val="17"/>
          <w:szCs w:val="17"/>
          <w:color w:val="003551"/>
        </w:rPr>
      </w:pPr>
    </w:p>
    <w:p>
      <w:pPr>
        <w:ind w:left="2680" w:hanging="346"/>
        <w:spacing w:after="0"/>
        <w:tabs>
          <w:tab w:leader="none" w:pos="2680" w:val="left"/>
        </w:tabs>
        <w:numPr>
          <w:ilvl w:val="1"/>
          <w:numId w:val="185"/>
        </w:numPr>
        <w:rPr>
          <w:rFonts w:ascii="Arial" w:cs="Arial" w:eastAsia="Arial" w:hAnsi="Arial"/>
          <w:sz w:val="17"/>
          <w:szCs w:val="17"/>
          <w:color w:val="003551"/>
        </w:rPr>
      </w:pPr>
      <w:r>
        <w:rPr>
          <w:rFonts w:ascii="Arial" w:cs="Arial" w:eastAsia="Arial" w:hAnsi="Arial"/>
          <w:sz w:val="17"/>
          <w:szCs w:val="17"/>
          <w:color w:val="003551"/>
        </w:rPr>
        <w:t>by ordinary post, if that address is in Australia; or</w:t>
      </w:r>
    </w:p>
    <w:p>
      <w:pPr>
        <w:spacing w:after="0" w:line="105" w:lineRule="exact"/>
        <w:rPr>
          <w:rFonts w:ascii="Arial" w:cs="Arial" w:eastAsia="Arial" w:hAnsi="Arial"/>
          <w:sz w:val="17"/>
          <w:szCs w:val="17"/>
          <w:color w:val="003551"/>
        </w:rPr>
      </w:pPr>
    </w:p>
    <w:p>
      <w:pPr>
        <w:ind w:left="2680" w:hanging="346"/>
        <w:spacing w:after="0"/>
        <w:tabs>
          <w:tab w:leader="none" w:pos="2680" w:val="left"/>
        </w:tabs>
        <w:numPr>
          <w:ilvl w:val="1"/>
          <w:numId w:val="185"/>
        </w:numPr>
        <w:rPr>
          <w:rFonts w:ascii="Arial" w:cs="Arial" w:eastAsia="Arial" w:hAnsi="Arial"/>
          <w:sz w:val="17"/>
          <w:szCs w:val="17"/>
          <w:color w:val="003551"/>
        </w:rPr>
      </w:pPr>
      <w:r>
        <w:rPr>
          <w:rFonts w:ascii="Arial" w:cs="Arial" w:eastAsia="Arial" w:hAnsi="Arial"/>
          <w:sz w:val="17"/>
          <w:szCs w:val="17"/>
          <w:color w:val="003551"/>
        </w:rPr>
        <w:t>by airmail, if that address is outside Australia;</w:t>
      </w:r>
    </w:p>
    <w:p>
      <w:pPr>
        <w:spacing w:after="0" w:line="105" w:lineRule="exact"/>
        <w:rPr>
          <w:rFonts w:ascii="Arial" w:cs="Arial" w:eastAsia="Arial" w:hAnsi="Arial"/>
          <w:sz w:val="17"/>
          <w:szCs w:val="17"/>
          <w:color w:val="003551"/>
        </w:rPr>
      </w:pPr>
    </w:p>
    <w:p>
      <w:pPr>
        <w:ind w:left="2320" w:right="419" w:hanging="335"/>
        <w:spacing w:after="0" w:line="283" w:lineRule="auto"/>
        <w:tabs>
          <w:tab w:leader="none" w:pos="2320" w:val="left"/>
        </w:tabs>
        <w:numPr>
          <w:ilvl w:val="0"/>
          <w:numId w:val="185"/>
        </w:numPr>
        <w:rPr>
          <w:rFonts w:ascii="Arial" w:cs="Arial" w:eastAsia="Arial" w:hAnsi="Arial"/>
          <w:sz w:val="17"/>
          <w:szCs w:val="17"/>
          <w:color w:val="003551"/>
        </w:rPr>
      </w:pPr>
      <w:r>
        <w:rPr>
          <w:rFonts w:ascii="Arial" w:cs="Arial" w:eastAsia="Arial" w:hAnsi="Arial"/>
          <w:sz w:val="17"/>
          <w:szCs w:val="17"/>
          <w:color w:val="003551"/>
        </w:rPr>
        <w:t>by sending it to a fax number nominated by the member by giving notice in writing to the company for this purpose;</w:t>
      </w:r>
    </w:p>
    <w:p>
      <w:pPr>
        <w:spacing w:after="0" w:line="36" w:lineRule="exact"/>
        <w:rPr>
          <w:rFonts w:ascii="Arial" w:cs="Arial" w:eastAsia="Arial" w:hAnsi="Arial"/>
          <w:sz w:val="17"/>
          <w:szCs w:val="17"/>
          <w:color w:val="003551"/>
        </w:rPr>
      </w:pPr>
    </w:p>
    <w:p>
      <w:pPr>
        <w:ind w:left="2320" w:right="399" w:hanging="335"/>
        <w:spacing w:after="0" w:line="251" w:lineRule="auto"/>
        <w:tabs>
          <w:tab w:leader="none" w:pos="2320" w:val="left"/>
        </w:tabs>
        <w:numPr>
          <w:ilvl w:val="0"/>
          <w:numId w:val="185"/>
        </w:numPr>
        <w:rPr>
          <w:rFonts w:ascii="Arial" w:cs="Arial" w:eastAsia="Arial" w:hAnsi="Arial"/>
          <w:sz w:val="17"/>
          <w:szCs w:val="17"/>
          <w:color w:val="003551"/>
        </w:rPr>
      </w:pPr>
      <w:r>
        <w:rPr>
          <w:rFonts w:ascii="Arial" w:cs="Arial" w:eastAsia="Arial" w:hAnsi="Arial"/>
          <w:sz w:val="17"/>
          <w:szCs w:val="17"/>
          <w:color w:val="003551"/>
        </w:rPr>
        <w:t>by sending it to an email or other electronic address, or by any other means of electronic communication, nominated by the member by giving notice in writing to the company for this purpose, in which case the company may give that communication to the member by attaching a file containing it to, or by providing a URL link to it from, the email or other electronic communication; or</w:t>
      </w:r>
    </w:p>
    <w:p>
      <w:pPr>
        <w:spacing w:after="0" w:line="65" w:lineRule="exact"/>
        <w:rPr>
          <w:rFonts w:ascii="Arial" w:cs="Arial" w:eastAsia="Arial" w:hAnsi="Arial"/>
          <w:sz w:val="17"/>
          <w:szCs w:val="17"/>
          <w:color w:val="003551"/>
        </w:rPr>
      </w:pPr>
    </w:p>
    <w:p>
      <w:pPr>
        <w:ind w:left="2320" w:right="759" w:hanging="335"/>
        <w:spacing w:after="0" w:line="255" w:lineRule="auto"/>
        <w:tabs>
          <w:tab w:leader="none" w:pos="2320" w:val="left"/>
        </w:tabs>
        <w:numPr>
          <w:ilvl w:val="0"/>
          <w:numId w:val="185"/>
        </w:numPr>
        <w:rPr>
          <w:rFonts w:ascii="Arial" w:cs="Arial" w:eastAsia="Arial" w:hAnsi="Arial"/>
          <w:sz w:val="17"/>
          <w:szCs w:val="17"/>
          <w:color w:val="003551"/>
        </w:rPr>
      </w:pPr>
      <w:r>
        <w:rPr>
          <w:rFonts w:ascii="Arial" w:cs="Arial" w:eastAsia="Arial" w:hAnsi="Arial"/>
          <w:sz w:val="17"/>
          <w:szCs w:val="17"/>
          <w:color w:val="003551"/>
        </w:rPr>
        <w:t xml:space="preserve">where a member does not have a registered address or the company believes that member is not known at the member’s registered address, and the member has not nominated a fax number or email or other electronic address in accordance with </w:t>
      </w:r>
      <w:r>
        <w:rPr>
          <w:rFonts w:ascii="Arial" w:cs="Arial" w:eastAsia="Arial" w:hAnsi="Arial"/>
          <w:sz w:val="17"/>
          <w:szCs w:val="17"/>
          <w:u w:val="single" w:color="auto"/>
          <w:color w:val="003551"/>
        </w:rPr>
        <w:t>paragraphs (c)</w:t>
      </w:r>
      <w:r>
        <w:rPr>
          <w:rFonts w:ascii="Arial" w:cs="Arial" w:eastAsia="Arial" w:hAnsi="Arial"/>
          <w:sz w:val="17"/>
          <w:szCs w:val="17"/>
          <w:color w:val="003551"/>
        </w:rPr>
        <w:t xml:space="preserve"> or </w:t>
      </w:r>
      <w:r>
        <w:rPr>
          <w:rFonts w:ascii="Arial" w:cs="Arial" w:eastAsia="Arial" w:hAnsi="Arial"/>
          <w:sz w:val="17"/>
          <w:szCs w:val="17"/>
          <w:u w:val="single" w:color="auto"/>
          <w:color w:val="003551"/>
        </w:rPr>
        <w:t>(d)</w:t>
      </w:r>
      <w:r>
        <w:rPr>
          <w:rFonts w:ascii="Arial" w:cs="Arial" w:eastAsia="Arial" w:hAnsi="Arial"/>
          <w:sz w:val="17"/>
          <w:szCs w:val="17"/>
          <w:color w:val="003551"/>
        </w:rPr>
        <w:t xml:space="preserve"> above, all notices are taken to be:</w:t>
      </w:r>
    </w:p>
    <w:p>
      <w:pPr>
        <w:spacing w:after="0" w:line="59" w:lineRule="exact"/>
        <w:rPr>
          <w:rFonts w:ascii="Arial" w:cs="Arial" w:eastAsia="Arial" w:hAnsi="Arial"/>
          <w:sz w:val="17"/>
          <w:szCs w:val="17"/>
          <w:color w:val="003551"/>
        </w:rPr>
      </w:pPr>
    </w:p>
    <w:p>
      <w:pPr>
        <w:ind w:left="2680" w:right="519" w:hanging="346"/>
        <w:spacing w:after="0" w:line="283" w:lineRule="auto"/>
        <w:tabs>
          <w:tab w:leader="none" w:pos="2680" w:val="left"/>
        </w:tabs>
        <w:numPr>
          <w:ilvl w:val="1"/>
          <w:numId w:val="185"/>
        </w:numPr>
        <w:rPr>
          <w:rFonts w:ascii="Arial" w:cs="Arial" w:eastAsia="Arial" w:hAnsi="Arial"/>
          <w:sz w:val="17"/>
          <w:szCs w:val="17"/>
          <w:color w:val="003551"/>
        </w:rPr>
      </w:pPr>
      <w:r>
        <w:rPr>
          <w:rFonts w:ascii="Arial" w:cs="Arial" w:eastAsia="Arial" w:hAnsi="Arial"/>
          <w:sz w:val="17"/>
          <w:szCs w:val="17"/>
          <w:color w:val="003551"/>
        </w:rPr>
        <w:t>given to the member if the notice is exhibited in the company’s registered office for a period of 48 hours; and</w:t>
      </w:r>
    </w:p>
    <w:p>
      <w:pPr>
        <w:spacing w:after="0" w:line="36" w:lineRule="exact"/>
        <w:rPr>
          <w:rFonts w:ascii="Arial" w:cs="Arial" w:eastAsia="Arial" w:hAnsi="Arial"/>
          <w:sz w:val="17"/>
          <w:szCs w:val="17"/>
          <w:color w:val="003551"/>
        </w:rPr>
      </w:pPr>
    </w:p>
    <w:p>
      <w:pPr>
        <w:ind w:left="2680" w:right="559" w:hanging="346"/>
        <w:spacing w:after="0" w:line="283" w:lineRule="auto"/>
        <w:tabs>
          <w:tab w:leader="none" w:pos="2680" w:val="left"/>
        </w:tabs>
        <w:numPr>
          <w:ilvl w:val="1"/>
          <w:numId w:val="185"/>
        </w:numPr>
        <w:rPr>
          <w:rFonts w:ascii="Arial" w:cs="Arial" w:eastAsia="Arial" w:hAnsi="Arial"/>
          <w:sz w:val="17"/>
          <w:szCs w:val="17"/>
          <w:color w:val="003551"/>
        </w:rPr>
      </w:pPr>
      <w:r>
        <w:rPr>
          <w:rFonts w:ascii="Arial" w:cs="Arial" w:eastAsia="Arial" w:hAnsi="Arial"/>
          <w:sz w:val="17"/>
          <w:szCs w:val="17"/>
          <w:color w:val="003551"/>
        </w:rPr>
        <w:t>served at the commencement of that 48 hour period, unless and until the member informs the company of the member’s address.</w:t>
      </w:r>
    </w:p>
    <w:p>
      <w:pPr>
        <w:spacing w:after="0" w:line="142"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127635</wp:posOffset>
            </wp:positionV>
            <wp:extent cx="6786880" cy="1651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22.3</w:t>
      </w:r>
      <w:r>
        <w:rPr>
          <w:sz w:val="20"/>
          <w:szCs w:val="20"/>
          <w:color w:val="auto"/>
        </w:rPr>
        <w:tab/>
      </w:r>
      <w:r>
        <w:rPr>
          <w:rFonts w:ascii="Arial" w:cs="Arial" w:eastAsia="Arial" w:hAnsi="Arial"/>
          <w:sz w:val="17"/>
          <w:szCs w:val="17"/>
          <w:b w:val="1"/>
          <w:bCs w:val="1"/>
          <w:color w:val="003551"/>
        </w:rPr>
        <w:t>Additional rule for notices of meeting</w:t>
      </w:r>
    </w:p>
    <w:p>
      <w:pPr>
        <w:spacing w:after="0" w:line="108" w:lineRule="exact"/>
        <w:rPr>
          <w:sz w:val="20"/>
          <w:szCs w:val="20"/>
          <w:color w:val="auto"/>
        </w:rPr>
      </w:pPr>
    </w:p>
    <w:p>
      <w:pPr>
        <w:ind w:left="1640" w:right="579"/>
        <w:spacing w:after="0" w:line="283" w:lineRule="auto"/>
        <w:rPr>
          <w:sz w:val="20"/>
          <w:szCs w:val="20"/>
          <w:color w:val="auto"/>
        </w:rPr>
      </w:pPr>
      <w:r>
        <w:rPr>
          <w:rFonts w:ascii="Arial" w:cs="Arial" w:eastAsia="Arial" w:hAnsi="Arial"/>
          <w:sz w:val="17"/>
          <w:szCs w:val="17"/>
          <w:color w:val="003551"/>
        </w:rPr>
        <w:t xml:space="preserve">Without limiting </w:t>
      </w:r>
      <w:r>
        <w:rPr>
          <w:rFonts w:ascii="Arial" w:cs="Arial" w:eastAsia="Arial" w:hAnsi="Arial"/>
          <w:sz w:val="17"/>
          <w:szCs w:val="17"/>
          <w:u w:val="single" w:color="auto"/>
          <w:color w:val="003551"/>
        </w:rPr>
        <w:t>rule 22.2</w:t>
      </w:r>
      <w:r>
        <w:rPr>
          <w:rFonts w:ascii="Arial" w:cs="Arial" w:eastAsia="Arial" w:hAnsi="Arial"/>
          <w:sz w:val="17"/>
          <w:szCs w:val="17"/>
          <w:color w:val="003551"/>
        </w:rPr>
        <w:t>, if a member nominates, by giving notice in writing to the company for this purpose:</w:t>
      </w:r>
    </w:p>
    <w:p>
      <w:pPr>
        <w:spacing w:after="0" w:line="37" w:lineRule="exact"/>
        <w:rPr>
          <w:sz w:val="20"/>
          <w:szCs w:val="20"/>
          <w:color w:val="auto"/>
        </w:rPr>
      </w:pPr>
    </w:p>
    <w:p>
      <w:pPr>
        <w:ind w:left="2320" w:right="599" w:hanging="335"/>
        <w:spacing w:after="0" w:line="283" w:lineRule="auto"/>
        <w:tabs>
          <w:tab w:leader="none" w:pos="2320" w:val="left"/>
        </w:tabs>
        <w:numPr>
          <w:ilvl w:val="0"/>
          <w:numId w:val="186"/>
        </w:numPr>
        <w:rPr>
          <w:rFonts w:ascii="Arial" w:cs="Arial" w:eastAsia="Arial" w:hAnsi="Arial"/>
          <w:sz w:val="17"/>
          <w:szCs w:val="17"/>
          <w:color w:val="003551"/>
        </w:rPr>
      </w:pPr>
      <w:r>
        <w:rPr>
          <w:rFonts w:ascii="Arial" w:cs="Arial" w:eastAsia="Arial" w:hAnsi="Arial"/>
          <w:sz w:val="17"/>
          <w:szCs w:val="17"/>
          <w:color w:val="003551"/>
        </w:rPr>
        <w:t>an electronic means by which the member may be notified that notices of meeting are available; and</w:t>
      </w:r>
    </w:p>
    <w:p>
      <w:pPr>
        <w:spacing w:after="0" w:line="36" w:lineRule="exact"/>
        <w:rPr>
          <w:rFonts w:ascii="Arial" w:cs="Arial" w:eastAsia="Arial" w:hAnsi="Arial"/>
          <w:sz w:val="17"/>
          <w:szCs w:val="17"/>
          <w:color w:val="003551"/>
        </w:rPr>
      </w:pPr>
    </w:p>
    <w:p>
      <w:pPr>
        <w:ind w:left="2320" w:hanging="335"/>
        <w:spacing w:after="0"/>
        <w:tabs>
          <w:tab w:leader="none" w:pos="2320" w:val="left"/>
        </w:tabs>
        <w:numPr>
          <w:ilvl w:val="0"/>
          <w:numId w:val="186"/>
        </w:numPr>
        <w:rPr>
          <w:rFonts w:ascii="Arial" w:cs="Arial" w:eastAsia="Arial" w:hAnsi="Arial"/>
          <w:sz w:val="17"/>
          <w:szCs w:val="17"/>
          <w:color w:val="003551"/>
        </w:rPr>
      </w:pPr>
      <w:r>
        <w:rPr>
          <w:rFonts w:ascii="Arial" w:cs="Arial" w:eastAsia="Arial" w:hAnsi="Arial"/>
          <w:sz w:val="17"/>
          <w:szCs w:val="17"/>
          <w:color w:val="003551"/>
        </w:rPr>
        <w:t>an electronic means the member may use to access notices of meeting,</w:t>
      </w:r>
    </w:p>
    <w:p>
      <w:pPr>
        <w:spacing w:after="0" w:line="106" w:lineRule="exact"/>
        <w:rPr>
          <w:sz w:val="20"/>
          <w:szCs w:val="20"/>
          <w:color w:val="auto"/>
        </w:rPr>
      </w:pPr>
    </w:p>
    <w:tbl>
      <w:tblPr>
        <w:tblLayout w:type="fixed"/>
        <w:tblInd w:w="940" w:type="dxa"/>
        <w:tblCellMar>
          <w:top w:w="0" w:type="dxa"/>
          <w:left w:w="0" w:type="dxa"/>
          <w:bottom w:w="0" w:type="dxa"/>
          <w:right w:w="0" w:type="dxa"/>
        </w:tblCellMar>
      </w:tblPr>
      <w:tr>
        <w:trPr>
          <w:trHeight w:val="196"/>
        </w:trPr>
        <w:tc>
          <w:tcPr>
            <w:tcW w:w="520" w:type="dxa"/>
            <w:vAlign w:val="bottom"/>
          </w:tcPr>
          <w:p>
            <w:pPr>
              <w:spacing w:after="0"/>
              <w:rPr>
                <w:sz w:val="17"/>
                <w:szCs w:val="17"/>
                <w:color w:val="auto"/>
              </w:rPr>
            </w:pPr>
          </w:p>
        </w:tc>
        <w:tc>
          <w:tcPr>
            <w:tcW w:w="7660" w:type="dxa"/>
            <w:vAlign w:val="bottom"/>
            <w:gridSpan w:val="10"/>
          </w:tcPr>
          <w:p>
            <w:pPr>
              <w:ind w:left="180"/>
              <w:spacing w:after="0"/>
              <w:rPr>
                <w:sz w:val="20"/>
                <w:szCs w:val="20"/>
                <w:color w:val="auto"/>
              </w:rPr>
            </w:pPr>
            <w:r>
              <w:rPr>
                <w:rFonts w:ascii="Arial" w:cs="Arial" w:eastAsia="Arial" w:hAnsi="Arial"/>
                <w:sz w:val="17"/>
                <w:szCs w:val="17"/>
                <w:color w:val="003551"/>
              </w:rPr>
              <w:t>the company may give the member notice of the meeting by notifying the member using the</w:t>
            </w:r>
          </w:p>
        </w:tc>
        <w:tc>
          <w:tcPr>
            <w:tcW w:w="0" w:type="dxa"/>
            <w:vAlign w:val="bottom"/>
          </w:tcPr>
          <w:p>
            <w:pPr>
              <w:spacing w:after="0"/>
              <w:rPr>
                <w:sz w:val="1"/>
                <w:szCs w:val="1"/>
                <w:color w:val="auto"/>
              </w:rPr>
            </w:pPr>
          </w:p>
        </w:tc>
      </w:tr>
      <w:tr>
        <w:trPr>
          <w:trHeight w:val="187"/>
        </w:trPr>
        <w:tc>
          <w:tcPr>
            <w:tcW w:w="520" w:type="dxa"/>
            <w:vAlign w:val="bottom"/>
          </w:tcPr>
          <w:p>
            <w:pPr>
              <w:spacing w:after="0"/>
              <w:rPr>
                <w:sz w:val="16"/>
                <w:szCs w:val="16"/>
                <w:color w:val="auto"/>
              </w:rPr>
            </w:pPr>
          </w:p>
        </w:tc>
        <w:tc>
          <w:tcPr>
            <w:tcW w:w="7660" w:type="dxa"/>
            <w:vAlign w:val="bottom"/>
            <w:gridSpan w:val="10"/>
          </w:tcPr>
          <w:p>
            <w:pPr>
              <w:ind w:left="180"/>
              <w:spacing w:after="0" w:line="187" w:lineRule="exact"/>
              <w:rPr>
                <w:sz w:val="20"/>
                <w:szCs w:val="20"/>
                <w:color w:val="auto"/>
              </w:rPr>
            </w:pPr>
            <w:r>
              <w:rPr>
                <w:rFonts w:ascii="Arial" w:cs="Arial" w:eastAsia="Arial" w:hAnsi="Arial"/>
                <w:sz w:val="17"/>
                <w:szCs w:val="17"/>
                <w:color w:val="003551"/>
              </w:rPr>
              <w:t xml:space="preserve">means referred to in </w:t>
            </w:r>
            <w:r>
              <w:rPr>
                <w:rFonts w:ascii="Arial" w:cs="Arial" w:eastAsia="Arial" w:hAnsi="Arial"/>
                <w:sz w:val="17"/>
                <w:szCs w:val="17"/>
                <w:color w:val="0000FF"/>
              </w:rPr>
              <w:t>rule</w:t>
            </w:r>
            <w:r>
              <w:rPr>
                <w:rFonts w:ascii="Arial" w:cs="Arial" w:eastAsia="Arial" w:hAnsi="Arial"/>
                <w:sz w:val="17"/>
                <w:szCs w:val="17"/>
                <w:color w:val="003551"/>
              </w:rPr>
              <w:t xml:space="preserve"> </w:t>
            </w:r>
            <w:r>
              <w:rPr>
                <w:rFonts w:ascii="Arial" w:cs="Arial" w:eastAsia="Arial" w:hAnsi="Arial"/>
                <w:sz w:val="17"/>
                <w:szCs w:val="17"/>
                <w:color w:val="000000"/>
              </w:rPr>
              <w:t>22.3(a) that the notice of meeting is available and setting out how the</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780" w:type="dxa"/>
            <w:vAlign w:val="bottom"/>
            <w:vMerge w:val="restart"/>
          </w:tcPr>
          <w:p>
            <w:pPr>
              <w:ind w:left="180"/>
              <w:spacing w:after="0" w:line="176" w:lineRule="exact"/>
              <w:rPr>
                <w:sz w:val="20"/>
                <w:szCs w:val="20"/>
                <w:color w:val="auto"/>
              </w:rPr>
            </w:pPr>
            <w:r>
              <w:rPr>
                <w:rFonts w:ascii="Arial" w:cs="Arial" w:eastAsia="Arial" w:hAnsi="Arial"/>
                <w:sz w:val="17"/>
                <w:szCs w:val="17"/>
                <w:color w:val="auto"/>
                <w:w w:val="98"/>
              </w:rPr>
              <w:t>member may use the</w:t>
            </w: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20" w:type="dxa"/>
            <w:vAlign w:val="bottom"/>
          </w:tcPr>
          <w:p>
            <w:pPr>
              <w:spacing w:after="0"/>
              <w:rPr>
                <w:sz w:val="11"/>
                <w:szCs w:val="11"/>
                <w:color w:val="auto"/>
              </w:rPr>
            </w:pPr>
          </w:p>
        </w:tc>
        <w:tc>
          <w:tcPr>
            <w:tcW w:w="1780" w:type="dxa"/>
            <w:vAlign w:val="bottom"/>
            <w:vMerge w:val="continue"/>
          </w:tcPr>
          <w:p>
            <w:pPr>
              <w:spacing w:after="0"/>
              <w:rPr>
                <w:sz w:val="11"/>
                <w:szCs w:val="11"/>
                <w:color w:val="auto"/>
              </w:rPr>
            </w:pPr>
          </w:p>
        </w:tc>
        <w:tc>
          <w:tcPr>
            <w:tcW w:w="5880" w:type="dxa"/>
            <w:vAlign w:val="bottom"/>
            <w:gridSpan w:val="9"/>
          </w:tcPr>
          <w:p>
            <w:pPr>
              <w:ind w:left="80"/>
              <w:spacing w:after="0" w:line="136" w:lineRule="exact"/>
              <w:rPr>
                <w:sz w:val="20"/>
                <w:szCs w:val="20"/>
                <w:color w:val="auto"/>
              </w:rPr>
            </w:pPr>
            <w:r>
              <w:rPr>
                <w:rFonts w:ascii="Arial" w:cs="Arial" w:eastAsia="Arial" w:hAnsi="Arial"/>
                <w:sz w:val="15"/>
                <w:szCs w:val="15"/>
                <w:color w:val="auto"/>
              </w:rPr>
              <w:t>electronic means referred to in rule 22.3(b) to access the notice of meeting.</w:t>
            </w:r>
          </w:p>
        </w:tc>
        <w:tc>
          <w:tcPr>
            <w:tcW w:w="0" w:type="dxa"/>
            <w:vAlign w:val="bottom"/>
          </w:tcPr>
          <w:p>
            <w:pPr>
              <w:spacing w:after="0"/>
              <w:rPr>
                <w:sz w:val="1"/>
                <w:szCs w:val="1"/>
                <w:color w:val="auto"/>
              </w:rPr>
            </w:pPr>
          </w:p>
        </w:tc>
      </w:tr>
      <w:tr>
        <w:trPr>
          <w:trHeight w:val="332"/>
        </w:trPr>
        <w:tc>
          <w:tcPr>
            <w:tcW w:w="520" w:type="dxa"/>
            <w:vAlign w:val="bottom"/>
          </w:tcPr>
          <w:p>
            <w:pPr>
              <w:jc w:val="right"/>
              <w:ind w:right="93"/>
              <w:spacing w:after="0"/>
              <w:rPr>
                <w:sz w:val="20"/>
                <w:szCs w:val="20"/>
                <w:color w:val="auto"/>
              </w:rPr>
            </w:pPr>
            <w:r>
              <w:rPr>
                <w:rFonts w:ascii="Arial" w:cs="Arial" w:eastAsia="Arial" w:hAnsi="Arial"/>
                <w:sz w:val="17"/>
                <w:szCs w:val="17"/>
                <w:b w:val="1"/>
                <w:bCs w:val="1"/>
                <w:color w:val="003551"/>
                <w:w w:val="96"/>
              </w:rPr>
              <w:t>22.4</w:t>
            </w:r>
          </w:p>
        </w:tc>
        <w:tc>
          <w:tcPr>
            <w:tcW w:w="4280" w:type="dxa"/>
            <w:vAlign w:val="bottom"/>
            <w:gridSpan w:val="4"/>
          </w:tcPr>
          <w:p>
            <w:pPr>
              <w:ind w:left="180"/>
              <w:spacing w:after="0"/>
              <w:rPr>
                <w:sz w:val="20"/>
                <w:szCs w:val="20"/>
                <w:color w:val="auto"/>
              </w:rPr>
            </w:pPr>
            <w:r>
              <w:rPr>
                <w:rFonts w:ascii="Arial" w:cs="Arial" w:eastAsia="Arial" w:hAnsi="Arial"/>
                <w:sz w:val="17"/>
                <w:szCs w:val="17"/>
                <w:b w:val="1"/>
                <w:bCs w:val="1"/>
                <w:color w:val="003551"/>
              </w:rPr>
              <w:t>Signature</w:t>
            </w:r>
          </w:p>
        </w:tc>
        <w:tc>
          <w:tcPr>
            <w:tcW w:w="880" w:type="dxa"/>
            <w:vAlign w:val="bottom"/>
            <w:tcBorders>
              <w:top w:val="single" w:sz="8" w:color="auto"/>
            </w:tcBorders>
          </w:tcPr>
          <w:p>
            <w:pPr>
              <w:spacing w:after="0"/>
              <w:rPr>
                <w:sz w:val="24"/>
                <w:szCs w:val="24"/>
                <w:color w:val="auto"/>
              </w:rPr>
            </w:pPr>
          </w:p>
        </w:tc>
        <w:tc>
          <w:tcPr>
            <w:tcW w:w="25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7660" w:type="dxa"/>
            <w:vAlign w:val="bottom"/>
            <w:gridSpan w:val="10"/>
          </w:tcPr>
          <w:p>
            <w:pPr>
              <w:ind w:left="180"/>
              <w:spacing w:after="0"/>
              <w:rPr>
                <w:sz w:val="20"/>
                <w:szCs w:val="20"/>
                <w:color w:val="auto"/>
              </w:rPr>
            </w:pPr>
            <w:r>
              <w:rPr>
                <w:rFonts w:ascii="Arial" w:cs="Arial" w:eastAsia="Arial" w:hAnsi="Arial"/>
                <w:sz w:val="17"/>
                <w:szCs w:val="17"/>
                <w:color w:val="003551"/>
              </w:rPr>
              <w:t>A signature to any notice given by the company to a member under rules 22.2 or 22.3 may be</w:t>
            </w:r>
          </w:p>
        </w:tc>
        <w:tc>
          <w:tcPr>
            <w:tcW w:w="0" w:type="dxa"/>
            <w:vAlign w:val="bottom"/>
          </w:tcPr>
          <w:p>
            <w:pPr>
              <w:spacing w:after="0"/>
              <w:rPr>
                <w:sz w:val="1"/>
                <w:szCs w:val="1"/>
                <w:color w:val="auto"/>
              </w:rPr>
            </w:pPr>
          </w:p>
        </w:tc>
      </w:tr>
      <w:tr>
        <w:trPr>
          <w:trHeight w:val="219"/>
        </w:trPr>
        <w:tc>
          <w:tcPr>
            <w:tcW w:w="520" w:type="dxa"/>
            <w:vAlign w:val="bottom"/>
          </w:tcPr>
          <w:p>
            <w:pPr>
              <w:spacing w:after="0"/>
              <w:rPr>
                <w:sz w:val="19"/>
                <w:szCs w:val="19"/>
                <w:color w:val="auto"/>
              </w:rPr>
            </w:pPr>
          </w:p>
        </w:tc>
        <w:tc>
          <w:tcPr>
            <w:tcW w:w="5420" w:type="dxa"/>
            <w:vAlign w:val="bottom"/>
            <w:gridSpan w:val="6"/>
          </w:tcPr>
          <w:p>
            <w:pPr>
              <w:ind w:left="180"/>
              <w:spacing w:after="0"/>
              <w:rPr>
                <w:sz w:val="20"/>
                <w:szCs w:val="20"/>
                <w:color w:val="auto"/>
              </w:rPr>
            </w:pPr>
            <w:r>
              <w:rPr>
                <w:rFonts w:ascii="Arial" w:cs="Arial" w:eastAsia="Arial" w:hAnsi="Arial"/>
                <w:sz w:val="17"/>
                <w:szCs w:val="17"/>
                <w:color w:val="003551"/>
              </w:rPr>
              <w:t>printed or affixed by some mechanical, electronic or other means.</w:t>
            </w:r>
          </w:p>
        </w:tc>
        <w:tc>
          <w:tcPr>
            <w:tcW w:w="760" w:type="dxa"/>
            <w:vAlign w:val="bottom"/>
            <w:tcBorders>
              <w:top w:val="single" w:sz="8" w:color="003551"/>
            </w:tcBorders>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Borders>
              <w:top w:val="single" w:sz="8" w:color="003551"/>
            </w:tcBorders>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520" w:type="dxa"/>
            <w:vAlign w:val="bottom"/>
          </w:tcPr>
          <w:p>
            <w:pPr>
              <w:jc w:val="right"/>
              <w:ind w:right="93"/>
              <w:spacing w:after="0"/>
              <w:rPr>
                <w:sz w:val="20"/>
                <w:szCs w:val="20"/>
                <w:color w:val="auto"/>
              </w:rPr>
            </w:pPr>
            <w:r>
              <w:rPr>
                <w:rFonts w:ascii="Arial" w:cs="Arial" w:eastAsia="Arial" w:hAnsi="Arial"/>
                <w:sz w:val="17"/>
                <w:szCs w:val="17"/>
                <w:b w:val="1"/>
                <w:bCs w:val="1"/>
                <w:color w:val="003551"/>
                <w:w w:val="96"/>
              </w:rPr>
              <w:t>22.5</w:t>
            </w:r>
          </w:p>
        </w:tc>
        <w:tc>
          <w:tcPr>
            <w:tcW w:w="7660" w:type="dxa"/>
            <w:vAlign w:val="bottom"/>
            <w:gridSpan w:val="10"/>
          </w:tcPr>
          <w:p>
            <w:pPr>
              <w:ind w:left="180"/>
              <w:spacing w:after="0"/>
              <w:rPr>
                <w:sz w:val="20"/>
                <w:szCs w:val="20"/>
                <w:color w:val="auto"/>
              </w:rPr>
            </w:pPr>
            <w:r>
              <w:rPr>
                <w:rFonts w:ascii="Arial" w:cs="Arial" w:eastAsia="Arial" w:hAnsi="Arial"/>
                <w:sz w:val="17"/>
                <w:szCs w:val="17"/>
                <w:b w:val="1"/>
                <w:bCs w:val="1"/>
                <w:color w:val="003551"/>
              </w:rPr>
              <w:t>Communications by the company to directors</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The company may give any communication to a director or alternate director:</w:t>
      </w:r>
    </w:p>
    <w:p>
      <w:pPr>
        <w:spacing w:after="0" w:line="106" w:lineRule="exact"/>
        <w:rPr>
          <w:sz w:val="20"/>
          <w:szCs w:val="20"/>
          <w:color w:val="auto"/>
        </w:rPr>
      </w:pPr>
    </w:p>
    <w:p>
      <w:pPr>
        <w:ind w:left="2320" w:hanging="335"/>
        <w:spacing w:after="0"/>
        <w:tabs>
          <w:tab w:leader="none" w:pos="2320" w:val="left"/>
        </w:tabs>
        <w:numPr>
          <w:ilvl w:val="0"/>
          <w:numId w:val="187"/>
        </w:numPr>
        <w:rPr>
          <w:rFonts w:ascii="Arial" w:cs="Arial" w:eastAsia="Arial" w:hAnsi="Arial"/>
          <w:sz w:val="17"/>
          <w:szCs w:val="17"/>
          <w:color w:val="003551"/>
        </w:rPr>
      </w:pPr>
      <w:r>
        <w:rPr>
          <w:rFonts w:ascii="Arial" w:cs="Arial" w:eastAsia="Arial" w:hAnsi="Arial"/>
          <w:sz w:val="17"/>
          <w:szCs w:val="17"/>
          <w:color w:val="003551"/>
        </w:rPr>
        <w:t>by delivering it personally to him or her;</w:t>
      </w:r>
    </w:p>
    <w:p>
      <w:pPr>
        <w:spacing w:after="0" w:line="105" w:lineRule="exact"/>
        <w:rPr>
          <w:rFonts w:ascii="Arial" w:cs="Arial" w:eastAsia="Arial" w:hAnsi="Arial"/>
          <w:sz w:val="17"/>
          <w:szCs w:val="17"/>
          <w:color w:val="003551"/>
        </w:rPr>
      </w:pPr>
    </w:p>
    <w:p>
      <w:pPr>
        <w:ind w:left="2320" w:right="819" w:hanging="335"/>
        <w:spacing w:after="0" w:line="262" w:lineRule="auto"/>
        <w:tabs>
          <w:tab w:leader="none" w:pos="2320" w:val="left"/>
        </w:tabs>
        <w:numPr>
          <w:ilvl w:val="0"/>
          <w:numId w:val="187"/>
        </w:numPr>
        <w:rPr>
          <w:rFonts w:ascii="Arial" w:cs="Arial" w:eastAsia="Arial" w:hAnsi="Arial"/>
          <w:sz w:val="17"/>
          <w:szCs w:val="17"/>
          <w:color w:val="003551"/>
        </w:rPr>
      </w:pPr>
      <w:r>
        <w:rPr>
          <w:rFonts w:ascii="Arial" w:cs="Arial" w:eastAsia="Arial" w:hAnsi="Arial"/>
          <w:sz w:val="17"/>
          <w:szCs w:val="17"/>
          <w:color w:val="003551"/>
        </w:rPr>
        <w:t>by sending it by ordinary post to his or her usual residential address or any other address he or she has nominated by giving notice in writing to the company for this purpose;</w:t>
      </w:r>
    </w:p>
    <w:p>
      <w:pPr>
        <w:spacing w:after="0" w:line="54" w:lineRule="exact"/>
        <w:rPr>
          <w:rFonts w:ascii="Arial" w:cs="Arial" w:eastAsia="Arial" w:hAnsi="Arial"/>
          <w:sz w:val="17"/>
          <w:szCs w:val="17"/>
          <w:color w:val="003551"/>
        </w:rPr>
      </w:pPr>
    </w:p>
    <w:p>
      <w:pPr>
        <w:ind w:left="2320" w:right="639" w:hanging="335"/>
        <w:spacing w:after="0" w:line="283" w:lineRule="auto"/>
        <w:tabs>
          <w:tab w:leader="none" w:pos="2320" w:val="left"/>
        </w:tabs>
        <w:numPr>
          <w:ilvl w:val="0"/>
          <w:numId w:val="187"/>
        </w:numPr>
        <w:rPr>
          <w:rFonts w:ascii="Arial" w:cs="Arial" w:eastAsia="Arial" w:hAnsi="Arial"/>
          <w:sz w:val="17"/>
          <w:szCs w:val="17"/>
          <w:color w:val="003551"/>
        </w:rPr>
      </w:pPr>
      <w:r>
        <w:rPr>
          <w:rFonts w:ascii="Arial" w:cs="Arial" w:eastAsia="Arial" w:hAnsi="Arial"/>
          <w:sz w:val="17"/>
          <w:szCs w:val="17"/>
          <w:color w:val="003551"/>
        </w:rPr>
        <w:t>by sending it to any fax number he or she has nominated by giving notice in writing to the company for this purpose; or</w:t>
      </w:r>
    </w:p>
    <w:p>
      <w:pPr>
        <w:spacing w:after="0" w:line="36" w:lineRule="exact"/>
        <w:rPr>
          <w:rFonts w:ascii="Arial" w:cs="Arial" w:eastAsia="Arial" w:hAnsi="Arial"/>
          <w:sz w:val="17"/>
          <w:szCs w:val="17"/>
          <w:color w:val="003551"/>
        </w:rPr>
      </w:pPr>
    </w:p>
    <w:p>
      <w:pPr>
        <w:ind w:left="2320" w:right="579" w:hanging="335"/>
        <w:spacing w:after="0" w:line="255" w:lineRule="auto"/>
        <w:tabs>
          <w:tab w:leader="none" w:pos="2320" w:val="left"/>
        </w:tabs>
        <w:numPr>
          <w:ilvl w:val="0"/>
          <w:numId w:val="187"/>
        </w:numPr>
        <w:rPr>
          <w:rFonts w:ascii="Arial" w:cs="Arial" w:eastAsia="Arial" w:hAnsi="Arial"/>
          <w:sz w:val="17"/>
          <w:szCs w:val="17"/>
          <w:color w:val="003551"/>
        </w:rPr>
      </w:pPr>
      <w:r>
        <w:rPr>
          <w:rFonts w:ascii="Arial" w:cs="Arial" w:eastAsia="Arial" w:hAnsi="Arial"/>
          <w:sz w:val="17"/>
          <w:szCs w:val="17"/>
          <w:color w:val="003551"/>
        </w:rPr>
        <w:t>by sending it to an email address or other electronic address he or she has nominated by giving notice in writing to the company for this purpose, in which case the company may give that communication to the director by attaching a file containing it to, or by providing a URL link to it from, the email or other electronic communication.</w:t>
      </w:r>
    </w:p>
    <w:p>
      <w:pPr>
        <w:spacing w:after="0" w:line="58"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22.6</w:t>
      </w:r>
      <w:r>
        <w:rPr>
          <w:sz w:val="20"/>
          <w:szCs w:val="20"/>
          <w:color w:val="auto"/>
        </w:rPr>
        <w:tab/>
      </w:r>
      <w:r>
        <w:rPr>
          <w:rFonts w:ascii="Arial" w:cs="Arial" w:eastAsia="Arial" w:hAnsi="Arial"/>
          <w:sz w:val="17"/>
          <w:szCs w:val="17"/>
          <w:b w:val="1"/>
          <w:bCs w:val="1"/>
          <w:color w:val="003551"/>
        </w:rPr>
        <w:t>Communications given by members to the company</w:t>
      </w:r>
    </w:p>
    <w:p>
      <w:pPr>
        <w:spacing w:after="0" w:line="108"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Without limiting the any other way that a communication may be given to the company under the</w:t>
      </w:r>
    </w:p>
    <w:p>
      <w:pPr>
        <w:spacing w:after="0" w:line="17"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Corporations Act or this constitution, a member may give any communication to the company:</w:t>
      </w:r>
    </w:p>
    <w:p>
      <w:pPr>
        <w:spacing w:after="0" w:line="90" w:lineRule="exact"/>
        <w:rPr>
          <w:sz w:val="20"/>
          <w:szCs w:val="20"/>
          <w:color w:val="auto"/>
        </w:rPr>
      </w:pPr>
    </w:p>
    <w:p>
      <w:pPr>
        <w:ind w:left="2320" w:hanging="335"/>
        <w:spacing w:after="0"/>
        <w:tabs>
          <w:tab w:leader="none" w:pos="2320" w:val="left"/>
        </w:tabs>
        <w:numPr>
          <w:ilvl w:val="0"/>
          <w:numId w:val="188"/>
        </w:numPr>
        <w:rPr>
          <w:rFonts w:ascii="Arial" w:cs="Arial" w:eastAsia="Arial" w:hAnsi="Arial"/>
          <w:sz w:val="17"/>
          <w:szCs w:val="17"/>
          <w:color w:val="003551"/>
        </w:rPr>
      </w:pPr>
      <w:r>
        <w:rPr>
          <w:rFonts w:ascii="Arial" w:cs="Arial" w:eastAsia="Arial" w:hAnsi="Arial"/>
          <w:sz w:val="17"/>
          <w:szCs w:val="17"/>
          <w:color w:val="003551"/>
        </w:rPr>
        <w:t>by delivering it or sending it by ordinary post to the company’s registered office; or</w:t>
      </w:r>
    </w:p>
    <w:p>
      <w:pPr>
        <w:spacing w:after="0" w:line="105" w:lineRule="exact"/>
        <w:rPr>
          <w:rFonts w:ascii="Arial" w:cs="Arial" w:eastAsia="Arial" w:hAnsi="Arial"/>
          <w:sz w:val="17"/>
          <w:szCs w:val="17"/>
          <w:color w:val="003551"/>
        </w:rPr>
      </w:pPr>
    </w:p>
    <w:p>
      <w:pPr>
        <w:ind w:left="2320" w:right="479" w:hanging="335"/>
        <w:spacing w:after="0" w:line="262" w:lineRule="auto"/>
        <w:tabs>
          <w:tab w:leader="none" w:pos="2320" w:val="left"/>
        </w:tabs>
        <w:numPr>
          <w:ilvl w:val="0"/>
          <w:numId w:val="188"/>
        </w:numPr>
        <w:rPr>
          <w:rFonts w:ascii="Arial" w:cs="Arial" w:eastAsia="Arial" w:hAnsi="Arial"/>
          <w:sz w:val="17"/>
          <w:szCs w:val="17"/>
          <w:color w:val="003551"/>
        </w:rPr>
      </w:pPr>
      <w:r>
        <w:rPr>
          <w:rFonts w:ascii="Arial" w:cs="Arial" w:eastAsia="Arial" w:hAnsi="Arial"/>
          <w:sz w:val="17"/>
          <w:szCs w:val="17"/>
          <w:color w:val="003551"/>
        </w:rPr>
        <w:t>if the company has specified any fax number, email address or other electronic address for the receipt of that any particular communication, by sending it to that fax number, email address or other electronic address.</w:t>
      </w:r>
    </w:p>
    <w:p>
      <w:pPr>
        <w:spacing w:after="0" w:line="15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127635</wp:posOffset>
            </wp:positionV>
            <wp:extent cx="6786880" cy="1651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22.7</w:t>
      </w:r>
      <w:r>
        <w:rPr>
          <w:sz w:val="20"/>
          <w:szCs w:val="20"/>
          <w:color w:val="auto"/>
        </w:rPr>
        <w:tab/>
      </w:r>
      <w:r>
        <w:rPr>
          <w:rFonts w:ascii="Arial" w:cs="Arial" w:eastAsia="Arial" w:hAnsi="Arial"/>
          <w:sz w:val="17"/>
          <w:szCs w:val="17"/>
          <w:b w:val="1"/>
          <w:bCs w:val="1"/>
          <w:color w:val="003551"/>
        </w:rPr>
        <w:t>Communications given by directors to the company</w:t>
      </w:r>
    </w:p>
    <w:p>
      <w:pPr>
        <w:spacing w:after="0" w:line="134"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A director or alternate director may give any communication to the company:</w:t>
      </w:r>
    </w:p>
    <w:p>
      <w:pPr>
        <w:spacing w:after="0" w:line="106" w:lineRule="exact"/>
        <w:rPr>
          <w:sz w:val="20"/>
          <w:szCs w:val="20"/>
          <w:color w:val="auto"/>
        </w:rPr>
      </w:pPr>
    </w:p>
    <w:p>
      <w:pPr>
        <w:ind w:left="2320" w:hanging="335"/>
        <w:spacing w:after="0"/>
        <w:tabs>
          <w:tab w:leader="none" w:pos="2320" w:val="left"/>
        </w:tabs>
        <w:numPr>
          <w:ilvl w:val="0"/>
          <w:numId w:val="189"/>
        </w:numPr>
        <w:rPr>
          <w:rFonts w:ascii="Arial" w:cs="Arial" w:eastAsia="Arial" w:hAnsi="Arial"/>
          <w:sz w:val="17"/>
          <w:szCs w:val="17"/>
          <w:color w:val="003551"/>
        </w:rPr>
      </w:pPr>
      <w:r>
        <w:rPr>
          <w:rFonts w:ascii="Arial" w:cs="Arial" w:eastAsia="Arial" w:hAnsi="Arial"/>
          <w:sz w:val="17"/>
          <w:szCs w:val="17"/>
          <w:color w:val="003551"/>
        </w:rPr>
        <w:t>by delivering it or sending it by ordinary post to the company’s registered office; or</w:t>
      </w:r>
    </w:p>
    <w:p>
      <w:pPr>
        <w:spacing w:after="0" w:line="105" w:lineRule="exact"/>
        <w:rPr>
          <w:rFonts w:ascii="Arial" w:cs="Arial" w:eastAsia="Arial" w:hAnsi="Arial"/>
          <w:sz w:val="17"/>
          <w:szCs w:val="17"/>
          <w:color w:val="003551"/>
        </w:rPr>
      </w:pPr>
    </w:p>
    <w:p>
      <w:pPr>
        <w:ind w:left="2320" w:right="519" w:hanging="335"/>
        <w:spacing w:after="0" w:line="262" w:lineRule="auto"/>
        <w:tabs>
          <w:tab w:leader="none" w:pos="2320" w:val="left"/>
        </w:tabs>
        <w:numPr>
          <w:ilvl w:val="0"/>
          <w:numId w:val="189"/>
        </w:numPr>
        <w:rPr>
          <w:rFonts w:ascii="Arial" w:cs="Arial" w:eastAsia="Arial" w:hAnsi="Arial"/>
          <w:sz w:val="17"/>
          <w:szCs w:val="17"/>
          <w:color w:val="003551"/>
        </w:rPr>
      </w:pPr>
      <w:r>
        <w:rPr>
          <w:rFonts w:ascii="Arial" w:cs="Arial" w:eastAsia="Arial" w:hAnsi="Arial"/>
          <w:sz w:val="17"/>
          <w:szCs w:val="17"/>
          <w:color w:val="003551"/>
        </w:rPr>
        <w:t>if the company has notified the directors of any fax number, email address or other electronic address for the receipt of communications from the directors in that capacity, by sending it to that fax number, email address or other electronic address.</w:t>
      </w:r>
    </w:p>
    <w:p>
      <w:pPr>
        <w:spacing w:after="0" w:line="52"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22.8</w:t>
      </w:r>
      <w:r>
        <w:rPr>
          <w:sz w:val="20"/>
          <w:szCs w:val="20"/>
          <w:color w:val="auto"/>
        </w:rPr>
        <w:tab/>
      </w:r>
      <w:r>
        <w:rPr>
          <w:rFonts w:ascii="Arial" w:cs="Arial" w:eastAsia="Arial" w:hAnsi="Arial"/>
          <w:sz w:val="17"/>
          <w:szCs w:val="17"/>
          <w:b w:val="1"/>
          <w:bCs w:val="1"/>
          <w:color w:val="003551"/>
        </w:rPr>
        <w:t>When communications taken to be received</w:t>
      </w:r>
    </w:p>
    <w:p>
      <w:pPr>
        <w:spacing w:after="0" w:line="147"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A communication is taken to have been received:</w:t>
      </w:r>
    </w:p>
    <w:p>
      <w:pPr>
        <w:spacing w:after="0" w:line="106" w:lineRule="exact"/>
        <w:rPr>
          <w:sz w:val="20"/>
          <w:szCs w:val="20"/>
          <w:color w:val="auto"/>
        </w:rPr>
      </w:pPr>
    </w:p>
    <w:p>
      <w:pPr>
        <w:ind w:left="2320" w:hanging="335"/>
        <w:spacing w:after="0"/>
        <w:tabs>
          <w:tab w:leader="none" w:pos="2320" w:val="left"/>
        </w:tabs>
        <w:numPr>
          <w:ilvl w:val="0"/>
          <w:numId w:val="190"/>
        </w:numPr>
        <w:rPr>
          <w:rFonts w:ascii="Arial" w:cs="Arial" w:eastAsia="Arial" w:hAnsi="Arial"/>
          <w:sz w:val="17"/>
          <w:szCs w:val="17"/>
          <w:color w:val="003551"/>
        </w:rPr>
      </w:pPr>
      <w:r>
        <w:rPr>
          <w:rFonts w:ascii="Arial" w:cs="Arial" w:eastAsia="Arial" w:hAnsi="Arial"/>
          <w:sz w:val="17"/>
          <w:szCs w:val="17"/>
          <w:color w:val="003551"/>
        </w:rPr>
        <w:t>if sent by ordinary post or airmail, on the day after it was put into the post;</w:t>
      </w:r>
    </w:p>
    <w:p>
      <w:pPr>
        <w:spacing w:after="0" w:line="105" w:lineRule="exact"/>
        <w:rPr>
          <w:rFonts w:ascii="Arial" w:cs="Arial" w:eastAsia="Arial" w:hAnsi="Arial"/>
          <w:sz w:val="17"/>
          <w:szCs w:val="17"/>
          <w:color w:val="003551"/>
        </w:rPr>
      </w:pPr>
    </w:p>
    <w:p>
      <w:pPr>
        <w:ind w:left="2320" w:right="399" w:hanging="335"/>
        <w:spacing w:after="0" w:line="283" w:lineRule="auto"/>
        <w:tabs>
          <w:tab w:leader="none" w:pos="2320" w:val="left"/>
        </w:tabs>
        <w:numPr>
          <w:ilvl w:val="0"/>
          <w:numId w:val="190"/>
        </w:numPr>
        <w:rPr>
          <w:rFonts w:ascii="Arial" w:cs="Arial" w:eastAsia="Arial" w:hAnsi="Arial"/>
          <w:sz w:val="17"/>
          <w:szCs w:val="17"/>
          <w:color w:val="003551"/>
        </w:rPr>
      </w:pPr>
      <w:r>
        <w:rPr>
          <w:rFonts w:ascii="Arial" w:cs="Arial" w:eastAsia="Arial" w:hAnsi="Arial"/>
          <w:sz w:val="17"/>
          <w:szCs w:val="17"/>
          <w:color w:val="003551"/>
        </w:rPr>
        <w:t>if sent by fax, at the time shown in the transmission report as being the time at which the fax was sent;</w:t>
      </w:r>
    </w:p>
    <w:p>
      <w:pPr>
        <w:spacing w:after="0" w:line="36" w:lineRule="exact"/>
        <w:rPr>
          <w:rFonts w:ascii="Arial" w:cs="Arial" w:eastAsia="Arial" w:hAnsi="Arial"/>
          <w:sz w:val="17"/>
          <w:szCs w:val="17"/>
          <w:color w:val="003551"/>
        </w:rPr>
      </w:pPr>
    </w:p>
    <w:p>
      <w:pPr>
        <w:ind w:left="2320" w:right="739" w:hanging="335"/>
        <w:spacing w:after="0" w:line="283" w:lineRule="auto"/>
        <w:tabs>
          <w:tab w:leader="none" w:pos="2320" w:val="left"/>
        </w:tabs>
        <w:numPr>
          <w:ilvl w:val="0"/>
          <w:numId w:val="190"/>
        </w:numPr>
        <w:rPr>
          <w:rFonts w:ascii="Arial" w:cs="Arial" w:eastAsia="Arial" w:hAnsi="Arial"/>
          <w:sz w:val="17"/>
          <w:szCs w:val="17"/>
          <w:color w:val="003551"/>
        </w:rPr>
      </w:pPr>
      <w:r>
        <w:rPr>
          <w:rFonts w:ascii="Arial" w:cs="Arial" w:eastAsia="Arial" w:hAnsi="Arial"/>
          <w:sz w:val="17"/>
          <w:szCs w:val="17"/>
          <w:color w:val="003551"/>
        </w:rPr>
        <w:t>if sent by email or other electronic communication under rule 22‎.2(d), at the time the email or other communication is sent;</w:t>
      </w:r>
    </w:p>
    <w:p>
      <w:pPr>
        <w:spacing w:after="0" w:line="36" w:lineRule="exact"/>
        <w:rPr>
          <w:rFonts w:ascii="Arial" w:cs="Arial" w:eastAsia="Arial" w:hAnsi="Arial"/>
          <w:sz w:val="17"/>
          <w:szCs w:val="17"/>
          <w:color w:val="003551"/>
        </w:rPr>
      </w:pPr>
    </w:p>
    <w:p>
      <w:pPr>
        <w:ind w:left="2320" w:right="419" w:hanging="335"/>
        <w:spacing w:after="0" w:line="251" w:lineRule="auto"/>
        <w:tabs>
          <w:tab w:leader="none" w:pos="2320" w:val="left"/>
        </w:tabs>
        <w:numPr>
          <w:ilvl w:val="0"/>
          <w:numId w:val="190"/>
        </w:numPr>
        <w:rPr>
          <w:rFonts w:ascii="Arial" w:cs="Arial" w:eastAsia="Arial" w:hAnsi="Arial"/>
          <w:sz w:val="17"/>
          <w:szCs w:val="17"/>
          <w:color w:val="003551"/>
        </w:rPr>
      </w:pPr>
      <w:r>
        <w:rPr>
          <w:rFonts w:ascii="Arial" w:cs="Arial" w:eastAsia="Arial" w:hAnsi="Arial"/>
          <w:sz w:val="17"/>
          <w:szCs w:val="17"/>
          <w:color w:val="003551"/>
        </w:rPr>
        <w:t xml:space="preserve">if sent by email or other electronic communication under rule 22‎.5(d), </w:t>
      </w:r>
      <w:r>
        <w:rPr>
          <w:rFonts w:ascii="Arial" w:cs="Arial" w:eastAsia="Arial" w:hAnsi="Arial"/>
          <w:sz w:val="17"/>
          <w:szCs w:val="17"/>
          <w:u w:val="single" w:color="auto"/>
          <w:color w:val="003551"/>
        </w:rPr>
        <w:t>22.6(b)</w:t>
      </w:r>
      <w:r>
        <w:rPr>
          <w:rFonts w:ascii="Arial" w:cs="Arial" w:eastAsia="Arial" w:hAnsi="Arial"/>
          <w:sz w:val="17"/>
          <w:szCs w:val="17"/>
          <w:color w:val="003551"/>
        </w:rPr>
        <w:t xml:space="preserve"> or </w:t>
      </w:r>
      <w:r>
        <w:rPr>
          <w:rFonts w:ascii="Arial" w:cs="Arial" w:eastAsia="Arial" w:hAnsi="Arial"/>
          <w:sz w:val="17"/>
          <w:szCs w:val="17"/>
          <w:u w:val="single" w:color="auto"/>
          <w:color w:val="003551"/>
        </w:rPr>
        <w:t>22.7(b)</w:t>
      </w:r>
      <w:r>
        <w:rPr>
          <w:rFonts w:ascii="Arial" w:cs="Arial" w:eastAsia="Arial" w:hAnsi="Arial"/>
          <w:sz w:val="17"/>
          <w:szCs w:val="17"/>
          <w:color w:val="003551"/>
        </w:rPr>
        <w:t xml:space="preserve"> at the time the email or other communication is sent or, if the recipient has previously notified the sender that it requires the sender to request electronic verification of the receipt of the email or other electronic communication and such verification is able to be produced by the recipient’s system, when that verification is received by the sender; and</w:t>
      </w:r>
    </w:p>
    <w:p>
      <w:pPr>
        <w:spacing w:after="0" w:line="65" w:lineRule="exact"/>
        <w:rPr>
          <w:rFonts w:ascii="Arial" w:cs="Arial" w:eastAsia="Arial" w:hAnsi="Arial"/>
          <w:sz w:val="17"/>
          <w:szCs w:val="17"/>
          <w:color w:val="003551"/>
        </w:rPr>
      </w:pPr>
    </w:p>
    <w:p>
      <w:pPr>
        <w:ind w:left="2320" w:right="619" w:hanging="335"/>
        <w:spacing w:after="0" w:line="283" w:lineRule="auto"/>
        <w:tabs>
          <w:tab w:leader="none" w:pos="2320" w:val="left"/>
        </w:tabs>
        <w:numPr>
          <w:ilvl w:val="0"/>
          <w:numId w:val="190"/>
        </w:numPr>
        <w:rPr>
          <w:rFonts w:ascii="Arial" w:cs="Arial" w:eastAsia="Arial" w:hAnsi="Arial"/>
          <w:sz w:val="17"/>
          <w:szCs w:val="17"/>
          <w:color w:val="003551"/>
        </w:rPr>
      </w:pPr>
      <w:r>
        <w:rPr>
          <w:rFonts w:ascii="Arial" w:cs="Arial" w:eastAsia="Arial" w:hAnsi="Arial"/>
          <w:sz w:val="17"/>
          <w:szCs w:val="17"/>
          <w:color w:val="003551"/>
        </w:rPr>
        <w:t xml:space="preserve">in the case of a notice of meeting given to a member under </w:t>
      </w:r>
      <w:r>
        <w:rPr>
          <w:rFonts w:ascii="Arial" w:cs="Arial" w:eastAsia="Arial" w:hAnsi="Arial"/>
          <w:sz w:val="17"/>
          <w:szCs w:val="17"/>
          <w:u w:val="single" w:color="auto"/>
          <w:color w:val="003551"/>
        </w:rPr>
        <w:t>rule 22.3</w:t>
      </w:r>
      <w:r>
        <w:rPr>
          <w:rFonts w:ascii="Arial" w:cs="Arial" w:eastAsia="Arial" w:hAnsi="Arial"/>
          <w:sz w:val="17"/>
          <w:szCs w:val="17"/>
          <w:color w:val="003551"/>
        </w:rPr>
        <w:t>, on the day after the day on which the member is notified that the notice of meeting is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4255770</wp:posOffset>
            </wp:positionH>
            <wp:positionV relativeFrom="paragraph">
              <wp:posOffset>-1179830</wp:posOffset>
            </wp:positionV>
            <wp:extent cx="56705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567055" cy="8255"/>
                    </a:xfrm>
                    <a:prstGeom prst="rect">
                      <a:avLst/>
                    </a:prstGeom>
                    <a:noFill/>
                  </pic:spPr>
                </pic:pic>
              </a:graphicData>
            </a:graphic>
          </wp:anchor>
        </w:drawing>
        <w:drawing>
          <wp:anchor simplePos="0" relativeHeight="251657728" behindDoc="1" locked="0" layoutInCell="0" allowOverlap="1">
            <wp:simplePos x="0" y="0"/>
            <wp:positionH relativeFrom="column">
              <wp:posOffset>4255770</wp:posOffset>
            </wp:positionH>
            <wp:positionV relativeFrom="paragraph">
              <wp:posOffset>-863600</wp:posOffset>
            </wp:positionV>
            <wp:extent cx="56705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567055" cy="8255"/>
                    </a:xfrm>
                    <a:prstGeom prst="rect">
                      <a:avLst/>
                    </a:prstGeom>
                    <a:noFill/>
                  </pic:spPr>
                </pic:pic>
              </a:graphicData>
            </a:graphic>
          </wp:anchor>
        </w:drawing>
      </w:r>
    </w:p>
    <w:p>
      <w:pPr>
        <w:spacing w:after="0" w:line="15"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22.9</w:t>
      </w:r>
      <w:r>
        <w:rPr>
          <w:sz w:val="20"/>
          <w:szCs w:val="20"/>
          <w:color w:val="auto"/>
        </w:rPr>
        <w:tab/>
      </w:r>
      <w:r>
        <w:rPr>
          <w:rFonts w:ascii="Arial" w:cs="Arial" w:eastAsia="Arial" w:hAnsi="Arial"/>
          <w:sz w:val="17"/>
          <w:szCs w:val="17"/>
          <w:b w:val="1"/>
          <w:bCs w:val="1"/>
          <w:color w:val="003551"/>
        </w:rPr>
        <w:t>Joint holders</w:t>
      </w:r>
    </w:p>
    <w:p>
      <w:pPr>
        <w:spacing w:after="0" w:line="108" w:lineRule="exact"/>
        <w:rPr>
          <w:sz w:val="20"/>
          <w:szCs w:val="20"/>
          <w:color w:val="auto"/>
        </w:rPr>
      </w:pPr>
    </w:p>
    <w:p>
      <w:pPr>
        <w:ind w:left="1640" w:right="679"/>
        <w:spacing w:after="0" w:line="283" w:lineRule="auto"/>
        <w:rPr>
          <w:sz w:val="20"/>
          <w:szCs w:val="20"/>
          <w:color w:val="auto"/>
        </w:rPr>
      </w:pPr>
      <w:r>
        <w:rPr>
          <w:rFonts w:ascii="Arial" w:cs="Arial" w:eastAsia="Arial" w:hAnsi="Arial"/>
          <w:sz w:val="17"/>
          <w:szCs w:val="17"/>
          <w:color w:val="003551"/>
        </w:rPr>
        <w:t xml:space="preserve">The company may give a communication to the joint holders of a share by giving it in any way authorised by </w:t>
      </w:r>
      <w:r>
        <w:rPr>
          <w:rFonts w:ascii="Arial" w:cs="Arial" w:eastAsia="Arial" w:hAnsi="Arial"/>
          <w:sz w:val="17"/>
          <w:szCs w:val="17"/>
          <w:u w:val="single" w:color="auto"/>
          <w:color w:val="003551"/>
        </w:rPr>
        <w:t>rule 22.1</w:t>
      </w:r>
      <w:r>
        <w:rPr>
          <w:rFonts w:ascii="Arial" w:cs="Arial" w:eastAsia="Arial" w:hAnsi="Arial"/>
          <w:sz w:val="17"/>
          <w:szCs w:val="17"/>
          <w:color w:val="003551"/>
        </w:rPr>
        <w:t xml:space="preserve"> to the joint holder whose name first appears in the Register.</w:t>
      </w:r>
    </w:p>
    <w:p>
      <w:pPr>
        <w:spacing w:after="0" w:line="35"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22.10</w:t>
        <w:tab/>
        <w:t>Persons entitled to shares by transmission</w:t>
      </w:r>
    </w:p>
    <w:p>
      <w:pPr>
        <w:spacing w:after="0" w:line="108"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The company may give any communication to a person entitled to a share as a result of a</w:t>
      </w:r>
    </w:p>
    <w:p>
      <w:pPr>
        <w:spacing w:after="0" w:line="17"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Transmission Event:</w:t>
      </w:r>
    </w:p>
    <w:p>
      <w:pPr>
        <w:spacing w:after="0" w:line="90" w:lineRule="exact"/>
        <w:rPr>
          <w:sz w:val="20"/>
          <w:szCs w:val="20"/>
          <w:color w:val="auto"/>
        </w:rPr>
      </w:pPr>
    </w:p>
    <w:p>
      <w:pPr>
        <w:ind w:left="2320" w:right="779" w:hanging="335"/>
        <w:spacing w:after="0" w:line="262" w:lineRule="auto"/>
        <w:tabs>
          <w:tab w:leader="none" w:pos="2320" w:val="left"/>
        </w:tabs>
        <w:numPr>
          <w:ilvl w:val="0"/>
          <w:numId w:val="191"/>
        </w:numPr>
        <w:rPr>
          <w:rFonts w:ascii="Arial" w:cs="Arial" w:eastAsia="Arial" w:hAnsi="Arial"/>
          <w:sz w:val="17"/>
          <w:szCs w:val="17"/>
          <w:color w:val="003551"/>
        </w:rPr>
      </w:pPr>
      <w:r>
        <w:rPr>
          <w:rFonts w:ascii="Arial" w:cs="Arial" w:eastAsia="Arial" w:hAnsi="Arial"/>
          <w:sz w:val="17"/>
          <w:szCs w:val="17"/>
          <w:color w:val="003551"/>
        </w:rPr>
        <w:t>by sending it to the person so entitled to any address, fax number, email address or other electronic address nominated by the person by giving notice in writing to the company for this purpose; or</w:t>
      </w:r>
    </w:p>
    <w:p>
      <w:pPr>
        <w:spacing w:after="0" w:line="54" w:lineRule="exact"/>
        <w:rPr>
          <w:rFonts w:ascii="Arial" w:cs="Arial" w:eastAsia="Arial" w:hAnsi="Arial"/>
          <w:sz w:val="17"/>
          <w:szCs w:val="17"/>
          <w:color w:val="003551"/>
        </w:rPr>
      </w:pPr>
    </w:p>
    <w:p>
      <w:pPr>
        <w:ind w:left="2320" w:right="479" w:hanging="335"/>
        <w:spacing w:after="0" w:line="283" w:lineRule="auto"/>
        <w:tabs>
          <w:tab w:leader="none" w:pos="2320" w:val="left"/>
        </w:tabs>
        <w:numPr>
          <w:ilvl w:val="0"/>
          <w:numId w:val="191"/>
        </w:numPr>
        <w:rPr>
          <w:rFonts w:ascii="Arial" w:cs="Arial" w:eastAsia="Arial" w:hAnsi="Arial"/>
          <w:sz w:val="17"/>
          <w:szCs w:val="17"/>
          <w:color w:val="003551"/>
        </w:rPr>
      </w:pPr>
      <w:r>
        <w:rPr>
          <w:rFonts w:ascii="Arial" w:cs="Arial" w:eastAsia="Arial" w:hAnsi="Arial"/>
          <w:sz w:val="17"/>
          <w:szCs w:val="17"/>
          <w:color w:val="003551"/>
        </w:rPr>
        <w:t>in any way that the communication could have been sent if the Transmission Event had not occurred.</w:t>
      </w:r>
    </w:p>
    <w:p>
      <w:pPr>
        <w:spacing w:after="0" w:line="35"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17"/>
          <w:szCs w:val="17"/>
          <w:b w:val="1"/>
          <w:bCs w:val="1"/>
          <w:color w:val="003551"/>
        </w:rPr>
        <w:t>22.11</w:t>
        <w:tab/>
        <w:t>Transferee of shares</w:t>
      </w:r>
    </w:p>
    <w:p>
      <w:pPr>
        <w:spacing w:after="0" w:line="108" w:lineRule="exact"/>
        <w:rPr>
          <w:sz w:val="20"/>
          <w:szCs w:val="20"/>
          <w:color w:val="auto"/>
        </w:rPr>
      </w:pPr>
    </w:p>
    <w:p>
      <w:pPr>
        <w:jc w:val="both"/>
        <w:ind w:left="1640" w:right="419"/>
        <w:spacing w:after="0" w:line="255" w:lineRule="auto"/>
        <w:rPr>
          <w:sz w:val="20"/>
          <w:szCs w:val="20"/>
          <w:color w:val="auto"/>
        </w:rPr>
      </w:pPr>
      <w:r>
        <w:rPr>
          <w:rFonts w:ascii="Arial" w:cs="Arial" w:eastAsia="Arial" w:hAnsi="Arial"/>
          <w:sz w:val="17"/>
          <w:szCs w:val="17"/>
          <w:color w:val="003551"/>
        </w:rPr>
        <w:t>A person who becomes entitled to any shares registered in the name of a member as a result of a transfer of those shares is taken to have received, and is bound by, every communication given to the member in accordance with this rule 22‎ before that person’s name and address is entered in the Register in respect of those shares.</w:t>
      </w:r>
    </w:p>
    <w:p>
      <w:pPr>
        <w:spacing w:after="0" w:line="165"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119380</wp:posOffset>
            </wp:positionV>
            <wp:extent cx="6786880" cy="1651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580"/>
        <w:spacing w:after="0"/>
        <w:rPr>
          <w:sz w:val="20"/>
          <w:szCs w:val="20"/>
          <w:color w:val="auto"/>
        </w:rPr>
      </w:pPr>
      <w:r>
        <w:rPr>
          <w:rFonts w:ascii="Arial" w:cs="Arial" w:eastAsia="Arial" w:hAnsi="Arial"/>
          <w:sz w:val="17"/>
          <w:szCs w:val="17"/>
          <w:b w:val="1"/>
          <w:bCs w:val="1"/>
          <w:color w:val="77C483"/>
        </w:rPr>
        <w:t>Schedule 1</w:t>
      </w:r>
    </w:p>
    <w:p>
      <w:pPr>
        <w:spacing w:after="0" w:line="19" w:lineRule="exact"/>
        <w:rPr>
          <w:sz w:val="20"/>
          <w:szCs w:val="20"/>
          <w:color w:val="auto"/>
        </w:rPr>
      </w:pPr>
    </w:p>
    <w:p>
      <w:pPr>
        <w:ind w:left="4940"/>
        <w:spacing w:after="0"/>
        <w:rPr>
          <w:sz w:val="20"/>
          <w:szCs w:val="20"/>
          <w:color w:val="auto"/>
        </w:rPr>
      </w:pPr>
      <w:r>
        <w:rPr>
          <w:rFonts w:ascii="Arial" w:cs="Arial" w:eastAsia="Arial" w:hAnsi="Arial"/>
          <w:sz w:val="17"/>
          <w:szCs w:val="17"/>
          <w:b w:val="1"/>
          <w:bCs w:val="1"/>
          <w:color w:val="77C483"/>
        </w:rPr>
        <w:t> </w:t>
      </w:r>
    </w:p>
    <w:p>
      <w:pPr>
        <w:spacing w:after="0" w:line="1"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77C483"/>
        </w:rPr>
        <w:t xml:space="preserve">B </w:t>
      </w:r>
      <w:r>
        <w:rPr>
          <w:rFonts w:ascii="Arial" w:cs="Arial" w:eastAsia="Arial" w:hAnsi="Arial"/>
          <w:sz w:val="17"/>
          <w:szCs w:val="17"/>
          <w:b w:val="1"/>
          <w:bCs w:val="1"/>
          <w:color w:val="FF0000"/>
          <w:strike w:val="1"/>
        </w:rPr>
        <w:t>CLASS SHARE TERMS</w:t>
      </w:r>
      <w:r>
        <w:rPr>
          <w:rFonts w:ascii="Arial" w:cs="Arial" w:eastAsia="Arial" w:hAnsi="Arial"/>
          <w:sz w:val="17"/>
          <w:szCs w:val="17"/>
          <w:b w:val="1"/>
          <w:bCs w:val="1"/>
          <w:u w:val="single" w:color="auto"/>
          <w:color w:val="0000FF"/>
        </w:rPr>
        <w:t>Class Share Terms</w:t>
      </w:r>
    </w:p>
    <w:p>
      <w:pPr>
        <w:spacing w:after="0" w:line="88" w:lineRule="exact"/>
        <w:rPr>
          <w:sz w:val="20"/>
          <w:szCs w:val="20"/>
          <w:color w:val="auto"/>
        </w:rPr>
      </w:pPr>
    </w:p>
    <w:p>
      <w:pPr>
        <w:ind w:left="1640" w:hanging="703"/>
        <w:spacing w:after="0"/>
        <w:tabs>
          <w:tab w:leader="none" w:pos="1640" w:val="left"/>
        </w:tabs>
        <w:numPr>
          <w:ilvl w:val="0"/>
          <w:numId w:val="192"/>
        </w:numPr>
        <w:rPr>
          <w:rFonts w:ascii="Arial" w:cs="Arial" w:eastAsia="Arial" w:hAnsi="Arial"/>
          <w:sz w:val="17"/>
          <w:szCs w:val="17"/>
          <w:b w:val="1"/>
          <w:bCs w:val="1"/>
          <w:color w:val="003551"/>
        </w:rPr>
      </w:pPr>
      <w:r>
        <w:rPr>
          <w:rFonts w:ascii="Arial" w:cs="Arial" w:eastAsia="Arial" w:hAnsi="Arial"/>
          <w:sz w:val="17"/>
          <w:szCs w:val="17"/>
          <w:b w:val="1"/>
          <w:bCs w:val="1"/>
          <w:color w:val="003551"/>
        </w:rPr>
        <w:t>Creation of B Class Shares</w:t>
      </w:r>
    </w:p>
    <w:p>
      <w:pPr>
        <w:spacing w:after="0" w:line="107" w:lineRule="exact"/>
        <w:rPr>
          <w:rFonts w:ascii="Arial" w:cs="Arial" w:eastAsia="Arial" w:hAnsi="Arial"/>
          <w:sz w:val="17"/>
          <w:szCs w:val="17"/>
          <w:b w:val="1"/>
          <w:bCs w:val="1"/>
          <w:color w:val="003551"/>
        </w:rPr>
      </w:pPr>
    </w:p>
    <w:p>
      <w:pPr>
        <w:ind w:left="1640" w:right="399"/>
        <w:spacing w:after="0" w:line="283" w:lineRule="auto"/>
        <w:rPr>
          <w:rFonts w:ascii="Arial" w:cs="Arial" w:eastAsia="Arial" w:hAnsi="Arial"/>
          <w:sz w:val="17"/>
          <w:szCs w:val="17"/>
          <w:b w:val="1"/>
          <w:bCs w:val="1"/>
          <w:color w:val="003551"/>
        </w:rPr>
      </w:pPr>
      <w:r>
        <w:rPr>
          <w:rFonts w:ascii="Arial" w:cs="Arial" w:eastAsia="Arial" w:hAnsi="Arial"/>
          <w:sz w:val="17"/>
          <w:szCs w:val="17"/>
          <w:color w:val="003551"/>
        </w:rPr>
        <w:t xml:space="preserve">The company may issue a B class share to each Founder Holder in accordance with, and subject to, the terms of issue set out in this </w:t>
      </w:r>
      <w:r>
        <w:rPr>
          <w:rFonts w:ascii="Arial" w:cs="Arial" w:eastAsia="Arial" w:hAnsi="Arial"/>
          <w:sz w:val="17"/>
          <w:szCs w:val="17"/>
          <w:u w:val="single" w:color="auto"/>
          <w:color w:val="003551"/>
        </w:rPr>
        <w:t>Schedule 1.</w:t>
      </w:r>
    </w:p>
    <w:p>
      <w:pPr>
        <w:spacing w:after="0" w:line="34" w:lineRule="exact"/>
        <w:rPr>
          <w:rFonts w:ascii="Arial" w:cs="Arial" w:eastAsia="Arial" w:hAnsi="Arial"/>
          <w:sz w:val="17"/>
          <w:szCs w:val="17"/>
          <w:b w:val="1"/>
          <w:bCs w:val="1"/>
          <w:color w:val="003551"/>
        </w:rPr>
      </w:pPr>
    </w:p>
    <w:p>
      <w:pPr>
        <w:ind w:left="1640" w:hanging="703"/>
        <w:spacing w:after="0"/>
        <w:tabs>
          <w:tab w:leader="none" w:pos="1640" w:val="left"/>
        </w:tabs>
        <w:numPr>
          <w:ilvl w:val="0"/>
          <w:numId w:val="192"/>
        </w:numPr>
        <w:rPr>
          <w:rFonts w:ascii="Arial" w:cs="Arial" w:eastAsia="Arial" w:hAnsi="Arial"/>
          <w:sz w:val="17"/>
          <w:szCs w:val="17"/>
          <w:b w:val="1"/>
          <w:bCs w:val="1"/>
          <w:color w:val="003551"/>
        </w:rPr>
      </w:pPr>
      <w:r>
        <w:rPr>
          <w:rFonts w:ascii="Arial" w:cs="Arial" w:eastAsia="Arial" w:hAnsi="Arial"/>
          <w:sz w:val="17"/>
          <w:szCs w:val="17"/>
          <w:b w:val="1"/>
          <w:bCs w:val="1"/>
          <w:color w:val="003551"/>
        </w:rPr>
        <w:t>No dividend rights</w:t>
      </w:r>
    </w:p>
    <w:p>
      <w:pPr>
        <w:spacing w:after="0" w:line="147" w:lineRule="exact"/>
        <w:rPr>
          <w:rFonts w:ascii="Arial" w:cs="Arial" w:eastAsia="Arial" w:hAnsi="Arial"/>
          <w:sz w:val="17"/>
          <w:szCs w:val="17"/>
          <w:b w:val="1"/>
          <w:bCs w:val="1"/>
          <w:color w:val="003551"/>
        </w:rPr>
      </w:pPr>
    </w:p>
    <w:p>
      <w:pPr>
        <w:ind w:left="1640"/>
        <w:spacing w:after="0"/>
        <w:rPr>
          <w:rFonts w:ascii="Arial" w:cs="Arial" w:eastAsia="Arial" w:hAnsi="Arial"/>
          <w:sz w:val="17"/>
          <w:szCs w:val="17"/>
          <w:b w:val="1"/>
          <w:bCs w:val="1"/>
          <w:color w:val="003551"/>
        </w:rPr>
      </w:pPr>
      <w:r>
        <w:rPr>
          <w:rFonts w:ascii="Arial" w:cs="Arial" w:eastAsia="Arial" w:hAnsi="Arial"/>
          <w:sz w:val="17"/>
          <w:szCs w:val="17"/>
          <w:color w:val="003551"/>
        </w:rPr>
        <w:t>Each B class share does not confer on its holder any right to receive dividends.</w:t>
      </w:r>
    </w:p>
    <w:p>
      <w:pPr>
        <w:spacing w:after="0" w:line="103" w:lineRule="exact"/>
        <w:rPr>
          <w:rFonts w:ascii="Arial" w:cs="Arial" w:eastAsia="Arial" w:hAnsi="Arial"/>
          <w:sz w:val="17"/>
          <w:szCs w:val="17"/>
          <w:b w:val="1"/>
          <w:bCs w:val="1"/>
          <w:color w:val="003551"/>
        </w:rPr>
      </w:pPr>
    </w:p>
    <w:p>
      <w:pPr>
        <w:ind w:left="1640" w:hanging="703"/>
        <w:spacing w:after="0"/>
        <w:tabs>
          <w:tab w:leader="none" w:pos="1640" w:val="left"/>
        </w:tabs>
        <w:numPr>
          <w:ilvl w:val="0"/>
          <w:numId w:val="192"/>
        </w:numPr>
        <w:rPr>
          <w:rFonts w:ascii="Arial" w:cs="Arial" w:eastAsia="Arial" w:hAnsi="Arial"/>
          <w:sz w:val="17"/>
          <w:szCs w:val="17"/>
          <w:b w:val="1"/>
          <w:bCs w:val="1"/>
          <w:color w:val="003551"/>
        </w:rPr>
      </w:pPr>
      <w:r>
        <w:rPr>
          <w:rFonts w:ascii="Arial" w:cs="Arial" w:eastAsia="Arial" w:hAnsi="Arial"/>
          <w:sz w:val="17"/>
          <w:szCs w:val="17"/>
          <w:b w:val="1"/>
          <w:bCs w:val="1"/>
          <w:color w:val="003551"/>
        </w:rPr>
        <w:t>Return of capital</w:t>
      </w:r>
    </w:p>
    <w:p>
      <w:pPr>
        <w:spacing w:after="0" w:line="107" w:lineRule="exact"/>
        <w:rPr>
          <w:rFonts w:ascii="Arial" w:cs="Arial" w:eastAsia="Arial" w:hAnsi="Arial"/>
          <w:sz w:val="17"/>
          <w:szCs w:val="17"/>
          <w:b w:val="1"/>
          <w:bCs w:val="1"/>
          <w:color w:val="003551"/>
        </w:rPr>
      </w:pPr>
    </w:p>
    <w:p>
      <w:pPr>
        <w:ind w:left="1980" w:right="499" w:hanging="344"/>
        <w:spacing w:after="0" w:line="255" w:lineRule="auto"/>
        <w:tabs>
          <w:tab w:leader="none" w:pos="1980" w:val="left"/>
        </w:tabs>
        <w:numPr>
          <w:ilvl w:val="1"/>
          <w:numId w:val="192"/>
        </w:numPr>
        <w:rPr>
          <w:rFonts w:ascii="Arial" w:cs="Arial" w:eastAsia="Arial" w:hAnsi="Arial"/>
          <w:sz w:val="17"/>
          <w:szCs w:val="17"/>
          <w:color w:val="003551"/>
        </w:rPr>
      </w:pPr>
      <w:r>
        <w:rPr>
          <w:rFonts w:ascii="Arial" w:cs="Arial" w:eastAsia="Arial" w:hAnsi="Arial"/>
          <w:sz w:val="17"/>
          <w:szCs w:val="17"/>
          <w:color w:val="003551"/>
        </w:rPr>
        <w:t>In the event of a return of capital, liquidation or winding up of the company, a B class share shall not confer on its holder any right to participate pro rata in any distribution of profits and assets of, and any proceeds received by, the company in excess of the total amount of capital paid-up by that holder upon issue of such B class share.</w:t>
      </w:r>
    </w:p>
    <w:p>
      <w:pPr>
        <w:spacing w:after="0" w:line="59" w:lineRule="exact"/>
        <w:rPr>
          <w:rFonts w:ascii="Arial" w:cs="Arial" w:eastAsia="Arial" w:hAnsi="Arial"/>
          <w:sz w:val="17"/>
          <w:szCs w:val="17"/>
          <w:color w:val="003551"/>
        </w:rPr>
      </w:pPr>
    </w:p>
    <w:p>
      <w:pPr>
        <w:ind w:left="1980" w:right="1039" w:hanging="344"/>
        <w:spacing w:after="0" w:line="283" w:lineRule="auto"/>
        <w:tabs>
          <w:tab w:leader="none" w:pos="1980" w:val="left"/>
        </w:tabs>
        <w:numPr>
          <w:ilvl w:val="1"/>
          <w:numId w:val="192"/>
        </w:numPr>
        <w:rPr>
          <w:rFonts w:ascii="Arial" w:cs="Arial" w:eastAsia="Arial" w:hAnsi="Arial"/>
          <w:sz w:val="17"/>
          <w:szCs w:val="17"/>
          <w:color w:val="003551"/>
        </w:rPr>
      </w:pPr>
      <w:r>
        <w:rPr>
          <w:rFonts w:ascii="Arial" w:cs="Arial" w:eastAsia="Arial" w:hAnsi="Arial"/>
          <w:sz w:val="17"/>
          <w:szCs w:val="17"/>
          <w:color w:val="003551"/>
        </w:rPr>
        <w:t xml:space="preserve">A sale of all or substantially all of the assets of the company shall be deemed to be a liquidation of the company for the purposes of </w:t>
      </w:r>
      <w:r>
        <w:rPr>
          <w:rFonts w:ascii="Arial" w:cs="Arial" w:eastAsia="Arial" w:hAnsi="Arial"/>
          <w:sz w:val="17"/>
          <w:szCs w:val="17"/>
          <w:u w:val="single" w:color="auto"/>
          <w:color w:val="003551"/>
        </w:rPr>
        <w:t>paragraph 3(a)</w:t>
      </w:r>
      <w:r>
        <w:rPr>
          <w:rFonts w:ascii="Arial" w:cs="Arial" w:eastAsia="Arial" w:hAnsi="Arial"/>
          <w:sz w:val="17"/>
          <w:szCs w:val="17"/>
          <w:color w:val="003551"/>
        </w:rPr>
        <w:t>.</w:t>
      </w:r>
    </w:p>
    <w:p>
      <w:pPr>
        <w:spacing w:after="0" w:line="34" w:lineRule="exact"/>
        <w:rPr>
          <w:rFonts w:ascii="Arial" w:cs="Arial" w:eastAsia="Arial" w:hAnsi="Arial"/>
          <w:sz w:val="17"/>
          <w:szCs w:val="17"/>
          <w:color w:val="003551"/>
        </w:rPr>
      </w:pPr>
    </w:p>
    <w:p>
      <w:pPr>
        <w:ind w:left="1640" w:hanging="703"/>
        <w:spacing w:after="0"/>
        <w:tabs>
          <w:tab w:leader="none" w:pos="1640" w:val="left"/>
        </w:tabs>
        <w:numPr>
          <w:ilvl w:val="0"/>
          <w:numId w:val="192"/>
        </w:numPr>
        <w:rPr>
          <w:rFonts w:ascii="Arial" w:cs="Arial" w:eastAsia="Arial" w:hAnsi="Arial"/>
          <w:sz w:val="17"/>
          <w:szCs w:val="17"/>
          <w:b w:val="1"/>
          <w:bCs w:val="1"/>
          <w:color w:val="003551"/>
        </w:rPr>
      </w:pPr>
      <w:r>
        <w:rPr>
          <w:rFonts w:ascii="Arial" w:cs="Arial" w:eastAsia="Arial" w:hAnsi="Arial"/>
          <w:sz w:val="17"/>
          <w:szCs w:val="17"/>
          <w:b w:val="1"/>
          <w:bCs w:val="1"/>
          <w:color w:val="003551"/>
        </w:rPr>
        <w:t>No right to bonus issue or capitalisation of profits</w:t>
      </w:r>
    </w:p>
    <w:p>
      <w:pPr>
        <w:spacing w:after="0" w:line="107" w:lineRule="exact"/>
        <w:rPr>
          <w:rFonts w:ascii="Arial" w:cs="Arial" w:eastAsia="Arial" w:hAnsi="Arial"/>
          <w:sz w:val="17"/>
          <w:szCs w:val="17"/>
          <w:b w:val="1"/>
          <w:bCs w:val="1"/>
          <w:color w:val="003551"/>
        </w:rPr>
      </w:pPr>
    </w:p>
    <w:p>
      <w:pPr>
        <w:ind w:left="1640" w:right="659"/>
        <w:spacing w:after="0" w:line="262" w:lineRule="auto"/>
        <w:rPr>
          <w:rFonts w:ascii="Arial" w:cs="Arial" w:eastAsia="Arial" w:hAnsi="Arial"/>
          <w:sz w:val="17"/>
          <w:szCs w:val="17"/>
          <w:b w:val="1"/>
          <w:bCs w:val="1"/>
          <w:color w:val="003551"/>
        </w:rPr>
      </w:pPr>
      <w:r>
        <w:rPr>
          <w:rFonts w:ascii="Arial" w:cs="Arial" w:eastAsia="Arial" w:hAnsi="Arial"/>
          <w:sz w:val="17"/>
          <w:szCs w:val="17"/>
          <w:color w:val="003551"/>
        </w:rPr>
        <w:t>Each B class share does not confer on its holder any right to a bonus issue or capitalisation of profits determined by the board to be granted to the holder of any other class of shares in the company.</w:t>
      </w:r>
    </w:p>
    <w:p>
      <w:pPr>
        <w:spacing w:after="0" w:line="52" w:lineRule="exact"/>
        <w:rPr>
          <w:rFonts w:ascii="Arial" w:cs="Arial" w:eastAsia="Arial" w:hAnsi="Arial"/>
          <w:sz w:val="17"/>
          <w:szCs w:val="17"/>
          <w:b w:val="1"/>
          <w:bCs w:val="1"/>
          <w:color w:val="003551"/>
        </w:rPr>
      </w:pPr>
    </w:p>
    <w:p>
      <w:pPr>
        <w:ind w:left="1640" w:hanging="703"/>
        <w:spacing w:after="0"/>
        <w:tabs>
          <w:tab w:leader="none" w:pos="1640" w:val="left"/>
        </w:tabs>
        <w:numPr>
          <w:ilvl w:val="0"/>
          <w:numId w:val="192"/>
        </w:numPr>
        <w:rPr>
          <w:rFonts w:ascii="Arial" w:cs="Arial" w:eastAsia="Arial" w:hAnsi="Arial"/>
          <w:sz w:val="17"/>
          <w:szCs w:val="17"/>
          <w:b w:val="1"/>
          <w:bCs w:val="1"/>
          <w:color w:val="003551"/>
        </w:rPr>
      </w:pPr>
      <w:r>
        <w:rPr>
          <w:rFonts w:ascii="Arial" w:cs="Arial" w:eastAsia="Arial" w:hAnsi="Arial"/>
          <w:sz w:val="17"/>
          <w:szCs w:val="17"/>
          <w:b w:val="1"/>
          <w:bCs w:val="1"/>
          <w:color w:val="003551"/>
        </w:rPr>
        <w:t>Voting rights</w:t>
      </w:r>
    </w:p>
    <w:p>
      <w:pPr>
        <w:spacing w:after="0" w:line="107" w:lineRule="exact"/>
        <w:rPr>
          <w:rFonts w:ascii="Arial" w:cs="Arial" w:eastAsia="Arial" w:hAnsi="Arial"/>
          <w:sz w:val="17"/>
          <w:szCs w:val="17"/>
          <w:b w:val="1"/>
          <w:bCs w:val="1"/>
          <w:color w:val="003551"/>
        </w:rPr>
      </w:pPr>
    </w:p>
    <w:p>
      <w:pPr>
        <w:ind w:left="1640" w:right="399"/>
        <w:spacing w:after="0" w:line="255" w:lineRule="auto"/>
        <w:rPr>
          <w:rFonts w:ascii="Arial" w:cs="Arial" w:eastAsia="Arial" w:hAnsi="Arial"/>
          <w:sz w:val="17"/>
          <w:szCs w:val="17"/>
          <w:b w:val="1"/>
          <w:bCs w:val="1"/>
          <w:color w:val="003551"/>
        </w:rPr>
      </w:pPr>
      <w:r>
        <w:rPr>
          <w:rFonts w:ascii="Arial" w:cs="Arial" w:eastAsia="Arial" w:hAnsi="Arial"/>
          <w:sz w:val="17"/>
          <w:szCs w:val="17"/>
          <w:color w:val="003551"/>
        </w:rPr>
        <w:t>At a general meeting of the company (and at any separate class meeting of the holders of B class shares) and in respect of any members’ resolution and in all other cases where members of the company may exercise voting rights, such holder is entitled to fifteen (15) votes for every fully paid ordinary share held by that holder (or its Affiliates) at the Record Time.</w:t>
      </w:r>
    </w:p>
    <w:p>
      <w:pPr>
        <w:spacing w:after="0" w:line="59" w:lineRule="exact"/>
        <w:rPr>
          <w:rFonts w:ascii="Arial" w:cs="Arial" w:eastAsia="Arial" w:hAnsi="Arial"/>
          <w:sz w:val="17"/>
          <w:szCs w:val="17"/>
          <w:b w:val="1"/>
          <w:bCs w:val="1"/>
          <w:color w:val="003551"/>
        </w:rPr>
      </w:pPr>
    </w:p>
    <w:p>
      <w:pPr>
        <w:ind w:left="1640" w:right="499"/>
        <w:spacing w:after="0" w:line="262" w:lineRule="auto"/>
        <w:rPr>
          <w:rFonts w:ascii="Arial" w:cs="Arial" w:eastAsia="Arial" w:hAnsi="Arial"/>
          <w:sz w:val="17"/>
          <w:szCs w:val="17"/>
          <w:b w:val="1"/>
          <w:bCs w:val="1"/>
          <w:color w:val="003551"/>
        </w:rPr>
      </w:pPr>
      <w:r>
        <w:rPr>
          <w:rFonts w:ascii="Arial" w:cs="Arial" w:eastAsia="Arial" w:hAnsi="Arial"/>
          <w:sz w:val="17"/>
          <w:szCs w:val="17"/>
          <w:color w:val="003551"/>
        </w:rPr>
        <w:t xml:space="preserve">Other than as set out in this </w:t>
      </w:r>
      <w:r>
        <w:rPr>
          <w:rFonts w:ascii="Arial" w:cs="Arial" w:eastAsia="Arial" w:hAnsi="Arial"/>
          <w:sz w:val="17"/>
          <w:szCs w:val="17"/>
          <w:u w:val="single" w:color="auto"/>
          <w:color w:val="003551"/>
        </w:rPr>
        <w:t>Schedule 1,</w:t>
      </w:r>
      <w:r>
        <w:rPr>
          <w:rFonts w:ascii="Arial" w:cs="Arial" w:eastAsia="Arial" w:hAnsi="Arial"/>
          <w:sz w:val="17"/>
          <w:szCs w:val="17"/>
          <w:color w:val="003551"/>
        </w:rPr>
        <w:t xml:space="preserve"> each holder of a B class share will have all of the rights held by holders of ordinary shares in relation to voting by members, including the right to vote </w:t>
      </w:r>
      <w:r>
        <w:rPr>
          <w:rFonts w:ascii="Arial" w:cs="Arial" w:eastAsia="Arial" w:hAnsi="Arial"/>
          <w:sz w:val="17"/>
          <w:szCs w:val="17"/>
          <w:i w:val="1"/>
          <w:iCs w:val="1"/>
          <w:color w:val="003551"/>
        </w:rPr>
        <w:t xml:space="preserve">pari passu </w:t>
      </w:r>
      <w:r>
        <w:rPr>
          <w:rFonts w:ascii="Arial" w:cs="Arial" w:eastAsia="Arial" w:hAnsi="Arial"/>
          <w:sz w:val="17"/>
          <w:szCs w:val="17"/>
          <w:color w:val="003551"/>
        </w:rPr>
        <w:t>with holders of ordinary shares.</w:t>
      </w:r>
    </w:p>
    <w:p>
      <w:pPr>
        <w:spacing w:after="0" w:line="52" w:lineRule="exact"/>
        <w:rPr>
          <w:rFonts w:ascii="Arial" w:cs="Arial" w:eastAsia="Arial" w:hAnsi="Arial"/>
          <w:sz w:val="17"/>
          <w:szCs w:val="17"/>
          <w:b w:val="1"/>
          <w:bCs w:val="1"/>
          <w:color w:val="003551"/>
        </w:rPr>
      </w:pPr>
    </w:p>
    <w:p>
      <w:pPr>
        <w:ind w:left="1640" w:hanging="703"/>
        <w:spacing w:after="0"/>
        <w:tabs>
          <w:tab w:leader="none" w:pos="1640" w:val="left"/>
        </w:tabs>
        <w:numPr>
          <w:ilvl w:val="0"/>
          <w:numId w:val="192"/>
        </w:numPr>
        <w:rPr>
          <w:rFonts w:ascii="Arial" w:cs="Arial" w:eastAsia="Arial" w:hAnsi="Arial"/>
          <w:sz w:val="17"/>
          <w:szCs w:val="17"/>
          <w:b w:val="1"/>
          <w:bCs w:val="1"/>
          <w:color w:val="003551"/>
        </w:rPr>
      </w:pPr>
      <w:r>
        <w:rPr>
          <w:rFonts w:ascii="Arial" w:cs="Arial" w:eastAsia="Arial" w:hAnsi="Arial"/>
          <w:sz w:val="17"/>
          <w:szCs w:val="17"/>
          <w:b w:val="1"/>
          <w:bCs w:val="1"/>
          <w:color w:val="003551"/>
        </w:rPr>
        <w:t>Information</w:t>
      </w:r>
    </w:p>
    <w:p>
      <w:pPr>
        <w:spacing w:after="0" w:line="107" w:lineRule="exact"/>
        <w:rPr>
          <w:rFonts w:ascii="Arial" w:cs="Arial" w:eastAsia="Arial" w:hAnsi="Arial"/>
          <w:sz w:val="17"/>
          <w:szCs w:val="17"/>
          <w:b w:val="1"/>
          <w:bCs w:val="1"/>
          <w:color w:val="003551"/>
        </w:rPr>
      </w:pPr>
    </w:p>
    <w:p>
      <w:pPr>
        <w:jc w:val="both"/>
        <w:ind w:left="1640" w:right="499"/>
        <w:spacing w:after="0" w:line="262" w:lineRule="auto"/>
        <w:rPr>
          <w:rFonts w:ascii="Arial" w:cs="Arial" w:eastAsia="Arial" w:hAnsi="Arial"/>
          <w:sz w:val="17"/>
          <w:szCs w:val="17"/>
          <w:b w:val="1"/>
          <w:bCs w:val="1"/>
          <w:color w:val="003551"/>
        </w:rPr>
      </w:pPr>
      <w:r>
        <w:rPr>
          <w:rFonts w:ascii="Arial" w:cs="Arial" w:eastAsia="Arial" w:hAnsi="Arial"/>
          <w:sz w:val="17"/>
          <w:szCs w:val="17"/>
          <w:color w:val="003551"/>
        </w:rPr>
        <w:t>Each B class share gives its holder the same rights as the holder of an ordinary share to receive notices, reports and accounts and to attend and speak at general meetings of the company and to receive any other document sent by the company to its members.</w:t>
      </w:r>
    </w:p>
    <w:p>
      <w:pPr>
        <w:spacing w:after="0" w:line="52" w:lineRule="exact"/>
        <w:rPr>
          <w:rFonts w:ascii="Arial" w:cs="Arial" w:eastAsia="Arial" w:hAnsi="Arial"/>
          <w:sz w:val="17"/>
          <w:szCs w:val="17"/>
          <w:b w:val="1"/>
          <w:bCs w:val="1"/>
          <w:color w:val="003551"/>
        </w:rPr>
      </w:pPr>
    </w:p>
    <w:p>
      <w:pPr>
        <w:ind w:left="1640" w:hanging="703"/>
        <w:spacing w:after="0"/>
        <w:tabs>
          <w:tab w:leader="none" w:pos="1640" w:val="left"/>
        </w:tabs>
        <w:numPr>
          <w:ilvl w:val="0"/>
          <w:numId w:val="192"/>
        </w:numPr>
        <w:rPr>
          <w:rFonts w:ascii="Arial" w:cs="Arial" w:eastAsia="Arial" w:hAnsi="Arial"/>
          <w:sz w:val="17"/>
          <w:szCs w:val="17"/>
          <w:b w:val="1"/>
          <w:bCs w:val="1"/>
          <w:color w:val="003551"/>
        </w:rPr>
      </w:pPr>
      <w:r>
        <w:rPr>
          <w:rFonts w:ascii="Arial" w:cs="Arial" w:eastAsia="Arial" w:hAnsi="Arial"/>
          <w:sz w:val="17"/>
          <w:szCs w:val="17"/>
          <w:b w:val="1"/>
          <w:bCs w:val="1"/>
          <w:color w:val="003551"/>
        </w:rPr>
        <w:t>Transfer rights</w:t>
      </w:r>
    </w:p>
    <w:p>
      <w:pPr>
        <w:spacing w:after="0" w:line="107" w:lineRule="exact"/>
        <w:rPr>
          <w:rFonts w:ascii="Arial" w:cs="Arial" w:eastAsia="Arial" w:hAnsi="Arial"/>
          <w:sz w:val="17"/>
          <w:szCs w:val="17"/>
          <w:b w:val="1"/>
          <w:bCs w:val="1"/>
          <w:color w:val="003551"/>
        </w:rPr>
      </w:pPr>
    </w:p>
    <w:p>
      <w:pPr>
        <w:ind w:left="1980" w:right="759" w:hanging="344"/>
        <w:spacing w:after="0" w:line="283" w:lineRule="auto"/>
        <w:tabs>
          <w:tab w:leader="none" w:pos="1980" w:val="left"/>
        </w:tabs>
        <w:numPr>
          <w:ilvl w:val="1"/>
          <w:numId w:val="192"/>
        </w:numPr>
        <w:rPr>
          <w:rFonts w:ascii="Arial" w:cs="Arial" w:eastAsia="Arial" w:hAnsi="Arial"/>
          <w:sz w:val="17"/>
          <w:szCs w:val="17"/>
          <w:color w:val="003551"/>
        </w:rPr>
      </w:pPr>
      <w:r>
        <w:rPr>
          <w:rFonts w:ascii="Arial" w:cs="Arial" w:eastAsia="Arial" w:hAnsi="Arial"/>
          <w:sz w:val="17"/>
          <w:szCs w:val="17"/>
          <w:color w:val="003551"/>
        </w:rPr>
        <w:t xml:space="preserve">B class shares are not transferable by the holder (other than to an Affiliate (as defined in </w:t>
      </w:r>
      <w:r>
        <w:rPr>
          <w:rFonts w:ascii="Arial" w:cs="Arial" w:eastAsia="Arial" w:hAnsi="Arial"/>
          <w:sz w:val="17"/>
          <w:szCs w:val="17"/>
          <w:u w:val="single" w:color="auto"/>
          <w:color w:val="003551"/>
        </w:rPr>
        <w:t>paragraph 11</w:t>
      </w:r>
      <w:r>
        <w:rPr>
          <w:rFonts w:ascii="Arial" w:cs="Arial" w:eastAsia="Arial" w:hAnsi="Arial"/>
          <w:sz w:val="17"/>
          <w:szCs w:val="17"/>
          <w:color w:val="003551"/>
        </w:rPr>
        <w:t>) of that holder).</w:t>
      </w:r>
    </w:p>
    <w:p>
      <w:pPr>
        <w:spacing w:after="0" w:line="36" w:lineRule="exact"/>
        <w:rPr>
          <w:rFonts w:ascii="Arial" w:cs="Arial" w:eastAsia="Arial" w:hAnsi="Arial"/>
          <w:sz w:val="17"/>
          <w:szCs w:val="17"/>
          <w:color w:val="003551"/>
        </w:rPr>
      </w:pPr>
    </w:p>
    <w:p>
      <w:pPr>
        <w:ind w:left="1980" w:hanging="344"/>
        <w:spacing w:after="0"/>
        <w:tabs>
          <w:tab w:leader="none" w:pos="1980" w:val="left"/>
        </w:tabs>
        <w:numPr>
          <w:ilvl w:val="1"/>
          <w:numId w:val="192"/>
        </w:numPr>
        <w:rPr>
          <w:rFonts w:ascii="Arial" w:cs="Arial" w:eastAsia="Arial" w:hAnsi="Arial"/>
          <w:sz w:val="17"/>
          <w:szCs w:val="17"/>
          <w:color w:val="003551"/>
        </w:rPr>
      </w:pPr>
      <w:r>
        <w:rPr>
          <w:rFonts w:ascii="Arial" w:cs="Arial" w:eastAsia="Arial" w:hAnsi="Arial"/>
          <w:sz w:val="17"/>
          <w:szCs w:val="17"/>
          <w:color w:val="003551"/>
        </w:rPr>
        <w:t>If any person, trust or corporation to whom a holder of a B class share (or an Affiliate)</w:t>
      </w:r>
    </w:p>
    <w:p>
      <w:pPr>
        <w:spacing w:after="0" w:line="17" w:lineRule="exact"/>
        <w:rPr>
          <w:rFonts w:ascii="Arial" w:cs="Arial" w:eastAsia="Arial" w:hAnsi="Arial"/>
          <w:sz w:val="17"/>
          <w:szCs w:val="17"/>
          <w:color w:val="003551"/>
        </w:rPr>
      </w:pPr>
    </w:p>
    <w:p>
      <w:pPr>
        <w:ind w:left="1980"/>
        <w:spacing w:after="0"/>
        <w:rPr>
          <w:rFonts w:ascii="Arial" w:cs="Arial" w:eastAsia="Arial" w:hAnsi="Arial"/>
          <w:sz w:val="17"/>
          <w:szCs w:val="17"/>
          <w:color w:val="003551"/>
        </w:rPr>
      </w:pPr>
      <w:r>
        <w:rPr>
          <w:rFonts w:ascii="Arial" w:cs="Arial" w:eastAsia="Arial" w:hAnsi="Arial"/>
          <w:sz w:val="17"/>
          <w:szCs w:val="17"/>
          <w:color w:val="003551"/>
        </w:rPr>
        <w:t>(</w:t>
      </w:r>
      <w:r>
        <w:rPr>
          <w:rFonts w:ascii="Arial" w:cs="Arial" w:eastAsia="Arial" w:hAnsi="Arial"/>
          <w:sz w:val="17"/>
          <w:szCs w:val="17"/>
          <w:b w:val="1"/>
          <w:bCs w:val="1"/>
          <w:color w:val="003551"/>
        </w:rPr>
        <w:t>“Original Transferor”</w:t>
      </w:r>
      <w:r>
        <w:rPr>
          <w:rFonts w:ascii="Arial" w:cs="Arial" w:eastAsia="Arial" w:hAnsi="Arial"/>
          <w:sz w:val="17"/>
          <w:szCs w:val="17"/>
          <w:color w:val="003551"/>
        </w:rPr>
        <w:t xml:space="preserve">) has transferred any B class share in accordance with </w:t>
      </w:r>
      <w:r>
        <w:rPr>
          <w:rFonts w:ascii="Arial" w:cs="Arial" w:eastAsia="Arial" w:hAnsi="Arial"/>
          <w:sz w:val="17"/>
          <w:szCs w:val="17"/>
          <w:u w:val="single" w:color="auto"/>
          <w:color w:val="003551"/>
        </w:rPr>
        <w:t>paragraph</w:t>
      </w:r>
    </w:p>
    <w:p>
      <w:pPr>
        <w:spacing w:after="0" w:line="1" w:lineRule="exact"/>
        <w:rPr>
          <w:rFonts w:ascii="Arial" w:cs="Arial" w:eastAsia="Arial" w:hAnsi="Arial"/>
          <w:sz w:val="17"/>
          <w:szCs w:val="17"/>
          <w:color w:val="003551"/>
        </w:rPr>
      </w:pPr>
    </w:p>
    <w:p>
      <w:pPr>
        <w:ind w:left="1980"/>
        <w:spacing w:after="0"/>
        <w:rPr>
          <w:rFonts w:ascii="Arial" w:cs="Arial" w:eastAsia="Arial" w:hAnsi="Arial"/>
          <w:sz w:val="17"/>
          <w:szCs w:val="17"/>
          <w:color w:val="003551"/>
        </w:rPr>
      </w:pPr>
      <w:r>
        <w:rPr>
          <w:rFonts w:ascii="Arial" w:cs="Arial" w:eastAsia="Arial" w:hAnsi="Arial"/>
          <w:sz w:val="17"/>
          <w:szCs w:val="17"/>
          <w:u w:val="single" w:color="auto"/>
          <w:color w:val="003551"/>
        </w:rPr>
        <w:t>7(a)</w:t>
      </w:r>
      <w:r>
        <w:rPr>
          <w:rFonts w:ascii="Arial" w:cs="Arial" w:eastAsia="Arial" w:hAnsi="Arial"/>
          <w:sz w:val="17"/>
          <w:szCs w:val="17"/>
          <w:color w:val="003551"/>
        </w:rPr>
        <w:t xml:space="preserve"> ceases to be an Affiliate of the Original Transferor at any time:</w:t>
      </w:r>
    </w:p>
    <w:p>
      <w:pPr>
        <w:spacing w:after="0" w:line="89" w:lineRule="exact"/>
        <w:rPr>
          <w:rFonts w:ascii="Arial" w:cs="Arial" w:eastAsia="Arial" w:hAnsi="Arial"/>
          <w:sz w:val="17"/>
          <w:szCs w:val="17"/>
          <w:color w:val="003551"/>
        </w:rPr>
      </w:pPr>
    </w:p>
    <w:p>
      <w:pPr>
        <w:ind w:left="2320" w:right="539" w:hanging="335"/>
        <w:spacing w:after="0" w:line="262" w:lineRule="auto"/>
        <w:tabs>
          <w:tab w:leader="none" w:pos="2320" w:val="left"/>
        </w:tabs>
        <w:numPr>
          <w:ilvl w:val="2"/>
          <w:numId w:val="192"/>
        </w:numPr>
        <w:rPr>
          <w:rFonts w:ascii="Arial" w:cs="Arial" w:eastAsia="Arial" w:hAnsi="Arial"/>
          <w:sz w:val="17"/>
          <w:szCs w:val="17"/>
          <w:color w:val="003551"/>
        </w:rPr>
      </w:pPr>
      <w:r>
        <w:rPr>
          <w:rFonts w:ascii="Arial" w:cs="Arial" w:eastAsia="Arial" w:hAnsi="Arial"/>
          <w:sz w:val="17"/>
          <w:szCs w:val="17"/>
          <w:color w:val="003551"/>
        </w:rPr>
        <w:t>that Original Transferor must immediately procure that person, trust or corporation immediately transfers each relevant B class share back to the Original Transferor (who must purchase each relevant B class share); and</w:t>
      </w:r>
    </w:p>
    <w:p>
      <w:pPr>
        <w:spacing w:after="0" w:line="54" w:lineRule="exact"/>
        <w:rPr>
          <w:rFonts w:ascii="Arial" w:cs="Arial" w:eastAsia="Arial" w:hAnsi="Arial"/>
          <w:sz w:val="17"/>
          <w:szCs w:val="17"/>
          <w:color w:val="003551"/>
        </w:rPr>
      </w:pPr>
    </w:p>
    <w:p>
      <w:pPr>
        <w:ind w:left="2320" w:right="459" w:hanging="335"/>
        <w:spacing w:after="0" w:line="283" w:lineRule="auto"/>
        <w:tabs>
          <w:tab w:leader="none" w:pos="2320" w:val="left"/>
        </w:tabs>
        <w:numPr>
          <w:ilvl w:val="2"/>
          <w:numId w:val="192"/>
        </w:numPr>
        <w:rPr>
          <w:rFonts w:ascii="Arial" w:cs="Arial" w:eastAsia="Arial" w:hAnsi="Arial"/>
          <w:sz w:val="17"/>
          <w:szCs w:val="17"/>
          <w:color w:val="003551"/>
        </w:rPr>
      </w:pPr>
      <w:r>
        <w:rPr>
          <w:rFonts w:ascii="Arial" w:cs="Arial" w:eastAsia="Arial" w:hAnsi="Arial"/>
          <w:sz w:val="17"/>
          <w:szCs w:val="17"/>
          <w:color w:val="003551"/>
        </w:rPr>
        <w:t>all rights attaching to each B class share held by that person will be suspended until the transfer back to the Original Transferor has been completed.</w:t>
      </w:r>
    </w:p>
    <w:p>
      <w:pPr>
        <w:spacing w:after="0" w:line="142"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119380</wp:posOffset>
            </wp:positionV>
            <wp:extent cx="6786880" cy="1651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640" w:hanging="703"/>
        <w:spacing w:after="0"/>
        <w:tabs>
          <w:tab w:leader="none" w:pos="1640" w:val="left"/>
        </w:tabs>
        <w:numPr>
          <w:ilvl w:val="0"/>
          <w:numId w:val="193"/>
        </w:numPr>
        <w:rPr>
          <w:rFonts w:ascii="Arial" w:cs="Arial" w:eastAsia="Arial" w:hAnsi="Arial"/>
          <w:sz w:val="17"/>
          <w:szCs w:val="17"/>
          <w:b w:val="1"/>
          <w:bCs w:val="1"/>
          <w:color w:val="003551"/>
        </w:rPr>
      </w:pPr>
      <w:r>
        <w:rPr>
          <w:rFonts w:ascii="Arial" w:cs="Arial" w:eastAsia="Arial" w:hAnsi="Arial"/>
          <w:sz w:val="17"/>
          <w:szCs w:val="17"/>
          <w:b w:val="1"/>
          <w:bCs w:val="1"/>
          <w:color w:val="003551"/>
        </w:rPr>
        <w:t>Redemption by the Company</w:t>
      </w:r>
    </w:p>
    <w:p>
      <w:pPr>
        <w:spacing w:after="0" w:line="107" w:lineRule="exact"/>
        <w:rPr>
          <w:rFonts w:ascii="Arial" w:cs="Arial" w:eastAsia="Arial" w:hAnsi="Arial"/>
          <w:sz w:val="17"/>
          <w:szCs w:val="17"/>
          <w:b w:val="1"/>
          <w:bCs w:val="1"/>
          <w:color w:val="003551"/>
        </w:rPr>
      </w:pPr>
    </w:p>
    <w:p>
      <w:pPr>
        <w:ind w:left="1640" w:right="819"/>
        <w:spacing w:after="0" w:line="283" w:lineRule="auto"/>
        <w:rPr>
          <w:rFonts w:ascii="Arial" w:cs="Arial" w:eastAsia="Arial" w:hAnsi="Arial"/>
          <w:sz w:val="17"/>
          <w:szCs w:val="17"/>
          <w:b w:val="1"/>
          <w:bCs w:val="1"/>
          <w:color w:val="003551"/>
        </w:rPr>
      </w:pPr>
      <w:r>
        <w:rPr>
          <w:rFonts w:ascii="Arial" w:cs="Arial" w:eastAsia="Arial" w:hAnsi="Arial"/>
          <w:sz w:val="17"/>
          <w:szCs w:val="17"/>
          <w:color w:val="003551"/>
        </w:rPr>
        <w:t>Each B class share held by a holder will be redeemed by the company for $1.00 per B class share upon the earliest to occur of the following circumstances:</w:t>
      </w:r>
    </w:p>
    <w:p>
      <w:pPr>
        <w:spacing w:after="0" w:line="36" w:lineRule="exact"/>
        <w:rPr>
          <w:rFonts w:ascii="Arial" w:cs="Arial" w:eastAsia="Arial" w:hAnsi="Arial"/>
          <w:sz w:val="17"/>
          <w:szCs w:val="17"/>
          <w:b w:val="1"/>
          <w:bCs w:val="1"/>
          <w:color w:val="003551"/>
        </w:rPr>
      </w:pPr>
    </w:p>
    <w:p>
      <w:pPr>
        <w:ind w:left="1980" w:right="579" w:hanging="344"/>
        <w:spacing w:after="0" w:line="283" w:lineRule="auto"/>
        <w:tabs>
          <w:tab w:leader="none" w:pos="1980" w:val="left"/>
        </w:tabs>
        <w:numPr>
          <w:ilvl w:val="1"/>
          <w:numId w:val="193"/>
        </w:numPr>
        <w:rPr>
          <w:rFonts w:ascii="Arial" w:cs="Arial" w:eastAsia="Arial" w:hAnsi="Arial"/>
          <w:sz w:val="17"/>
          <w:szCs w:val="17"/>
          <w:color w:val="003551"/>
        </w:rPr>
      </w:pPr>
      <w:r>
        <w:rPr>
          <w:rFonts w:ascii="Arial" w:cs="Arial" w:eastAsia="Arial" w:hAnsi="Arial"/>
          <w:sz w:val="17"/>
          <w:szCs w:val="17"/>
          <w:color w:val="003551"/>
        </w:rPr>
        <w:t xml:space="preserve">that holder (or its Affiliate or Founder in respect of such holder) ceases to be a director due to voluntary retirement in accordance with </w:t>
      </w:r>
      <w:r>
        <w:rPr>
          <w:rFonts w:ascii="Arial" w:cs="Arial" w:eastAsia="Arial" w:hAnsi="Arial"/>
          <w:sz w:val="17"/>
          <w:szCs w:val="17"/>
          <w:u w:val="single" w:color="auto"/>
          <w:color w:val="003551"/>
        </w:rPr>
        <w:t>rule</w:t>
      </w:r>
      <w:r>
        <w:rPr>
          <w:rFonts w:ascii="Arial" w:cs="Arial" w:eastAsia="Arial" w:hAnsi="Arial"/>
          <w:sz w:val="17"/>
          <w:szCs w:val="17"/>
          <w:color w:val="003551"/>
        </w:rPr>
        <w:t xml:space="preserve"> </w:t>
      </w:r>
      <w:r>
        <w:rPr>
          <w:rFonts w:ascii="Arial" w:cs="Arial" w:eastAsia="Arial" w:hAnsi="Arial"/>
          <w:sz w:val="17"/>
          <w:szCs w:val="17"/>
          <w:color w:val="FF0000"/>
        </w:rPr>
        <w:t>4</w:t>
      </w:r>
      <w:r>
        <w:rPr>
          <w:rFonts w:ascii="Arial" w:cs="Arial" w:eastAsia="Arial" w:hAnsi="Arial"/>
          <w:sz w:val="17"/>
          <w:szCs w:val="17"/>
          <w:color w:val="003551"/>
        </w:rPr>
        <w:t>‎</w:t>
      </w:r>
      <w:r>
        <w:rPr>
          <w:rFonts w:ascii="Arial" w:cs="Arial" w:eastAsia="Arial" w:hAnsi="Arial"/>
          <w:sz w:val="17"/>
          <w:szCs w:val="17"/>
          <w:color w:val="FF0000"/>
        </w:rPr>
        <w:t>.5</w:t>
      </w:r>
      <w:r>
        <w:rPr>
          <w:rFonts w:ascii="Arial" w:cs="Arial" w:eastAsia="Arial" w:hAnsi="Arial"/>
          <w:sz w:val="17"/>
          <w:szCs w:val="17"/>
          <w:u w:val="single" w:color="auto"/>
          <w:color w:val="0000FF"/>
        </w:rPr>
        <w:t>4.6</w:t>
      </w:r>
      <w:r>
        <w:rPr>
          <w:rFonts w:ascii="Arial" w:cs="Arial" w:eastAsia="Arial" w:hAnsi="Arial"/>
          <w:sz w:val="17"/>
          <w:szCs w:val="17"/>
          <w:color w:val="000000"/>
        </w:rPr>
        <w:t>(a) of this constitution;</w:t>
      </w:r>
    </w:p>
    <w:p>
      <w:pPr>
        <w:spacing w:after="0" w:line="36" w:lineRule="exact"/>
        <w:rPr>
          <w:rFonts w:ascii="Arial" w:cs="Arial" w:eastAsia="Arial" w:hAnsi="Arial"/>
          <w:sz w:val="17"/>
          <w:szCs w:val="17"/>
          <w:color w:val="003551"/>
        </w:rPr>
      </w:pPr>
    </w:p>
    <w:p>
      <w:pPr>
        <w:ind w:left="1980" w:right="399" w:hanging="344"/>
        <w:spacing w:after="0" w:line="283" w:lineRule="auto"/>
        <w:tabs>
          <w:tab w:leader="none" w:pos="1980" w:val="left"/>
        </w:tabs>
        <w:numPr>
          <w:ilvl w:val="1"/>
          <w:numId w:val="193"/>
        </w:numPr>
        <w:rPr>
          <w:rFonts w:ascii="Arial" w:cs="Arial" w:eastAsia="Arial" w:hAnsi="Arial"/>
          <w:sz w:val="17"/>
          <w:szCs w:val="17"/>
          <w:color w:val="003551"/>
        </w:rPr>
      </w:pPr>
      <w:r>
        <w:rPr>
          <w:rFonts w:ascii="Arial" w:cs="Arial" w:eastAsia="Arial" w:hAnsi="Arial"/>
          <w:sz w:val="17"/>
          <w:szCs w:val="17"/>
          <w:color w:val="003551"/>
        </w:rPr>
        <w:t xml:space="preserve">the transfer of any B class share by that holder (or an Affiliate) to another person in breach of </w:t>
      </w:r>
      <w:r>
        <w:rPr>
          <w:rFonts w:ascii="Arial" w:cs="Arial" w:eastAsia="Arial" w:hAnsi="Arial"/>
          <w:sz w:val="17"/>
          <w:szCs w:val="17"/>
          <w:u w:val="single" w:color="auto"/>
          <w:color w:val="003551"/>
        </w:rPr>
        <w:t>paragraph 7</w:t>
      </w:r>
      <w:r>
        <w:rPr>
          <w:rFonts w:ascii="Arial" w:cs="Arial" w:eastAsia="Arial" w:hAnsi="Arial"/>
          <w:sz w:val="17"/>
          <w:szCs w:val="17"/>
          <w:color w:val="003551"/>
        </w:rPr>
        <w:t xml:space="preserve"> (which is unremedied within 20 Business Days);</w:t>
      </w:r>
    </w:p>
    <w:p>
      <w:pPr>
        <w:spacing w:after="0" w:line="36" w:lineRule="exact"/>
        <w:rPr>
          <w:rFonts w:ascii="Arial" w:cs="Arial" w:eastAsia="Arial" w:hAnsi="Arial"/>
          <w:sz w:val="17"/>
          <w:szCs w:val="17"/>
          <w:color w:val="003551"/>
        </w:rPr>
      </w:pPr>
    </w:p>
    <w:p>
      <w:pPr>
        <w:ind w:left="1980" w:hanging="344"/>
        <w:spacing w:after="0"/>
        <w:tabs>
          <w:tab w:leader="none" w:pos="1980" w:val="left"/>
        </w:tabs>
        <w:numPr>
          <w:ilvl w:val="1"/>
          <w:numId w:val="193"/>
        </w:numPr>
        <w:rPr>
          <w:rFonts w:ascii="Arial" w:cs="Arial" w:eastAsia="Arial" w:hAnsi="Arial"/>
          <w:sz w:val="17"/>
          <w:szCs w:val="17"/>
          <w:color w:val="003551"/>
        </w:rPr>
      </w:pPr>
      <w:r>
        <w:rPr>
          <w:rFonts w:ascii="Arial" w:cs="Arial" w:eastAsia="Arial" w:hAnsi="Arial"/>
          <w:sz w:val="17"/>
          <w:szCs w:val="17"/>
          <w:color w:val="003551"/>
        </w:rPr>
        <w:t>the liquidation or winding up of the company; or</w:t>
      </w:r>
    </w:p>
    <w:p>
      <w:pPr>
        <w:spacing w:after="0" w:line="105" w:lineRule="exact"/>
        <w:rPr>
          <w:rFonts w:ascii="Arial" w:cs="Arial" w:eastAsia="Arial" w:hAnsi="Arial"/>
          <w:sz w:val="17"/>
          <w:szCs w:val="17"/>
          <w:color w:val="003551"/>
        </w:rPr>
      </w:pPr>
    </w:p>
    <w:p>
      <w:pPr>
        <w:ind w:left="1980" w:right="559" w:hanging="344"/>
        <w:spacing w:after="0" w:line="283" w:lineRule="auto"/>
        <w:tabs>
          <w:tab w:leader="none" w:pos="1980" w:val="left"/>
        </w:tabs>
        <w:numPr>
          <w:ilvl w:val="1"/>
          <w:numId w:val="193"/>
        </w:numPr>
        <w:rPr>
          <w:rFonts w:ascii="Arial" w:cs="Arial" w:eastAsia="Arial" w:hAnsi="Arial"/>
          <w:sz w:val="17"/>
          <w:szCs w:val="17"/>
          <w:color w:val="003551"/>
        </w:rPr>
      </w:pPr>
      <w:r>
        <w:rPr>
          <w:rFonts w:ascii="Arial" w:cs="Arial" w:eastAsia="Arial" w:hAnsi="Arial"/>
          <w:sz w:val="17"/>
          <w:szCs w:val="17"/>
          <w:color w:val="003551"/>
        </w:rPr>
        <w:t>the date which is 12 years after the date upon which the company becomes first listed on a recognised stock exchange.</w:t>
      </w:r>
    </w:p>
    <w:p>
      <w:pPr>
        <w:spacing w:after="0" w:line="34" w:lineRule="exact"/>
        <w:rPr>
          <w:rFonts w:ascii="Arial" w:cs="Arial" w:eastAsia="Arial" w:hAnsi="Arial"/>
          <w:sz w:val="17"/>
          <w:szCs w:val="17"/>
          <w:color w:val="003551"/>
        </w:rPr>
      </w:pPr>
    </w:p>
    <w:p>
      <w:pPr>
        <w:ind w:left="1640" w:hanging="703"/>
        <w:spacing w:after="0"/>
        <w:tabs>
          <w:tab w:leader="none" w:pos="1640" w:val="left"/>
        </w:tabs>
        <w:numPr>
          <w:ilvl w:val="0"/>
          <w:numId w:val="193"/>
        </w:numPr>
        <w:rPr>
          <w:rFonts w:ascii="Arial" w:cs="Arial" w:eastAsia="Arial" w:hAnsi="Arial"/>
          <w:sz w:val="17"/>
          <w:szCs w:val="17"/>
          <w:b w:val="1"/>
          <w:bCs w:val="1"/>
          <w:color w:val="003551"/>
        </w:rPr>
      </w:pPr>
      <w:r>
        <w:rPr>
          <w:rFonts w:ascii="Arial" w:cs="Arial" w:eastAsia="Arial" w:hAnsi="Arial"/>
          <w:sz w:val="17"/>
          <w:szCs w:val="17"/>
          <w:b w:val="1"/>
          <w:bCs w:val="1"/>
          <w:color w:val="003551"/>
        </w:rPr>
        <w:t>Executive director nomination right</w:t>
      </w:r>
    </w:p>
    <w:p>
      <w:pPr>
        <w:spacing w:after="0" w:line="107" w:lineRule="exact"/>
        <w:rPr>
          <w:rFonts w:ascii="Arial" w:cs="Arial" w:eastAsia="Arial" w:hAnsi="Arial"/>
          <w:sz w:val="17"/>
          <w:szCs w:val="17"/>
          <w:b w:val="1"/>
          <w:bCs w:val="1"/>
          <w:color w:val="003551"/>
        </w:rPr>
      </w:pPr>
    </w:p>
    <w:p>
      <w:pPr>
        <w:ind w:left="1980" w:right="399" w:hanging="344"/>
        <w:spacing w:after="0" w:line="248" w:lineRule="auto"/>
        <w:tabs>
          <w:tab w:leader="none" w:pos="1980" w:val="left"/>
        </w:tabs>
        <w:numPr>
          <w:ilvl w:val="1"/>
          <w:numId w:val="193"/>
        </w:numPr>
        <w:rPr>
          <w:rFonts w:ascii="Arial" w:cs="Arial" w:eastAsia="Arial" w:hAnsi="Arial"/>
          <w:sz w:val="17"/>
          <w:szCs w:val="17"/>
          <w:color w:val="003551"/>
        </w:rPr>
      </w:pPr>
      <w:r>
        <w:rPr>
          <w:rFonts w:ascii="Arial" w:cs="Arial" w:eastAsia="Arial" w:hAnsi="Arial"/>
          <w:sz w:val="17"/>
          <w:szCs w:val="17"/>
          <w:color w:val="003551"/>
        </w:rPr>
        <w:t>Each Founder Holder (or its Affiliate) who holds a B class share shall be entitled to designate a nominee for election to the board (</w:t>
      </w:r>
      <w:r>
        <w:rPr>
          <w:rFonts w:ascii="Arial" w:cs="Arial" w:eastAsia="Arial" w:hAnsi="Arial"/>
          <w:sz w:val="17"/>
          <w:szCs w:val="17"/>
          <w:b w:val="1"/>
          <w:bCs w:val="1"/>
          <w:color w:val="003551"/>
        </w:rPr>
        <w:t>“Founder Director”</w:t>
      </w:r>
      <w:r>
        <w:rPr>
          <w:rFonts w:ascii="Arial" w:cs="Arial" w:eastAsia="Arial" w:hAnsi="Arial"/>
          <w:sz w:val="17"/>
          <w:szCs w:val="17"/>
          <w:color w:val="003551"/>
        </w:rPr>
        <w:t>), and the company shall include such designees as nominees for election to the board at all applicable general meetings at which directors are to be elected. The Founder Director shall also be entitled to remain in an executive office of the company, subject to the terms of any employment or service contract between the relevant Founder Director and the company (or a related body corporate of the company).</w:t>
      </w:r>
    </w:p>
    <w:p>
      <w:pPr>
        <w:spacing w:after="0" w:line="66" w:lineRule="exact"/>
        <w:rPr>
          <w:rFonts w:ascii="Arial" w:cs="Arial" w:eastAsia="Arial" w:hAnsi="Arial"/>
          <w:sz w:val="17"/>
          <w:szCs w:val="17"/>
          <w:color w:val="003551"/>
        </w:rPr>
      </w:pPr>
    </w:p>
    <w:p>
      <w:pPr>
        <w:ind w:left="1980" w:right="879" w:hanging="344"/>
        <w:spacing w:after="0" w:line="262" w:lineRule="auto"/>
        <w:tabs>
          <w:tab w:leader="none" w:pos="1980" w:val="left"/>
        </w:tabs>
        <w:numPr>
          <w:ilvl w:val="1"/>
          <w:numId w:val="193"/>
        </w:numPr>
        <w:rPr>
          <w:rFonts w:ascii="Arial" w:cs="Arial" w:eastAsia="Arial" w:hAnsi="Arial"/>
          <w:sz w:val="17"/>
          <w:szCs w:val="17"/>
          <w:color w:val="003551"/>
        </w:rPr>
      </w:pPr>
      <w:r>
        <w:rPr>
          <w:rFonts w:ascii="Arial" w:cs="Arial" w:eastAsia="Arial" w:hAnsi="Arial"/>
          <w:sz w:val="17"/>
          <w:szCs w:val="17"/>
          <w:color w:val="003551"/>
        </w:rPr>
        <w:t>A Founder Director will automatically cease to be a director, and must be immediately removed as a director, if that Founder Director is removed as a director where required under the Corporations Act or this constitution.</w:t>
      </w:r>
    </w:p>
    <w:p>
      <w:pPr>
        <w:spacing w:after="0" w:line="52" w:lineRule="exact"/>
        <w:rPr>
          <w:rFonts w:ascii="Arial" w:cs="Arial" w:eastAsia="Arial" w:hAnsi="Arial"/>
          <w:sz w:val="17"/>
          <w:szCs w:val="17"/>
          <w:color w:val="003551"/>
        </w:rPr>
      </w:pPr>
    </w:p>
    <w:p>
      <w:pPr>
        <w:ind w:left="1640" w:hanging="703"/>
        <w:spacing w:after="0"/>
        <w:tabs>
          <w:tab w:leader="none" w:pos="1640" w:val="left"/>
        </w:tabs>
        <w:numPr>
          <w:ilvl w:val="0"/>
          <w:numId w:val="193"/>
        </w:numPr>
        <w:rPr>
          <w:rFonts w:ascii="Arial" w:cs="Arial" w:eastAsia="Arial" w:hAnsi="Arial"/>
          <w:sz w:val="17"/>
          <w:szCs w:val="17"/>
          <w:b w:val="1"/>
          <w:bCs w:val="1"/>
          <w:color w:val="003551"/>
        </w:rPr>
      </w:pPr>
      <w:r>
        <w:rPr>
          <w:rFonts w:ascii="Arial" w:cs="Arial" w:eastAsia="Arial" w:hAnsi="Arial"/>
          <w:sz w:val="17"/>
          <w:szCs w:val="17"/>
          <w:b w:val="1"/>
          <w:bCs w:val="1"/>
          <w:color w:val="003551"/>
        </w:rPr>
        <w:t>Other rights and restrictions</w:t>
      </w:r>
    </w:p>
    <w:p>
      <w:pPr>
        <w:spacing w:after="0" w:line="107" w:lineRule="exact"/>
        <w:rPr>
          <w:rFonts w:ascii="Arial" w:cs="Arial" w:eastAsia="Arial" w:hAnsi="Arial"/>
          <w:sz w:val="17"/>
          <w:szCs w:val="17"/>
          <w:b w:val="1"/>
          <w:bCs w:val="1"/>
          <w:color w:val="003551"/>
        </w:rPr>
      </w:pPr>
    </w:p>
    <w:p>
      <w:pPr>
        <w:ind w:left="1640" w:right="719"/>
        <w:spacing w:after="0" w:line="283" w:lineRule="auto"/>
        <w:rPr>
          <w:rFonts w:ascii="Arial" w:cs="Arial" w:eastAsia="Arial" w:hAnsi="Arial"/>
          <w:sz w:val="17"/>
          <w:szCs w:val="17"/>
          <w:b w:val="1"/>
          <w:bCs w:val="1"/>
          <w:color w:val="003551"/>
        </w:rPr>
      </w:pPr>
      <w:r>
        <w:rPr>
          <w:rFonts w:ascii="Arial" w:cs="Arial" w:eastAsia="Arial" w:hAnsi="Arial"/>
          <w:sz w:val="17"/>
          <w:szCs w:val="17"/>
          <w:color w:val="003551"/>
        </w:rPr>
        <w:t xml:space="preserve">Other than as set out in this </w:t>
      </w:r>
      <w:r>
        <w:rPr>
          <w:rFonts w:ascii="Arial" w:cs="Arial" w:eastAsia="Arial" w:hAnsi="Arial"/>
          <w:sz w:val="17"/>
          <w:szCs w:val="17"/>
          <w:u w:val="single" w:color="auto"/>
          <w:color w:val="003551"/>
        </w:rPr>
        <w:t>Schedule 1</w:t>
      </w:r>
      <w:r>
        <w:rPr>
          <w:rFonts w:ascii="Arial" w:cs="Arial" w:eastAsia="Arial" w:hAnsi="Arial"/>
          <w:sz w:val="17"/>
          <w:szCs w:val="17"/>
          <w:color w:val="003551"/>
        </w:rPr>
        <w:t xml:space="preserve"> or as expressed in this constitution in relation to a B class share, each B class share carries the same rights and restrictions as an ordinary share.</w:t>
      </w:r>
    </w:p>
    <w:p>
      <w:pPr>
        <w:spacing w:after="0" w:line="34" w:lineRule="exact"/>
        <w:rPr>
          <w:rFonts w:ascii="Arial" w:cs="Arial" w:eastAsia="Arial" w:hAnsi="Arial"/>
          <w:sz w:val="17"/>
          <w:szCs w:val="17"/>
          <w:b w:val="1"/>
          <w:bCs w:val="1"/>
          <w:color w:val="003551"/>
        </w:rPr>
      </w:pPr>
    </w:p>
    <w:p>
      <w:pPr>
        <w:ind w:left="1640" w:hanging="703"/>
        <w:spacing w:after="0"/>
        <w:tabs>
          <w:tab w:leader="none" w:pos="1640" w:val="left"/>
        </w:tabs>
        <w:numPr>
          <w:ilvl w:val="0"/>
          <w:numId w:val="193"/>
        </w:numPr>
        <w:rPr>
          <w:rFonts w:ascii="Arial" w:cs="Arial" w:eastAsia="Arial" w:hAnsi="Arial"/>
          <w:sz w:val="17"/>
          <w:szCs w:val="17"/>
          <w:b w:val="1"/>
          <w:bCs w:val="1"/>
          <w:color w:val="003551"/>
        </w:rPr>
      </w:pPr>
      <w:r>
        <w:rPr>
          <w:rFonts w:ascii="Arial" w:cs="Arial" w:eastAsia="Arial" w:hAnsi="Arial"/>
          <w:sz w:val="17"/>
          <w:szCs w:val="17"/>
          <w:b w:val="1"/>
          <w:bCs w:val="1"/>
          <w:color w:val="003551"/>
        </w:rPr>
        <w:t>Definitions</w:t>
      </w:r>
    </w:p>
    <w:p>
      <w:pPr>
        <w:spacing w:after="0" w:line="133" w:lineRule="exact"/>
        <w:rPr>
          <w:rFonts w:ascii="Arial" w:cs="Arial" w:eastAsia="Arial" w:hAnsi="Arial"/>
          <w:sz w:val="17"/>
          <w:szCs w:val="17"/>
          <w:b w:val="1"/>
          <w:bCs w:val="1"/>
          <w:color w:val="003551"/>
        </w:rPr>
      </w:pPr>
    </w:p>
    <w:p>
      <w:pPr>
        <w:ind w:left="1640"/>
        <w:spacing w:after="0"/>
        <w:rPr>
          <w:rFonts w:ascii="Arial" w:cs="Arial" w:eastAsia="Arial" w:hAnsi="Arial"/>
          <w:sz w:val="17"/>
          <w:szCs w:val="17"/>
          <w:b w:val="1"/>
          <w:bCs w:val="1"/>
          <w:color w:val="003551"/>
        </w:rPr>
      </w:pPr>
      <w:r>
        <w:rPr>
          <w:rFonts w:ascii="Arial" w:cs="Arial" w:eastAsia="Arial" w:hAnsi="Arial"/>
          <w:sz w:val="17"/>
          <w:szCs w:val="17"/>
          <w:color w:val="003551"/>
        </w:rPr>
        <w:t xml:space="preserve">For the purposes of this </w:t>
      </w:r>
      <w:r>
        <w:rPr>
          <w:rFonts w:ascii="Arial" w:cs="Arial" w:eastAsia="Arial" w:hAnsi="Arial"/>
          <w:sz w:val="17"/>
          <w:szCs w:val="17"/>
          <w:u w:val="single" w:color="auto"/>
          <w:color w:val="003551"/>
        </w:rPr>
        <w:t>Schedule 1:</w:t>
      </w:r>
    </w:p>
    <w:p>
      <w:pPr>
        <w:spacing w:after="0" w:line="103" w:lineRule="exact"/>
        <w:rPr>
          <w:rFonts w:ascii="Arial" w:cs="Arial" w:eastAsia="Arial" w:hAnsi="Arial"/>
          <w:sz w:val="17"/>
          <w:szCs w:val="17"/>
          <w:b w:val="1"/>
          <w:bCs w:val="1"/>
          <w:color w:val="003551"/>
        </w:rPr>
      </w:pPr>
    </w:p>
    <w:p>
      <w:pPr>
        <w:ind w:left="2320" w:hanging="335"/>
        <w:spacing w:after="0"/>
        <w:tabs>
          <w:tab w:leader="none" w:pos="2320" w:val="left"/>
        </w:tabs>
        <w:numPr>
          <w:ilvl w:val="2"/>
          <w:numId w:val="193"/>
        </w:numPr>
        <w:rPr>
          <w:rFonts w:ascii="Arial" w:cs="Arial" w:eastAsia="Arial" w:hAnsi="Arial"/>
          <w:sz w:val="17"/>
          <w:szCs w:val="17"/>
          <w:color w:val="003551"/>
        </w:rPr>
      </w:pPr>
      <w:r>
        <w:rPr>
          <w:rFonts w:ascii="Arial" w:cs="Arial" w:eastAsia="Arial" w:hAnsi="Arial"/>
          <w:sz w:val="17"/>
          <w:szCs w:val="17"/>
          <w:b w:val="1"/>
          <w:bCs w:val="1"/>
          <w:color w:val="003551"/>
        </w:rPr>
        <w:t xml:space="preserve">“Affiliate” </w:t>
      </w:r>
      <w:r>
        <w:rPr>
          <w:rFonts w:ascii="Arial" w:cs="Arial" w:eastAsia="Arial" w:hAnsi="Arial"/>
          <w:sz w:val="17"/>
          <w:szCs w:val="17"/>
          <w:color w:val="003551"/>
        </w:rPr>
        <w:t>means, in relation to a holder:</w:t>
      </w:r>
    </w:p>
    <w:p>
      <w:pPr>
        <w:spacing w:after="0" w:line="107" w:lineRule="exact"/>
        <w:rPr>
          <w:rFonts w:ascii="Arial" w:cs="Arial" w:eastAsia="Arial" w:hAnsi="Arial"/>
          <w:sz w:val="17"/>
          <w:szCs w:val="17"/>
          <w:color w:val="003551"/>
        </w:rPr>
      </w:pPr>
    </w:p>
    <w:p>
      <w:pPr>
        <w:ind w:left="2680" w:hanging="346"/>
        <w:spacing w:after="0"/>
        <w:tabs>
          <w:tab w:leader="none" w:pos="2680" w:val="left"/>
        </w:tabs>
        <w:numPr>
          <w:ilvl w:val="3"/>
          <w:numId w:val="193"/>
        </w:numPr>
        <w:rPr>
          <w:rFonts w:ascii="Arial" w:cs="Arial" w:eastAsia="Arial" w:hAnsi="Arial"/>
          <w:sz w:val="17"/>
          <w:szCs w:val="17"/>
          <w:color w:val="003551"/>
        </w:rPr>
      </w:pPr>
      <w:r>
        <w:rPr>
          <w:rFonts w:ascii="Arial" w:cs="Arial" w:eastAsia="Arial" w:hAnsi="Arial"/>
          <w:sz w:val="17"/>
          <w:szCs w:val="17"/>
          <w:color w:val="003551"/>
        </w:rPr>
        <w:t>a person that Controls or is Controlled by that holder;</w:t>
      </w:r>
    </w:p>
    <w:p>
      <w:pPr>
        <w:spacing w:after="0" w:line="105" w:lineRule="exact"/>
        <w:rPr>
          <w:rFonts w:ascii="Arial" w:cs="Arial" w:eastAsia="Arial" w:hAnsi="Arial"/>
          <w:sz w:val="17"/>
          <w:szCs w:val="17"/>
          <w:color w:val="003551"/>
        </w:rPr>
      </w:pPr>
    </w:p>
    <w:p>
      <w:pPr>
        <w:ind w:left="2680" w:hanging="346"/>
        <w:spacing w:after="0"/>
        <w:tabs>
          <w:tab w:leader="none" w:pos="2680" w:val="left"/>
        </w:tabs>
        <w:numPr>
          <w:ilvl w:val="3"/>
          <w:numId w:val="193"/>
        </w:numPr>
        <w:rPr>
          <w:rFonts w:ascii="Arial" w:cs="Arial" w:eastAsia="Arial" w:hAnsi="Arial"/>
          <w:sz w:val="17"/>
          <w:szCs w:val="17"/>
          <w:color w:val="003551"/>
        </w:rPr>
      </w:pPr>
      <w:r>
        <w:rPr>
          <w:rFonts w:ascii="Arial" w:cs="Arial" w:eastAsia="Arial" w:hAnsi="Arial"/>
          <w:sz w:val="17"/>
          <w:szCs w:val="17"/>
          <w:color w:val="003551"/>
        </w:rPr>
        <w:t>a related body corporate of that holder; or</w:t>
      </w:r>
    </w:p>
    <w:p>
      <w:pPr>
        <w:spacing w:after="0" w:line="105" w:lineRule="exact"/>
        <w:rPr>
          <w:rFonts w:ascii="Arial" w:cs="Arial" w:eastAsia="Arial" w:hAnsi="Arial"/>
          <w:sz w:val="17"/>
          <w:szCs w:val="17"/>
          <w:color w:val="003551"/>
        </w:rPr>
      </w:pPr>
    </w:p>
    <w:p>
      <w:pPr>
        <w:ind w:left="2680" w:right="759" w:hanging="346"/>
        <w:spacing w:after="0" w:line="283" w:lineRule="auto"/>
        <w:tabs>
          <w:tab w:leader="none" w:pos="2680" w:val="left"/>
        </w:tabs>
        <w:numPr>
          <w:ilvl w:val="3"/>
          <w:numId w:val="193"/>
        </w:numPr>
        <w:rPr>
          <w:rFonts w:ascii="Arial" w:cs="Arial" w:eastAsia="Arial" w:hAnsi="Arial"/>
          <w:sz w:val="17"/>
          <w:szCs w:val="17"/>
          <w:color w:val="003551"/>
        </w:rPr>
      </w:pPr>
      <w:r>
        <w:rPr>
          <w:rFonts w:ascii="Arial" w:cs="Arial" w:eastAsia="Arial" w:hAnsi="Arial"/>
          <w:sz w:val="17"/>
          <w:szCs w:val="17"/>
          <w:color w:val="003551"/>
        </w:rPr>
        <w:t>a trust of which the trustee is the same person that Controls that holder or is an entity which is Controlled by that holder;</w:t>
      </w:r>
    </w:p>
    <w:p>
      <w:pPr>
        <w:spacing w:after="0" w:line="34" w:lineRule="exact"/>
        <w:rPr>
          <w:rFonts w:ascii="Arial" w:cs="Arial" w:eastAsia="Arial" w:hAnsi="Arial"/>
          <w:sz w:val="17"/>
          <w:szCs w:val="17"/>
          <w:color w:val="003551"/>
        </w:rPr>
      </w:pPr>
    </w:p>
    <w:p>
      <w:pPr>
        <w:ind w:left="2320" w:right="379" w:hanging="335"/>
        <w:spacing w:after="0" w:line="256" w:lineRule="auto"/>
        <w:tabs>
          <w:tab w:leader="none" w:pos="2320" w:val="left"/>
        </w:tabs>
        <w:numPr>
          <w:ilvl w:val="2"/>
          <w:numId w:val="193"/>
        </w:numPr>
        <w:rPr>
          <w:rFonts w:ascii="Arial" w:cs="Arial" w:eastAsia="Arial" w:hAnsi="Arial"/>
          <w:sz w:val="17"/>
          <w:szCs w:val="17"/>
          <w:color w:val="003551"/>
        </w:rPr>
      </w:pPr>
      <w:r>
        <w:rPr>
          <w:rFonts w:ascii="Arial" w:cs="Arial" w:eastAsia="Arial" w:hAnsi="Arial"/>
          <w:sz w:val="17"/>
          <w:szCs w:val="17"/>
          <w:b w:val="1"/>
          <w:bCs w:val="1"/>
          <w:color w:val="003551"/>
        </w:rPr>
        <w:t xml:space="preserve">“Control” </w:t>
      </w:r>
      <w:r>
        <w:rPr>
          <w:rFonts w:ascii="Arial" w:cs="Arial" w:eastAsia="Arial" w:hAnsi="Arial"/>
          <w:sz w:val="17"/>
          <w:szCs w:val="17"/>
          <w:color w:val="003551"/>
        </w:rPr>
        <w:t>means the possession, directly or indirectly, of the power to direct the</w:t>
      </w:r>
      <w:r>
        <w:rPr>
          <w:rFonts w:ascii="Arial" w:cs="Arial" w:eastAsia="Arial" w:hAnsi="Arial"/>
          <w:sz w:val="17"/>
          <w:szCs w:val="17"/>
          <w:b w:val="1"/>
          <w:bCs w:val="1"/>
          <w:color w:val="003551"/>
        </w:rPr>
        <w:t xml:space="preserve"> </w:t>
      </w:r>
      <w:r>
        <w:rPr>
          <w:rFonts w:ascii="Arial" w:cs="Arial" w:eastAsia="Arial" w:hAnsi="Arial"/>
          <w:sz w:val="17"/>
          <w:szCs w:val="17"/>
          <w:color w:val="003551"/>
        </w:rPr>
        <w:t>management, decision-making or policies of a person (whether through the ownership of voting securities, directorship positions, contract or otherwise), including within the meaning provided in section 50AA of the Corporations Act;</w:t>
      </w:r>
    </w:p>
    <w:p>
      <w:pPr>
        <w:spacing w:after="0" w:line="56" w:lineRule="exact"/>
        <w:rPr>
          <w:rFonts w:ascii="Arial" w:cs="Arial" w:eastAsia="Arial" w:hAnsi="Arial"/>
          <w:sz w:val="17"/>
          <w:szCs w:val="17"/>
          <w:color w:val="003551"/>
        </w:rPr>
      </w:pPr>
    </w:p>
    <w:p>
      <w:pPr>
        <w:ind w:left="2320" w:hanging="335"/>
        <w:spacing w:after="0"/>
        <w:tabs>
          <w:tab w:leader="none" w:pos="2320" w:val="left"/>
        </w:tabs>
        <w:numPr>
          <w:ilvl w:val="2"/>
          <w:numId w:val="193"/>
        </w:numPr>
        <w:rPr>
          <w:rFonts w:ascii="Arial" w:cs="Arial" w:eastAsia="Arial" w:hAnsi="Arial"/>
          <w:sz w:val="17"/>
          <w:szCs w:val="17"/>
          <w:color w:val="003551"/>
        </w:rPr>
      </w:pPr>
      <w:r>
        <w:rPr>
          <w:rFonts w:ascii="Arial" w:cs="Arial" w:eastAsia="Arial" w:hAnsi="Arial"/>
          <w:sz w:val="17"/>
          <w:szCs w:val="17"/>
          <w:b w:val="1"/>
          <w:bCs w:val="1"/>
          <w:color w:val="003551"/>
        </w:rPr>
        <w:t xml:space="preserve">“Founder” </w:t>
      </w:r>
      <w:r>
        <w:rPr>
          <w:rFonts w:ascii="Arial" w:cs="Arial" w:eastAsia="Arial" w:hAnsi="Arial"/>
          <w:sz w:val="17"/>
          <w:szCs w:val="17"/>
          <w:color w:val="003551"/>
        </w:rPr>
        <w:t>means:</w:t>
      </w:r>
    </w:p>
    <w:p>
      <w:pPr>
        <w:spacing w:after="0" w:line="107" w:lineRule="exact"/>
        <w:rPr>
          <w:rFonts w:ascii="Arial" w:cs="Arial" w:eastAsia="Arial" w:hAnsi="Arial"/>
          <w:sz w:val="17"/>
          <w:szCs w:val="17"/>
          <w:color w:val="003551"/>
        </w:rPr>
      </w:pPr>
    </w:p>
    <w:p>
      <w:pPr>
        <w:ind w:left="2680" w:hanging="346"/>
        <w:spacing w:after="0"/>
        <w:tabs>
          <w:tab w:leader="none" w:pos="2680" w:val="left"/>
        </w:tabs>
        <w:numPr>
          <w:ilvl w:val="3"/>
          <w:numId w:val="193"/>
        </w:numPr>
        <w:rPr>
          <w:rFonts w:ascii="Arial" w:cs="Arial" w:eastAsia="Arial" w:hAnsi="Arial"/>
          <w:sz w:val="17"/>
          <w:szCs w:val="17"/>
          <w:color w:val="003551"/>
        </w:rPr>
      </w:pPr>
      <w:r>
        <w:rPr>
          <w:rFonts w:ascii="Arial" w:cs="Arial" w:eastAsia="Arial" w:hAnsi="Arial"/>
          <w:sz w:val="17"/>
          <w:szCs w:val="17"/>
          <w:color w:val="003551"/>
        </w:rPr>
        <w:t>in respect of Awassi 1, William Roberts; and</w:t>
      </w:r>
    </w:p>
    <w:p>
      <w:pPr>
        <w:spacing w:after="0" w:line="105" w:lineRule="exact"/>
        <w:rPr>
          <w:rFonts w:ascii="Arial" w:cs="Arial" w:eastAsia="Arial" w:hAnsi="Arial"/>
          <w:sz w:val="17"/>
          <w:szCs w:val="17"/>
          <w:color w:val="003551"/>
        </w:rPr>
      </w:pPr>
    </w:p>
    <w:p>
      <w:pPr>
        <w:ind w:left="2680" w:hanging="346"/>
        <w:spacing w:after="0"/>
        <w:tabs>
          <w:tab w:leader="none" w:pos="2680" w:val="left"/>
        </w:tabs>
        <w:numPr>
          <w:ilvl w:val="3"/>
          <w:numId w:val="193"/>
        </w:numPr>
        <w:rPr>
          <w:rFonts w:ascii="Arial" w:cs="Arial" w:eastAsia="Arial" w:hAnsi="Arial"/>
          <w:sz w:val="17"/>
          <w:szCs w:val="17"/>
          <w:color w:val="003551"/>
        </w:rPr>
      </w:pPr>
      <w:r>
        <w:rPr>
          <w:rFonts w:ascii="Arial" w:cs="Arial" w:eastAsia="Arial" w:hAnsi="Arial"/>
          <w:sz w:val="17"/>
          <w:szCs w:val="17"/>
          <w:color w:val="003551"/>
        </w:rPr>
        <w:t>in respect of Awassi 2, Daniel Roberts; and</w:t>
      </w:r>
    </w:p>
    <w:p>
      <w:pPr>
        <w:spacing w:after="0" w:line="103" w:lineRule="exact"/>
        <w:rPr>
          <w:rFonts w:ascii="Arial" w:cs="Arial" w:eastAsia="Arial" w:hAnsi="Arial"/>
          <w:sz w:val="17"/>
          <w:szCs w:val="17"/>
          <w:color w:val="003551"/>
        </w:rPr>
      </w:pPr>
    </w:p>
    <w:p>
      <w:pPr>
        <w:ind w:left="2320" w:hanging="335"/>
        <w:spacing w:after="0"/>
        <w:tabs>
          <w:tab w:leader="none" w:pos="2320" w:val="left"/>
        </w:tabs>
        <w:numPr>
          <w:ilvl w:val="2"/>
          <w:numId w:val="193"/>
        </w:numPr>
        <w:rPr>
          <w:rFonts w:ascii="Arial" w:cs="Arial" w:eastAsia="Arial" w:hAnsi="Arial"/>
          <w:sz w:val="17"/>
          <w:szCs w:val="17"/>
          <w:color w:val="003551"/>
        </w:rPr>
      </w:pPr>
      <w:r>
        <w:rPr>
          <w:rFonts w:ascii="Arial" w:cs="Arial" w:eastAsia="Arial" w:hAnsi="Arial"/>
          <w:sz w:val="17"/>
          <w:szCs w:val="17"/>
          <w:b w:val="1"/>
          <w:bCs w:val="1"/>
          <w:color w:val="003551"/>
        </w:rPr>
        <w:t xml:space="preserve">“Founder Holder” </w:t>
      </w:r>
      <w:r>
        <w:rPr>
          <w:rFonts w:ascii="Arial" w:cs="Arial" w:eastAsia="Arial" w:hAnsi="Arial"/>
          <w:sz w:val="17"/>
          <w:szCs w:val="17"/>
          <w:color w:val="003551"/>
        </w:rPr>
        <w:t>means:</w:t>
      </w:r>
    </w:p>
    <w:p>
      <w:pPr>
        <w:spacing w:after="0" w:line="107" w:lineRule="exact"/>
        <w:rPr>
          <w:rFonts w:ascii="Arial" w:cs="Arial" w:eastAsia="Arial" w:hAnsi="Arial"/>
          <w:sz w:val="17"/>
          <w:szCs w:val="17"/>
          <w:color w:val="003551"/>
        </w:rPr>
      </w:pPr>
    </w:p>
    <w:p>
      <w:pPr>
        <w:ind w:left="2680" w:right="799" w:hanging="346"/>
        <w:spacing w:after="0" w:line="293" w:lineRule="auto"/>
        <w:tabs>
          <w:tab w:leader="none" w:pos="2680" w:val="left"/>
        </w:tabs>
        <w:numPr>
          <w:ilvl w:val="3"/>
          <w:numId w:val="193"/>
        </w:numPr>
        <w:rPr>
          <w:rFonts w:ascii="Arial" w:cs="Arial" w:eastAsia="Arial" w:hAnsi="Arial"/>
          <w:sz w:val="17"/>
          <w:szCs w:val="17"/>
          <w:color w:val="003551"/>
        </w:rPr>
      </w:pPr>
      <w:r>
        <w:rPr>
          <w:rFonts w:ascii="Arial" w:cs="Arial" w:eastAsia="Arial" w:hAnsi="Arial"/>
          <w:sz w:val="17"/>
          <w:szCs w:val="17"/>
          <w:color w:val="003551"/>
        </w:rPr>
        <w:t>Awassi Capital Holdings 1 Pty Ltd ACN 629 820 499 (as trustee for the Awassi Capital Trust #1) (</w:t>
      </w:r>
      <w:r>
        <w:rPr>
          <w:rFonts w:ascii="Arial" w:cs="Arial" w:eastAsia="Arial" w:hAnsi="Arial"/>
          <w:sz w:val="17"/>
          <w:szCs w:val="17"/>
          <w:b w:val="1"/>
          <w:bCs w:val="1"/>
          <w:color w:val="003551"/>
        </w:rPr>
        <w:t>“Awassi 1”</w:t>
      </w:r>
      <w:r>
        <w:rPr>
          <w:rFonts w:ascii="Arial" w:cs="Arial" w:eastAsia="Arial" w:hAnsi="Arial"/>
          <w:sz w:val="17"/>
          <w:szCs w:val="17"/>
          <w:color w:val="003551"/>
        </w:rPr>
        <w:t>); and</w:t>
      </w:r>
    </w:p>
    <w:p>
      <w:pPr>
        <w:spacing w:after="0" w:line="20" w:lineRule="exact"/>
        <w:rPr>
          <w:rFonts w:ascii="Arial" w:cs="Arial" w:eastAsia="Arial" w:hAnsi="Arial"/>
          <w:sz w:val="17"/>
          <w:szCs w:val="17"/>
          <w:color w:val="003551"/>
        </w:rPr>
      </w:pPr>
    </w:p>
    <w:p>
      <w:pPr>
        <w:ind w:left="2680" w:right="799" w:hanging="346"/>
        <w:spacing w:after="0" w:line="293" w:lineRule="auto"/>
        <w:tabs>
          <w:tab w:leader="none" w:pos="2680" w:val="left"/>
        </w:tabs>
        <w:numPr>
          <w:ilvl w:val="3"/>
          <w:numId w:val="193"/>
        </w:numPr>
        <w:rPr>
          <w:rFonts w:ascii="Arial" w:cs="Arial" w:eastAsia="Arial" w:hAnsi="Arial"/>
          <w:sz w:val="17"/>
          <w:szCs w:val="17"/>
          <w:color w:val="003551"/>
        </w:rPr>
      </w:pPr>
      <w:r>
        <w:rPr>
          <w:rFonts w:ascii="Arial" w:cs="Arial" w:eastAsia="Arial" w:hAnsi="Arial"/>
          <w:sz w:val="17"/>
          <w:szCs w:val="17"/>
          <w:color w:val="003551"/>
        </w:rPr>
        <w:t>Awassi Capital Holdings 2 Pty Ltd ACN 629 819 978 (as trustee for the Awassi Capital Trust #2) (</w:t>
      </w:r>
      <w:r>
        <w:rPr>
          <w:rFonts w:ascii="Arial" w:cs="Arial" w:eastAsia="Arial" w:hAnsi="Arial"/>
          <w:sz w:val="17"/>
          <w:szCs w:val="17"/>
          <w:b w:val="1"/>
          <w:bCs w:val="1"/>
          <w:color w:val="003551"/>
        </w:rPr>
        <w:t>“Awassi 2”</w:t>
      </w:r>
      <w:r>
        <w:rPr>
          <w:rFonts w:ascii="Arial" w:cs="Arial" w:eastAsia="Arial" w:hAnsi="Arial"/>
          <w:sz w:val="17"/>
          <w:szCs w:val="17"/>
          <w:color w:val="00355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-6263640</wp:posOffset>
            </wp:positionV>
            <wp:extent cx="15430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05"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127635</wp:posOffset>
            </wp:positionV>
            <wp:extent cx="6786880" cy="1651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620"/>
        <w:spacing w:after="0"/>
        <w:rPr>
          <w:sz w:val="20"/>
          <w:szCs w:val="20"/>
          <w:color w:val="auto"/>
        </w:rPr>
      </w:pPr>
      <w:r>
        <w:rPr>
          <w:rFonts w:ascii="Arial" w:cs="Arial" w:eastAsia="Arial" w:hAnsi="Arial"/>
          <w:sz w:val="17"/>
          <w:szCs w:val="17"/>
          <w:color w:val="77C483"/>
        </w:rPr>
        <w:t>Schedule 2</w:t>
      </w:r>
    </w:p>
    <w:p>
      <w:pPr>
        <w:spacing w:after="0" w:line="17"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 </w:t>
      </w:r>
    </w:p>
    <w:p>
      <w:pPr>
        <w:spacing w:after="0" w:line="1" w:lineRule="exact"/>
        <w:rPr>
          <w:sz w:val="20"/>
          <w:szCs w:val="20"/>
          <w:color w:val="auto"/>
        </w:rPr>
      </w:pPr>
    </w:p>
    <w:p>
      <w:pPr>
        <w:ind w:left="2760"/>
        <w:spacing w:after="0"/>
        <w:rPr>
          <w:sz w:val="20"/>
          <w:szCs w:val="20"/>
          <w:color w:val="auto"/>
        </w:rPr>
      </w:pPr>
      <w:r>
        <w:rPr>
          <w:rFonts w:ascii="Arial" w:cs="Arial" w:eastAsia="Arial" w:hAnsi="Arial"/>
          <w:sz w:val="17"/>
          <w:szCs w:val="17"/>
          <w:color w:val="FF0000"/>
          <w:strike w:val="1"/>
        </w:rPr>
        <w:t>PREFERENCE SHARE RIGHTS</w:t>
      </w:r>
      <w:r>
        <w:rPr>
          <w:rFonts w:ascii="Arial" w:cs="Arial" w:eastAsia="Arial" w:hAnsi="Arial"/>
          <w:sz w:val="17"/>
          <w:szCs w:val="17"/>
          <w:b w:val="1"/>
          <w:bCs w:val="1"/>
          <w:u w:val="single" w:color="auto"/>
          <w:color w:val="0000FF"/>
          <w:strike w:val="1"/>
        </w:rPr>
        <w:t>Preference Share Rights</w:t>
      </w:r>
    </w:p>
    <w:p>
      <w:pPr>
        <w:spacing w:after="0" w:line="88" w:lineRule="exact"/>
        <w:rPr>
          <w:sz w:val="20"/>
          <w:szCs w:val="20"/>
          <w:color w:val="auto"/>
        </w:rPr>
      </w:pPr>
    </w:p>
    <w:p>
      <w:pPr>
        <w:ind w:left="1640" w:hanging="703"/>
        <w:spacing w:after="0"/>
        <w:tabs>
          <w:tab w:leader="none" w:pos="1640" w:val="left"/>
        </w:tabs>
        <w:numPr>
          <w:ilvl w:val="0"/>
          <w:numId w:val="194"/>
        </w:numPr>
        <w:rPr>
          <w:rFonts w:ascii="Arial" w:cs="Arial" w:eastAsia="Arial" w:hAnsi="Arial"/>
          <w:sz w:val="17"/>
          <w:szCs w:val="17"/>
          <w:b w:val="1"/>
          <w:bCs w:val="1"/>
          <w:color w:val="003551"/>
        </w:rPr>
      </w:pPr>
      <w:r>
        <w:rPr>
          <w:rFonts w:ascii="Arial" w:cs="Arial" w:eastAsia="Arial" w:hAnsi="Arial"/>
          <w:sz w:val="17"/>
          <w:szCs w:val="17"/>
          <w:b w:val="1"/>
          <w:bCs w:val="1"/>
          <w:color w:val="003551"/>
        </w:rPr>
        <w:t>Dividend rights</w:t>
      </w:r>
    </w:p>
    <w:p>
      <w:pPr>
        <w:spacing w:after="0" w:line="133" w:lineRule="exact"/>
        <w:rPr>
          <w:rFonts w:ascii="Arial" w:cs="Arial" w:eastAsia="Arial" w:hAnsi="Arial"/>
          <w:sz w:val="17"/>
          <w:szCs w:val="17"/>
          <w:b w:val="1"/>
          <w:bCs w:val="1"/>
          <w:color w:val="003551"/>
        </w:rPr>
      </w:pPr>
    </w:p>
    <w:p>
      <w:pPr>
        <w:ind w:left="1640"/>
        <w:spacing w:after="0"/>
        <w:rPr>
          <w:rFonts w:ascii="Arial" w:cs="Arial" w:eastAsia="Arial" w:hAnsi="Arial"/>
          <w:sz w:val="17"/>
          <w:szCs w:val="17"/>
          <w:b w:val="1"/>
          <w:bCs w:val="1"/>
          <w:color w:val="003551"/>
        </w:rPr>
      </w:pPr>
      <w:r>
        <w:rPr>
          <w:rFonts w:ascii="Arial" w:cs="Arial" w:eastAsia="Arial" w:hAnsi="Arial"/>
          <w:sz w:val="17"/>
          <w:szCs w:val="17"/>
          <w:color w:val="003551"/>
        </w:rPr>
        <w:t>Each preference share gives the holder a right to receive a dividend:</w:t>
      </w:r>
    </w:p>
    <w:p>
      <w:pPr>
        <w:spacing w:after="0" w:line="105" w:lineRule="exact"/>
        <w:rPr>
          <w:rFonts w:ascii="Arial" w:cs="Arial" w:eastAsia="Arial" w:hAnsi="Arial"/>
          <w:sz w:val="17"/>
          <w:szCs w:val="17"/>
          <w:b w:val="1"/>
          <w:bCs w:val="1"/>
          <w:color w:val="003551"/>
        </w:rPr>
      </w:pPr>
    </w:p>
    <w:p>
      <w:pPr>
        <w:ind w:left="2320" w:right="639" w:hanging="335"/>
        <w:spacing w:after="0" w:line="283" w:lineRule="auto"/>
        <w:tabs>
          <w:tab w:leader="none" w:pos="2320" w:val="left"/>
        </w:tabs>
        <w:numPr>
          <w:ilvl w:val="1"/>
          <w:numId w:val="194"/>
        </w:numPr>
        <w:rPr>
          <w:rFonts w:ascii="Arial" w:cs="Arial" w:eastAsia="Arial" w:hAnsi="Arial"/>
          <w:sz w:val="17"/>
          <w:szCs w:val="17"/>
          <w:color w:val="003551"/>
        </w:rPr>
      </w:pPr>
      <w:r>
        <w:rPr>
          <w:rFonts w:ascii="Arial" w:cs="Arial" w:eastAsia="Arial" w:hAnsi="Arial"/>
          <w:sz w:val="17"/>
          <w:szCs w:val="17"/>
          <w:color w:val="003551"/>
        </w:rPr>
        <w:t>at the rate or of the amount, which in either case may be fixed or variable, decided by the board under the terms of issue;</w:t>
      </w:r>
    </w:p>
    <w:p>
      <w:pPr>
        <w:spacing w:after="0" w:line="36" w:lineRule="exact"/>
        <w:rPr>
          <w:rFonts w:ascii="Arial" w:cs="Arial" w:eastAsia="Arial" w:hAnsi="Arial"/>
          <w:sz w:val="17"/>
          <w:szCs w:val="17"/>
          <w:color w:val="003551"/>
        </w:rPr>
      </w:pPr>
    </w:p>
    <w:p>
      <w:pPr>
        <w:ind w:left="2320" w:right="919" w:hanging="335"/>
        <w:spacing w:after="0" w:line="283" w:lineRule="auto"/>
        <w:tabs>
          <w:tab w:leader="none" w:pos="2320" w:val="left"/>
        </w:tabs>
        <w:numPr>
          <w:ilvl w:val="1"/>
          <w:numId w:val="194"/>
        </w:numPr>
        <w:rPr>
          <w:rFonts w:ascii="Arial" w:cs="Arial" w:eastAsia="Arial" w:hAnsi="Arial"/>
          <w:sz w:val="17"/>
          <w:szCs w:val="17"/>
          <w:color w:val="003551"/>
        </w:rPr>
      </w:pPr>
      <w:r>
        <w:rPr>
          <w:rFonts w:ascii="Arial" w:cs="Arial" w:eastAsia="Arial" w:hAnsi="Arial"/>
          <w:sz w:val="17"/>
          <w:szCs w:val="17"/>
          <w:color w:val="003551"/>
        </w:rPr>
        <w:t>which ranks for payment in priority to the payment of any dividend on the ordinary shares;</w:t>
      </w:r>
    </w:p>
    <w:p>
      <w:pPr>
        <w:spacing w:after="0" w:line="36" w:lineRule="exact"/>
        <w:rPr>
          <w:rFonts w:ascii="Arial" w:cs="Arial" w:eastAsia="Arial" w:hAnsi="Arial"/>
          <w:sz w:val="17"/>
          <w:szCs w:val="17"/>
          <w:color w:val="003551"/>
        </w:rPr>
      </w:pPr>
    </w:p>
    <w:p>
      <w:pPr>
        <w:ind w:left="2320" w:right="459" w:hanging="335"/>
        <w:spacing w:after="0" w:line="283" w:lineRule="auto"/>
        <w:tabs>
          <w:tab w:leader="none" w:pos="2320" w:val="left"/>
        </w:tabs>
        <w:numPr>
          <w:ilvl w:val="1"/>
          <w:numId w:val="194"/>
        </w:numPr>
        <w:rPr>
          <w:rFonts w:ascii="Arial" w:cs="Arial" w:eastAsia="Arial" w:hAnsi="Arial"/>
          <w:sz w:val="17"/>
          <w:szCs w:val="17"/>
          <w:color w:val="003551"/>
        </w:rPr>
      </w:pPr>
      <w:r>
        <w:rPr>
          <w:rFonts w:ascii="Arial" w:cs="Arial" w:eastAsia="Arial" w:hAnsi="Arial"/>
          <w:sz w:val="17"/>
          <w:szCs w:val="17"/>
          <w:color w:val="003551"/>
        </w:rPr>
        <w:t>which ranks for payment in relation to the payment of any dividend on the shares in any other class of shares as decided by the board under the terms of issue; and</w:t>
      </w:r>
    </w:p>
    <w:p>
      <w:pPr>
        <w:spacing w:after="0" w:line="36" w:lineRule="exact"/>
        <w:rPr>
          <w:rFonts w:ascii="Arial" w:cs="Arial" w:eastAsia="Arial" w:hAnsi="Arial"/>
          <w:sz w:val="17"/>
          <w:szCs w:val="17"/>
          <w:color w:val="003551"/>
        </w:rPr>
      </w:pPr>
    </w:p>
    <w:p>
      <w:pPr>
        <w:ind w:left="2320" w:right="459" w:hanging="335"/>
        <w:spacing w:after="0" w:line="283" w:lineRule="auto"/>
        <w:tabs>
          <w:tab w:leader="none" w:pos="2320" w:val="left"/>
        </w:tabs>
        <w:numPr>
          <w:ilvl w:val="1"/>
          <w:numId w:val="194"/>
        </w:numPr>
        <w:rPr>
          <w:rFonts w:ascii="Arial" w:cs="Arial" w:eastAsia="Arial" w:hAnsi="Arial"/>
          <w:sz w:val="17"/>
          <w:szCs w:val="17"/>
          <w:color w:val="003551"/>
        </w:rPr>
      </w:pPr>
      <w:r>
        <w:rPr>
          <w:rFonts w:ascii="Arial" w:cs="Arial" w:eastAsia="Arial" w:hAnsi="Arial"/>
          <w:sz w:val="17"/>
          <w:szCs w:val="17"/>
          <w:color w:val="003551"/>
        </w:rPr>
        <w:t>which is cumulative only if and to the extent the board decides under the terms of issue, and which is otherwise non-cumulative.</w:t>
      </w:r>
    </w:p>
    <w:p>
      <w:pPr>
        <w:spacing w:after="0" w:line="34" w:lineRule="exact"/>
        <w:rPr>
          <w:rFonts w:ascii="Arial" w:cs="Arial" w:eastAsia="Arial" w:hAnsi="Arial"/>
          <w:sz w:val="17"/>
          <w:szCs w:val="17"/>
          <w:color w:val="003551"/>
        </w:rPr>
      </w:pPr>
    </w:p>
    <w:p>
      <w:pPr>
        <w:ind w:left="1640" w:hanging="703"/>
        <w:spacing w:after="0"/>
        <w:tabs>
          <w:tab w:leader="none" w:pos="1640" w:val="left"/>
        </w:tabs>
        <w:numPr>
          <w:ilvl w:val="0"/>
          <w:numId w:val="194"/>
        </w:numPr>
        <w:rPr>
          <w:rFonts w:ascii="Arial" w:cs="Arial" w:eastAsia="Arial" w:hAnsi="Arial"/>
          <w:sz w:val="17"/>
          <w:szCs w:val="17"/>
          <w:b w:val="1"/>
          <w:bCs w:val="1"/>
          <w:color w:val="003551"/>
        </w:rPr>
      </w:pPr>
      <w:r>
        <w:rPr>
          <w:rFonts w:ascii="Arial" w:cs="Arial" w:eastAsia="Arial" w:hAnsi="Arial"/>
          <w:sz w:val="17"/>
          <w:szCs w:val="17"/>
          <w:b w:val="1"/>
          <w:bCs w:val="1"/>
          <w:color w:val="003551"/>
        </w:rPr>
        <w:t>Further rights to participate in profits</w:t>
      </w:r>
    </w:p>
    <w:p>
      <w:pPr>
        <w:spacing w:after="0" w:line="107" w:lineRule="exact"/>
        <w:rPr>
          <w:rFonts w:ascii="Arial" w:cs="Arial" w:eastAsia="Arial" w:hAnsi="Arial"/>
          <w:sz w:val="17"/>
          <w:szCs w:val="17"/>
          <w:b w:val="1"/>
          <w:bCs w:val="1"/>
          <w:color w:val="003551"/>
        </w:rPr>
      </w:pPr>
    </w:p>
    <w:p>
      <w:pPr>
        <w:jc w:val="both"/>
        <w:ind w:left="1640" w:right="759"/>
        <w:spacing w:after="0" w:line="262" w:lineRule="auto"/>
        <w:rPr>
          <w:rFonts w:ascii="Arial" w:cs="Arial" w:eastAsia="Arial" w:hAnsi="Arial"/>
          <w:sz w:val="17"/>
          <w:szCs w:val="17"/>
          <w:b w:val="1"/>
          <w:bCs w:val="1"/>
          <w:color w:val="003551"/>
        </w:rPr>
      </w:pPr>
      <w:r>
        <w:rPr>
          <w:rFonts w:ascii="Arial" w:cs="Arial" w:eastAsia="Arial" w:hAnsi="Arial"/>
          <w:sz w:val="17"/>
          <w:szCs w:val="17"/>
          <w:color w:val="003551"/>
        </w:rPr>
        <w:t>In addition to the rights to receive a dividend, each preference share may participate with the ordinary shares in the distribution of profits of the company if and to the extent that the board decides under the terms of issue.</w:t>
      </w:r>
    </w:p>
    <w:p>
      <w:pPr>
        <w:spacing w:after="0" w:line="52" w:lineRule="exact"/>
        <w:rPr>
          <w:rFonts w:ascii="Arial" w:cs="Arial" w:eastAsia="Arial" w:hAnsi="Arial"/>
          <w:sz w:val="17"/>
          <w:szCs w:val="17"/>
          <w:b w:val="1"/>
          <w:bCs w:val="1"/>
          <w:color w:val="003551"/>
        </w:rPr>
      </w:pPr>
    </w:p>
    <w:p>
      <w:pPr>
        <w:ind w:left="1640" w:hanging="703"/>
        <w:spacing w:after="0"/>
        <w:tabs>
          <w:tab w:leader="none" w:pos="1640" w:val="left"/>
        </w:tabs>
        <w:numPr>
          <w:ilvl w:val="0"/>
          <w:numId w:val="194"/>
        </w:numPr>
        <w:rPr>
          <w:rFonts w:ascii="Arial" w:cs="Arial" w:eastAsia="Arial" w:hAnsi="Arial"/>
          <w:sz w:val="17"/>
          <w:szCs w:val="17"/>
          <w:b w:val="1"/>
          <w:bCs w:val="1"/>
          <w:color w:val="003551"/>
        </w:rPr>
      </w:pPr>
      <w:r>
        <w:rPr>
          <w:rFonts w:ascii="Arial" w:cs="Arial" w:eastAsia="Arial" w:hAnsi="Arial"/>
          <w:sz w:val="17"/>
          <w:szCs w:val="17"/>
          <w:b w:val="1"/>
          <w:bCs w:val="1"/>
          <w:color w:val="003551"/>
        </w:rPr>
        <w:t>Rights to accrued dividends on winding up or redemption</w:t>
      </w:r>
    </w:p>
    <w:p>
      <w:pPr>
        <w:spacing w:after="0" w:line="107" w:lineRule="exact"/>
        <w:rPr>
          <w:rFonts w:ascii="Arial" w:cs="Arial" w:eastAsia="Arial" w:hAnsi="Arial"/>
          <w:sz w:val="17"/>
          <w:szCs w:val="17"/>
          <w:b w:val="1"/>
          <w:bCs w:val="1"/>
          <w:color w:val="003551"/>
        </w:rPr>
      </w:pPr>
    </w:p>
    <w:p>
      <w:pPr>
        <w:ind w:left="1640" w:right="539"/>
        <w:spacing w:after="0" w:line="251" w:lineRule="auto"/>
        <w:rPr>
          <w:rFonts w:ascii="Arial" w:cs="Arial" w:eastAsia="Arial" w:hAnsi="Arial"/>
          <w:sz w:val="17"/>
          <w:szCs w:val="17"/>
          <w:b w:val="1"/>
          <w:bCs w:val="1"/>
          <w:color w:val="003551"/>
        </w:rPr>
      </w:pPr>
      <w:r>
        <w:rPr>
          <w:rFonts w:ascii="Arial" w:cs="Arial" w:eastAsia="Arial" w:hAnsi="Arial"/>
          <w:sz w:val="17"/>
          <w:szCs w:val="17"/>
          <w:color w:val="003551"/>
        </w:rPr>
        <w:t>Each preference share gives its holder the right in a winding up or, in the case of a redeemable preference share, on redemption, to payment of the amount of any dividend accrued but unpaid on the share at the date of winding up or redemption, as applicable, in priority to the ordinary shares and with the same priority in relation to shares in any other class of shares as applies in relation to payment of the dividend, unless otherwise provided for in the terms of issue.</w:t>
      </w:r>
    </w:p>
    <w:p>
      <w:pPr>
        <w:spacing w:after="0" w:line="63" w:lineRule="exact"/>
        <w:rPr>
          <w:rFonts w:ascii="Arial" w:cs="Arial" w:eastAsia="Arial" w:hAnsi="Arial"/>
          <w:sz w:val="17"/>
          <w:szCs w:val="17"/>
          <w:b w:val="1"/>
          <w:bCs w:val="1"/>
          <w:color w:val="003551"/>
        </w:rPr>
      </w:pPr>
    </w:p>
    <w:p>
      <w:pPr>
        <w:ind w:left="1640" w:hanging="703"/>
        <w:spacing w:after="0"/>
        <w:tabs>
          <w:tab w:leader="none" w:pos="1640" w:val="left"/>
        </w:tabs>
        <w:numPr>
          <w:ilvl w:val="0"/>
          <w:numId w:val="194"/>
        </w:numPr>
        <w:rPr>
          <w:rFonts w:ascii="Arial" w:cs="Arial" w:eastAsia="Arial" w:hAnsi="Arial"/>
          <w:sz w:val="17"/>
          <w:szCs w:val="17"/>
          <w:b w:val="1"/>
          <w:bCs w:val="1"/>
          <w:color w:val="003551"/>
        </w:rPr>
      </w:pPr>
      <w:r>
        <w:rPr>
          <w:rFonts w:ascii="Arial" w:cs="Arial" w:eastAsia="Arial" w:hAnsi="Arial"/>
          <w:sz w:val="17"/>
          <w:szCs w:val="17"/>
          <w:b w:val="1"/>
          <w:bCs w:val="1"/>
          <w:color w:val="003551"/>
        </w:rPr>
        <w:t>Rights to additional amounts on winding up or redemption</w:t>
      </w:r>
    </w:p>
    <w:p>
      <w:pPr>
        <w:spacing w:after="0" w:line="107" w:lineRule="exact"/>
        <w:rPr>
          <w:rFonts w:ascii="Arial" w:cs="Arial" w:eastAsia="Arial" w:hAnsi="Arial"/>
          <w:sz w:val="17"/>
          <w:szCs w:val="17"/>
          <w:b w:val="1"/>
          <w:bCs w:val="1"/>
          <w:color w:val="003551"/>
        </w:rPr>
      </w:pPr>
    </w:p>
    <w:p>
      <w:pPr>
        <w:ind w:left="1640" w:right="579"/>
        <w:spacing w:after="0" w:line="255" w:lineRule="auto"/>
        <w:rPr>
          <w:rFonts w:ascii="Arial" w:cs="Arial" w:eastAsia="Arial" w:hAnsi="Arial"/>
          <w:sz w:val="17"/>
          <w:szCs w:val="17"/>
          <w:b w:val="1"/>
          <w:bCs w:val="1"/>
          <w:color w:val="003551"/>
        </w:rPr>
      </w:pPr>
      <w:r>
        <w:rPr>
          <w:rFonts w:ascii="Arial" w:cs="Arial" w:eastAsia="Arial" w:hAnsi="Arial"/>
          <w:sz w:val="17"/>
          <w:szCs w:val="17"/>
          <w:color w:val="003551"/>
        </w:rPr>
        <w:t>Each preference share gives its holder the right in a winding up or, in the case of a redeemable preference share, on redemption, to payment of any amount decided by the board under the terms of issue (which may include repayment of some or all of the amount paid or taken to be paid on issue of the share):</w:t>
      </w:r>
    </w:p>
    <w:p>
      <w:pPr>
        <w:spacing w:after="0" w:line="59" w:lineRule="exact"/>
        <w:rPr>
          <w:rFonts w:ascii="Arial" w:cs="Arial" w:eastAsia="Arial" w:hAnsi="Arial"/>
          <w:sz w:val="17"/>
          <w:szCs w:val="17"/>
          <w:b w:val="1"/>
          <w:bCs w:val="1"/>
          <w:color w:val="003551"/>
        </w:rPr>
      </w:pPr>
    </w:p>
    <w:p>
      <w:pPr>
        <w:ind w:left="2320" w:hanging="335"/>
        <w:spacing w:after="0"/>
        <w:tabs>
          <w:tab w:leader="none" w:pos="2320" w:val="left"/>
        </w:tabs>
        <w:numPr>
          <w:ilvl w:val="1"/>
          <w:numId w:val="194"/>
        </w:numPr>
        <w:rPr>
          <w:rFonts w:ascii="Arial" w:cs="Arial" w:eastAsia="Arial" w:hAnsi="Arial"/>
          <w:sz w:val="17"/>
          <w:szCs w:val="17"/>
          <w:color w:val="003551"/>
        </w:rPr>
      </w:pPr>
      <w:r>
        <w:rPr>
          <w:rFonts w:ascii="Arial" w:cs="Arial" w:eastAsia="Arial" w:hAnsi="Arial"/>
          <w:sz w:val="17"/>
          <w:szCs w:val="17"/>
          <w:color w:val="003551"/>
        </w:rPr>
        <w:t>which ranks for payment in priority to payments on the ordinary shares; and</w:t>
      </w:r>
    </w:p>
    <w:p>
      <w:pPr>
        <w:spacing w:after="0" w:line="105" w:lineRule="exact"/>
        <w:rPr>
          <w:rFonts w:ascii="Arial" w:cs="Arial" w:eastAsia="Arial" w:hAnsi="Arial"/>
          <w:sz w:val="17"/>
          <w:szCs w:val="17"/>
          <w:color w:val="003551"/>
        </w:rPr>
      </w:pPr>
    </w:p>
    <w:p>
      <w:pPr>
        <w:ind w:left="2320" w:right="799" w:hanging="335"/>
        <w:spacing w:after="0" w:line="283" w:lineRule="auto"/>
        <w:tabs>
          <w:tab w:leader="none" w:pos="2320" w:val="left"/>
        </w:tabs>
        <w:numPr>
          <w:ilvl w:val="1"/>
          <w:numId w:val="194"/>
        </w:numPr>
        <w:rPr>
          <w:rFonts w:ascii="Arial" w:cs="Arial" w:eastAsia="Arial" w:hAnsi="Arial"/>
          <w:sz w:val="17"/>
          <w:szCs w:val="17"/>
          <w:color w:val="003551"/>
        </w:rPr>
      </w:pPr>
      <w:r>
        <w:rPr>
          <w:rFonts w:ascii="Arial" w:cs="Arial" w:eastAsia="Arial" w:hAnsi="Arial"/>
          <w:sz w:val="17"/>
          <w:szCs w:val="17"/>
          <w:color w:val="003551"/>
        </w:rPr>
        <w:t>which ranks for payment in relation to payments on the shares in any other class of shares as decided by the board under the terms of issue.</w:t>
      </w:r>
    </w:p>
    <w:p>
      <w:pPr>
        <w:spacing w:after="0" w:line="34" w:lineRule="exact"/>
        <w:rPr>
          <w:rFonts w:ascii="Arial" w:cs="Arial" w:eastAsia="Arial" w:hAnsi="Arial"/>
          <w:sz w:val="17"/>
          <w:szCs w:val="17"/>
          <w:color w:val="003551"/>
        </w:rPr>
      </w:pPr>
    </w:p>
    <w:p>
      <w:pPr>
        <w:ind w:left="1640" w:hanging="703"/>
        <w:spacing w:after="0"/>
        <w:tabs>
          <w:tab w:leader="none" w:pos="1640" w:val="left"/>
        </w:tabs>
        <w:numPr>
          <w:ilvl w:val="0"/>
          <w:numId w:val="194"/>
        </w:numPr>
        <w:rPr>
          <w:rFonts w:ascii="Arial" w:cs="Arial" w:eastAsia="Arial" w:hAnsi="Arial"/>
          <w:sz w:val="17"/>
          <w:szCs w:val="17"/>
          <w:b w:val="1"/>
          <w:bCs w:val="1"/>
          <w:color w:val="003551"/>
        </w:rPr>
      </w:pPr>
      <w:r>
        <w:rPr>
          <w:rFonts w:ascii="Arial" w:cs="Arial" w:eastAsia="Arial" w:hAnsi="Arial"/>
          <w:sz w:val="17"/>
          <w:szCs w:val="17"/>
          <w:b w:val="1"/>
          <w:bCs w:val="1"/>
          <w:color w:val="003551"/>
        </w:rPr>
        <w:t>Rights to bonus issue or capitalisation of profits</w:t>
      </w:r>
    </w:p>
    <w:p>
      <w:pPr>
        <w:spacing w:after="0" w:line="107" w:lineRule="exact"/>
        <w:rPr>
          <w:rFonts w:ascii="Arial" w:cs="Arial" w:eastAsia="Arial" w:hAnsi="Arial"/>
          <w:sz w:val="17"/>
          <w:szCs w:val="17"/>
          <w:b w:val="1"/>
          <w:bCs w:val="1"/>
          <w:color w:val="003551"/>
        </w:rPr>
      </w:pPr>
    </w:p>
    <w:p>
      <w:pPr>
        <w:ind w:left="1640" w:right="559"/>
        <w:spacing w:after="0" w:line="262" w:lineRule="auto"/>
        <w:rPr>
          <w:rFonts w:ascii="Arial" w:cs="Arial" w:eastAsia="Arial" w:hAnsi="Arial"/>
          <w:sz w:val="17"/>
          <w:szCs w:val="17"/>
          <w:b w:val="1"/>
          <w:bCs w:val="1"/>
          <w:color w:val="003551"/>
        </w:rPr>
      </w:pPr>
      <w:r>
        <w:rPr>
          <w:rFonts w:ascii="Arial" w:cs="Arial" w:eastAsia="Arial" w:hAnsi="Arial"/>
          <w:sz w:val="17"/>
          <w:szCs w:val="17"/>
          <w:color w:val="003551"/>
        </w:rPr>
        <w:t>If and to the extent the board decides under the terms of issue, a preference share may give its holder a right to a bonus issue or capitalisation of profits in favour of holders of that class of preference shares only.</w:t>
      </w:r>
    </w:p>
    <w:p>
      <w:pPr>
        <w:spacing w:after="0" w:line="15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127635</wp:posOffset>
            </wp:positionV>
            <wp:extent cx="6786880" cy="1651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640" w:hanging="703"/>
        <w:spacing w:after="0"/>
        <w:tabs>
          <w:tab w:leader="none" w:pos="1640" w:val="left"/>
        </w:tabs>
        <w:numPr>
          <w:ilvl w:val="0"/>
          <w:numId w:val="195"/>
        </w:numPr>
        <w:rPr>
          <w:rFonts w:ascii="Arial" w:cs="Arial" w:eastAsia="Arial" w:hAnsi="Arial"/>
          <w:sz w:val="17"/>
          <w:szCs w:val="17"/>
          <w:b w:val="1"/>
          <w:bCs w:val="1"/>
          <w:color w:val="003551"/>
        </w:rPr>
      </w:pPr>
      <w:r>
        <w:rPr>
          <w:rFonts w:ascii="Arial" w:cs="Arial" w:eastAsia="Arial" w:hAnsi="Arial"/>
          <w:sz w:val="17"/>
          <w:szCs w:val="17"/>
          <w:b w:val="1"/>
          <w:bCs w:val="1"/>
          <w:color w:val="003551"/>
        </w:rPr>
        <w:t>No other rights to participate in profits or assets of the company</w:t>
      </w:r>
    </w:p>
    <w:p>
      <w:pPr>
        <w:spacing w:after="0" w:line="107" w:lineRule="exact"/>
        <w:rPr>
          <w:rFonts w:ascii="Arial" w:cs="Arial" w:eastAsia="Arial" w:hAnsi="Arial"/>
          <w:sz w:val="17"/>
          <w:szCs w:val="17"/>
          <w:b w:val="1"/>
          <w:bCs w:val="1"/>
          <w:color w:val="003551"/>
        </w:rPr>
      </w:pPr>
    </w:p>
    <w:p>
      <w:pPr>
        <w:ind w:left="1640" w:right="499"/>
        <w:spacing w:after="0" w:line="262" w:lineRule="auto"/>
        <w:rPr>
          <w:rFonts w:ascii="Arial" w:cs="Arial" w:eastAsia="Arial" w:hAnsi="Arial"/>
          <w:sz w:val="17"/>
          <w:szCs w:val="17"/>
          <w:b w:val="1"/>
          <w:bCs w:val="1"/>
          <w:color w:val="003551"/>
        </w:rPr>
      </w:pPr>
      <w:r>
        <w:rPr>
          <w:rFonts w:ascii="Arial" w:cs="Arial" w:eastAsia="Arial" w:hAnsi="Arial"/>
          <w:sz w:val="17"/>
          <w:szCs w:val="17"/>
          <w:color w:val="003551"/>
        </w:rPr>
        <w:t xml:space="preserve">Unless otherwise decided by the board under the terms of issue, a preference share does not give its holder any right to participate in the profits or assets of the company except as set out in this </w:t>
      </w:r>
      <w:r>
        <w:rPr>
          <w:rFonts w:ascii="Arial" w:cs="Arial" w:eastAsia="Arial" w:hAnsi="Arial"/>
          <w:sz w:val="17"/>
          <w:szCs w:val="17"/>
          <w:u w:val="single" w:color="auto"/>
          <w:color w:val="003551"/>
        </w:rPr>
        <w:t>Schedule 2.</w:t>
      </w:r>
    </w:p>
    <w:p>
      <w:pPr>
        <w:spacing w:after="0" w:line="52" w:lineRule="exact"/>
        <w:rPr>
          <w:rFonts w:ascii="Arial" w:cs="Arial" w:eastAsia="Arial" w:hAnsi="Arial"/>
          <w:sz w:val="17"/>
          <w:szCs w:val="17"/>
          <w:b w:val="1"/>
          <w:bCs w:val="1"/>
          <w:color w:val="003551"/>
        </w:rPr>
      </w:pPr>
    </w:p>
    <w:p>
      <w:pPr>
        <w:ind w:left="1640" w:hanging="703"/>
        <w:spacing w:after="0"/>
        <w:tabs>
          <w:tab w:leader="none" w:pos="1640" w:val="left"/>
        </w:tabs>
        <w:numPr>
          <w:ilvl w:val="0"/>
          <w:numId w:val="195"/>
        </w:numPr>
        <w:rPr>
          <w:rFonts w:ascii="Arial" w:cs="Arial" w:eastAsia="Arial" w:hAnsi="Arial"/>
          <w:sz w:val="17"/>
          <w:szCs w:val="17"/>
          <w:b w:val="1"/>
          <w:bCs w:val="1"/>
          <w:color w:val="003551"/>
        </w:rPr>
      </w:pPr>
      <w:r>
        <w:rPr>
          <w:rFonts w:ascii="Arial" w:cs="Arial" w:eastAsia="Arial" w:hAnsi="Arial"/>
          <w:sz w:val="17"/>
          <w:szCs w:val="17"/>
          <w:b w:val="1"/>
          <w:bCs w:val="1"/>
          <w:color w:val="003551"/>
        </w:rPr>
        <w:t>Voting rights</w:t>
      </w:r>
    </w:p>
    <w:p>
      <w:pPr>
        <w:spacing w:after="0" w:line="107" w:lineRule="exact"/>
        <w:rPr>
          <w:rFonts w:ascii="Arial" w:cs="Arial" w:eastAsia="Arial" w:hAnsi="Arial"/>
          <w:sz w:val="17"/>
          <w:szCs w:val="17"/>
          <w:b w:val="1"/>
          <w:bCs w:val="1"/>
          <w:color w:val="003551"/>
        </w:rPr>
      </w:pPr>
    </w:p>
    <w:p>
      <w:pPr>
        <w:ind w:left="1640" w:right="519"/>
        <w:spacing w:after="0" w:line="283" w:lineRule="auto"/>
        <w:rPr>
          <w:rFonts w:ascii="Arial" w:cs="Arial" w:eastAsia="Arial" w:hAnsi="Arial"/>
          <w:sz w:val="17"/>
          <w:szCs w:val="17"/>
          <w:b w:val="1"/>
          <w:bCs w:val="1"/>
          <w:color w:val="003551"/>
        </w:rPr>
      </w:pPr>
      <w:r>
        <w:rPr>
          <w:rFonts w:ascii="Arial" w:cs="Arial" w:eastAsia="Arial" w:hAnsi="Arial"/>
          <w:sz w:val="17"/>
          <w:szCs w:val="17"/>
          <w:color w:val="003551"/>
        </w:rPr>
        <w:t>Each preference shares gives its holder the right to vote at any general meeting of the company in the following circumstances:</w:t>
      </w:r>
    </w:p>
    <w:p>
      <w:pPr>
        <w:spacing w:after="0" w:line="36" w:lineRule="exact"/>
        <w:rPr>
          <w:rFonts w:ascii="Arial" w:cs="Arial" w:eastAsia="Arial" w:hAnsi="Arial"/>
          <w:sz w:val="17"/>
          <w:szCs w:val="17"/>
          <w:b w:val="1"/>
          <w:bCs w:val="1"/>
          <w:color w:val="003551"/>
        </w:rPr>
      </w:pPr>
    </w:p>
    <w:p>
      <w:pPr>
        <w:ind w:left="2320" w:hanging="335"/>
        <w:spacing w:after="0"/>
        <w:tabs>
          <w:tab w:leader="none" w:pos="2320" w:val="left"/>
        </w:tabs>
        <w:numPr>
          <w:ilvl w:val="1"/>
          <w:numId w:val="195"/>
        </w:numPr>
        <w:rPr>
          <w:rFonts w:ascii="Arial" w:cs="Arial" w:eastAsia="Arial" w:hAnsi="Arial"/>
          <w:sz w:val="17"/>
          <w:szCs w:val="17"/>
          <w:color w:val="003551"/>
        </w:rPr>
      </w:pPr>
      <w:r>
        <w:rPr>
          <w:rFonts w:ascii="Arial" w:cs="Arial" w:eastAsia="Arial" w:hAnsi="Arial"/>
          <w:sz w:val="17"/>
          <w:szCs w:val="17"/>
          <w:color w:val="003551"/>
        </w:rPr>
        <w:t>on any proposal:</w:t>
      </w:r>
    </w:p>
    <w:p>
      <w:pPr>
        <w:spacing w:after="0" w:line="105" w:lineRule="exact"/>
        <w:rPr>
          <w:rFonts w:ascii="Arial" w:cs="Arial" w:eastAsia="Arial" w:hAnsi="Arial"/>
          <w:sz w:val="17"/>
          <w:szCs w:val="17"/>
          <w:color w:val="003551"/>
        </w:rPr>
      </w:pPr>
    </w:p>
    <w:p>
      <w:pPr>
        <w:ind w:left="2680" w:hanging="346"/>
        <w:spacing w:after="0"/>
        <w:tabs>
          <w:tab w:leader="none" w:pos="2680" w:val="left"/>
        </w:tabs>
        <w:numPr>
          <w:ilvl w:val="2"/>
          <w:numId w:val="195"/>
        </w:numPr>
        <w:rPr>
          <w:rFonts w:ascii="Arial" w:cs="Arial" w:eastAsia="Arial" w:hAnsi="Arial"/>
          <w:sz w:val="17"/>
          <w:szCs w:val="17"/>
          <w:color w:val="003551"/>
        </w:rPr>
      </w:pPr>
      <w:r>
        <w:rPr>
          <w:rFonts w:ascii="Arial" w:cs="Arial" w:eastAsia="Arial" w:hAnsi="Arial"/>
          <w:sz w:val="17"/>
          <w:szCs w:val="17"/>
          <w:color w:val="003551"/>
        </w:rPr>
        <w:t>to reduce the share capital of the company;</w:t>
      </w:r>
    </w:p>
    <w:p>
      <w:pPr>
        <w:spacing w:after="0" w:line="105" w:lineRule="exact"/>
        <w:rPr>
          <w:rFonts w:ascii="Arial" w:cs="Arial" w:eastAsia="Arial" w:hAnsi="Arial"/>
          <w:sz w:val="17"/>
          <w:szCs w:val="17"/>
          <w:color w:val="003551"/>
        </w:rPr>
      </w:pPr>
    </w:p>
    <w:p>
      <w:pPr>
        <w:ind w:left="2680" w:hanging="346"/>
        <w:spacing w:after="0"/>
        <w:tabs>
          <w:tab w:leader="none" w:pos="2680" w:val="left"/>
        </w:tabs>
        <w:numPr>
          <w:ilvl w:val="2"/>
          <w:numId w:val="195"/>
        </w:numPr>
        <w:rPr>
          <w:rFonts w:ascii="Arial" w:cs="Arial" w:eastAsia="Arial" w:hAnsi="Arial"/>
          <w:sz w:val="17"/>
          <w:szCs w:val="17"/>
          <w:color w:val="003551"/>
        </w:rPr>
      </w:pPr>
      <w:r>
        <w:rPr>
          <w:rFonts w:ascii="Arial" w:cs="Arial" w:eastAsia="Arial" w:hAnsi="Arial"/>
          <w:sz w:val="17"/>
          <w:szCs w:val="17"/>
          <w:color w:val="003551"/>
        </w:rPr>
        <w:t>that affects rights attached to the preference share;</w:t>
      </w:r>
    </w:p>
    <w:p>
      <w:pPr>
        <w:spacing w:after="0" w:line="105" w:lineRule="exact"/>
        <w:rPr>
          <w:rFonts w:ascii="Arial" w:cs="Arial" w:eastAsia="Arial" w:hAnsi="Arial"/>
          <w:sz w:val="17"/>
          <w:szCs w:val="17"/>
          <w:color w:val="003551"/>
        </w:rPr>
      </w:pPr>
    </w:p>
    <w:p>
      <w:pPr>
        <w:ind w:left="2680" w:hanging="346"/>
        <w:spacing w:after="0"/>
        <w:tabs>
          <w:tab w:leader="none" w:pos="2680" w:val="left"/>
        </w:tabs>
        <w:numPr>
          <w:ilvl w:val="2"/>
          <w:numId w:val="195"/>
        </w:numPr>
        <w:rPr>
          <w:rFonts w:ascii="Arial" w:cs="Arial" w:eastAsia="Arial" w:hAnsi="Arial"/>
          <w:sz w:val="17"/>
          <w:szCs w:val="17"/>
          <w:color w:val="003551"/>
        </w:rPr>
      </w:pPr>
      <w:r>
        <w:rPr>
          <w:rFonts w:ascii="Arial" w:cs="Arial" w:eastAsia="Arial" w:hAnsi="Arial"/>
          <w:sz w:val="17"/>
          <w:szCs w:val="17"/>
          <w:color w:val="003551"/>
        </w:rPr>
        <w:t>to wind up the company; or</w:t>
      </w:r>
    </w:p>
    <w:p>
      <w:pPr>
        <w:spacing w:after="0" w:line="105" w:lineRule="exact"/>
        <w:rPr>
          <w:rFonts w:ascii="Arial" w:cs="Arial" w:eastAsia="Arial" w:hAnsi="Arial"/>
          <w:sz w:val="17"/>
          <w:szCs w:val="17"/>
          <w:color w:val="003551"/>
        </w:rPr>
      </w:pPr>
    </w:p>
    <w:p>
      <w:pPr>
        <w:ind w:left="2680" w:right="959" w:hanging="346"/>
        <w:spacing w:after="0" w:line="283" w:lineRule="auto"/>
        <w:tabs>
          <w:tab w:leader="none" w:pos="2680" w:val="left"/>
        </w:tabs>
        <w:numPr>
          <w:ilvl w:val="2"/>
          <w:numId w:val="195"/>
        </w:numPr>
        <w:rPr>
          <w:rFonts w:ascii="Arial" w:cs="Arial" w:eastAsia="Arial" w:hAnsi="Arial"/>
          <w:sz w:val="17"/>
          <w:szCs w:val="17"/>
          <w:color w:val="003551"/>
        </w:rPr>
      </w:pPr>
      <w:r>
        <w:rPr>
          <w:rFonts w:ascii="Arial" w:cs="Arial" w:eastAsia="Arial" w:hAnsi="Arial"/>
          <w:sz w:val="17"/>
          <w:szCs w:val="17"/>
          <w:color w:val="003551"/>
        </w:rPr>
        <w:t>for the disposal of the whole of the property, business and undertaking of the company;</w:t>
      </w:r>
    </w:p>
    <w:p>
      <w:pPr>
        <w:spacing w:after="0" w:line="36" w:lineRule="exact"/>
        <w:rPr>
          <w:rFonts w:ascii="Arial" w:cs="Arial" w:eastAsia="Arial" w:hAnsi="Arial"/>
          <w:sz w:val="17"/>
          <w:szCs w:val="17"/>
          <w:color w:val="003551"/>
        </w:rPr>
      </w:pPr>
    </w:p>
    <w:p>
      <w:pPr>
        <w:ind w:left="2320" w:hanging="335"/>
        <w:spacing w:after="0"/>
        <w:tabs>
          <w:tab w:leader="none" w:pos="2320" w:val="left"/>
        </w:tabs>
        <w:numPr>
          <w:ilvl w:val="1"/>
          <w:numId w:val="195"/>
        </w:numPr>
        <w:rPr>
          <w:rFonts w:ascii="Arial" w:cs="Arial" w:eastAsia="Arial" w:hAnsi="Arial"/>
          <w:sz w:val="17"/>
          <w:szCs w:val="17"/>
          <w:color w:val="003551"/>
        </w:rPr>
      </w:pPr>
      <w:r>
        <w:rPr>
          <w:rFonts w:ascii="Arial" w:cs="Arial" w:eastAsia="Arial" w:hAnsi="Arial"/>
          <w:sz w:val="17"/>
          <w:szCs w:val="17"/>
          <w:color w:val="003551"/>
        </w:rPr>
        <w:t>on a resolution to approve the terms of a buy-back agreement;</w:t>
      </w:r>
    </w:p>
    <w:p>
      <w:pPr>
        <w:spacing w:after="0" w:line="105" w:lineRule="exact"/>
        <w:rPr>
          <w:rFonts w:ascii="Arial" w:cs="Arial" w:eastAsia="Arial" w:hAnsi="Arial"/>
          <w:sz w:val="17"/>
          <w:szCs w:val="17"/>
          <w:color w:val="003551"/>
        </w:rPr>
      </w:pPr>
    </w:p>
    <w:p>
      <w:pPr>
        <w:ind w:left="2320" w:right="679" w:hanging="335"/>
        <w:spacing w:after="0" w:line="283" w:lineRule="auto"/>
        <w:tabs>
          <w:tab w:leader="none" w:pos="2320" w:val="left"/>
        </w:tabs>
        <w:numPr>
          <w:ilvl w:val="1"/>
          <w:numId w:val="195"/>
        </w:numPr>
        <w:rPr>
          <w:rFonts w:ascii="Arial" w:cs="Arial" w:eastAsia="Arial" w:hAnsi="Arial"/>
          <w:sz w:val="17"/>
          <w:szCs w:val="17"/>
          <w:color w:val="003551"/>
        </w:rPr>
      </w:pPr>
      <w:r>
        <w:rPr>
          <w:rFonts w:ascii="Arial" w:cs="Arial" w:eastAsia="Arial" w:hAnsi="Arial"/>
          <w:sz w:val="17"/>
          <w:szCs w:val="17"/>
          <w:color w:val="003551"/>
        </w:rPr>
        <w:t>during a period in which a dividend or part of a dividend on the preference share is in arrears; or</w:t>
      </w:r>
    </w:p>
    <w:p>
      <w:pPr>
        <w:spacing w:after="0" w:line="36" w:lineRule="exact"/>
        <w:rPr>
          <w:rFonts w:ascii="Arial" w:cs="Arial" w:eastAsia="Arial" w:hAnsi="Arial"/>
          <w:sz w:val="17"/>
          <w:szCs w:val="17"/>
          <w:color w:val="003551"/>
        </w:rPr>
      </w:pPr>
    </w:p>
    <w:p>
      <w:pPr>
        <w:ind w:left="2320" w:hanging="335"/>
        <w:spacing w:after="0"/>
        <w:tabs>
          <w:tab w:leader="none" w:pos="2320" w:val="left"/>
        </w:tabs>
        <w:numPr>
          <w:ilvl w:val="1"/>
          <w:numId w:val="195"/>
        </w:numPr>
        <w:rPr>
          <w:rFonts w:ascii="Arial" w:cs="Arial" w:eastAsia="Arial" w:hAnsi="Arial"/>
          <w:sz w:val="17"/>
          <w:szCs w:val="17"/>
          <w:color w:val="003551"/>
        </w:rPr>
      </w:pPr>
      <w:r>
        <w:rPr>
          <w:rFonts w:ascii="Arial" w:cs="Arial" w:eastAsia="Arial" w:hAnsi="Arial"/>
          <w:sz w:val="17"/>
          <w:szCs w:val="17"/>
          <w:color w:val="003551"/>
        </w:rPr>
        <w:t>during the winding up of the company; or</w:t>
      </w:r>
    </w:p>
    <w:p>
      <w:pPr>
        <w:spacing w:after="0" w:line="105" w:lineRule="exact"/>
        <w:rPr>
          <w:rFonts w:ascii="Arial" w:cs="Arial" w:eastAsia="Arial" w:hAnsi="Arial"/>
          <w:sz w:val="17"/>
          <w:szCs w:val="17"/>
          <w:color w:val="003551"/>
        </w:rPr>
      </w:pPr>
    </w:p>
    <w:p>
      <w:pPr>
        <w:ind w:left="2320" w:right="719" w:hanging="335"/>
        <w:spacing w:after="0" w:line="283" w:lineRule="auto"/>
        <w:tabs>
          <w:tab w:leader="none" w:pos="2320" w:val="left"/>
        </w:tabs>
        <w:numPr>
          <w:ilvl w:val="1"/>
          <w:numId w:val="195"/>
        </w:numPr>
        <w:rPr>
          <w:rFonts w:ascii="Arial" w:cs="Arial" w:eastAsia="Arial" w:hAnsi="Arial"/>
          <w:sz w:val="17"/>
          <w:szCs w:val="17"/>
          <w:color w:val="003551"/>
        </w:rPr>
      </w:pPr>
      <w:r>
        <w:rPr>
          <w:rFonts w:ascii="Arial" w:cs="Arial" w:eastAsia="Arial" w:hAnsi="Arial"/>
          <w:sz w:val="17"/>
          <w:szCs w:val="17"/>
          <w:color w:val="003551"/>
        </w:rPr>
        <w:t xml:space="preserve">in any other circumstances in which the Listing Rules </w:t>
      </w:r>
      <w:r>
        <w:rPr>
          <w:rFonts w:ascii="Arial" w:cs="Arial" w:eastAsia="Arial" w:hAnsi="Arial"/>
          <w:sz w:val="17"/>
          <w:szCs w:val="17"/>
          <w:color w:val="FF0000"/>
          <w:strike w:val="1"/>
        </w:rPr>
        <w:t>requires</w:t>
      </w:r>
      <w:r>
        <w:rPr>
          <w:rFonts w:ascii="Arial" w:cs="Arial" w:eastAsia="Arial" w:hAnsi="Arial"/>
          <w:sz w:val="17"/>
          <w:szCs w:val="17"/>
          <w:u w:val="single" w:color="auto"/>
          <w:color w:val="0000FF"/>
        </w:rPr>
        <w:t>or the Securities Laws</w:t>
      </w:r>
      <w:r>
        <w:rPr>
          <w:rFonts w:ascii="Arial" w:cs="Arial" w:eastAsia="Arial" w:hAnsi="Arial"/>
          <w:sz w:val="17"/>
          <w:szCs w:val="17"/>
          <w:color w:val="003551"/>
        </w:rPr>
        <w:t xml:space="preserve"> </w:t>
      </w:r>
      <w:r>
        <w:rPr>
          <w:rFonts w:ascii="Arial" w:cs="Arial" w:eastAsia="Arial" w:hAnsi="Arial"/>
          <w:sz w:val="17"/>
          <w:szCs w:val="17"/>
          <w:u w:val="single" w:color="auto"/>
          <w:color w:val="0000FF"/>
        </w:rPr>
        <w:t>require</w:t>
      </w:r>
      <w:r>
        <w:rPr>
          <w:rFonts w:ascii="Arial" w:cs="Arial" w:eastAsia="Arial" w:hAnsi="Arial"/>
          <w:sz w:val="17"/>
          <w:szCs w:val="17"/>
          <w:color w:val="0000FF"/>
        </w:rPr>
        <w:t xml:space="preserve"> </w:t>
      </w:r>
      <w:r>
        <w:rPr>
          <w:rFonts w:ascii="Arial" w:cs="Arial" w:eastAsia="Arial" w:hAnsi="Arial"/>
          <w:sz w:val="17"/>
          <w:szCs w:val="17"/>
          <w:color w:val="000000"/>
        </w:rPr>
        <w:t>holders of preference shares to be entitled to vote,</w:t>
      </w:r>
    </w:p>
    <w:p>
      <w:pPr>
        <w:spacing w:after="0" w:line="37" w:lineRule="exact"/>
        <w:rPr>
          <w:sz w:val="20"/>
          <w:szCs w:val="20"/>
          <w:color w:val="auto"/>
        </w:rPr>
      </w:pPr>
    </w:p>
    <w:p>
      <w:pPr>
        <w:ind w:left="1640" w:right="679"/>
        <w:spacing w:after="0" w:line="251" w:lineRule="auto"/>
        <w:rPr>
          <w:sz w:val="20"/>
          <w:szCs w:val="20"/>
          <w:color w:val="auto"/>
        </w:rPr>
      </w:pPr>
      <w:r>
        <w:rPr>
          <w:rFonts w:ascii="Arial" w:cs="Arial" w:eastAsia="Arial" w:hAnsi="Arial"/>
          <w:sz w:val="17"/>
          <w:szCs w:val="17"/>
          <w:color w:val="003551"/>
        </w:rPr>
        <w:t xml:space="preserve">but does not give any right to vote at any general meeting of the company in any other circumstances unless otherwise decided by the board at the time of issue. The holder of a preference share who is entitled to vote in respect of that share under this </w:t>
      </w:r>
      <w:r>
        <w:rPr>
          <w:rFonts w:ascii="Arial" w:cs="Arial" w:eastAsia="Arial" w:hAnsi="Arial"/>
          <w:sz w:val="17"/>
          <w:szCs w:val="17"/>
          <w:u w:val="single" w:color="auto"/>
          <w:color w:val="003551"/>
        </w:rPr>
        <w:t>Schedule 2</w:t>
      </w:r>
      <w:r>
        <w:rPr>
          <w:rFonts w:ascii="Arial" w:cs="Arial" w:eastAsia="Arial" w:hAnsi="Arial"/>
          <w:sz w:val="17"/>
          <w:szCs w:val="17"/>
          <w:color w:val="003551"/>
        </w:rPr>
        <w:t xml:space="preserve"> is, on a poll, entitled to the greater of one vote per preference share or such other number of votes specified in, or determined in accordance with, the terms of issue for the preference share.</w:t>
      </w:r>
    </w:p>
    <w:p>
      <w:pPr>
        <w:spacing w:after="0" w:line="63" w:lineRule="exact"/>
        <w:rPr>
          <w:sz w:val="20"/>
          <w:szCs w:val="20"/>
          <w:color w:val="auto"/>
        </w:rPr>
      </w:pPr>
    </w:p>
    <w:p>
      <w:pPr>
        <w:ind w:left="1640" w:hanging="703"/>
        <w:spacing w:after="0"/>
        <w:tabs>
          <w:tab w:leader="none" w:pos="1640" w:val="left"/>
        </w:tabs>
        <w:numPr>
          <w:ilvl w:val="0"/>
          <w:numId w:val="196"/>
        </w:numPr>
        <w:rPr>
          <w:rFonts w:ascii="Arial" w:cs="Arial" w:eastAsia="Arial" w:hAnsi="Arial"/>
          <w:sz w:val="17"/>
          <w:szCs w:val="17"/>
          <w:b w:val="1"/>
          <w:bCs w:val="1"/>
          <w:color w:val="003551"/>
        </w:rPr>
      </w:pPr>
      <w:r>
        <w:rPr>
          <w:rFonts w:ascii="Arial" w:cs="Arial" w:eastAsia="Arial" w:hAnsi="Arial"/>
          <w:sz w:val="17"/>
          <w:szCs w:val="17"/>
          <w:b w:val="1"/>
          <w:bCs w:val="1"/>
          <w:color w:val="003551"/>
        </w:rPr>
        <w:t>Information</w:t>
      </w:r>
    </w:p>
    <w:p>
      <w:pPr>
        <w:spacing w:after="0" w:line="107" w:lineRule="exact"/>
        <w:rPr>
          <w:rFonts w:ascii="Arial" w:cs="Arial" w:eastAsia="Arial" w:hAnsi="Arial"/>
          <w:sz w:val="17"/>
          <w:szCs w:val="17"/>
          <w:b w:val="1"/>
          <w:bCs w:val="1"/>
          <w:color w:val="003551"/>
        </w:rPr>
      </w:pPr>
    </w:p>
    <w:p>
      <w:pPr>
        <w:ind w:left="1640" w:right="899"/>
        <w:spacing w:after="0" w:line="262" w:lineRule="auto"/>
        <w:rPr>
          <w:rFonts w:ascii="Arial" w:cs="Arial" w:eastAsia="Arial" w:hAnsi="Arial"/>
          <w:sz w:val="17"/>
          <w:szCs w:val="17"/>
          <w:b w:val="1"/>
          <w:bCs w:val="1"/>
          <w:color w:val="003551"/>
        </w:rPr>
      </w:pPr>
      <w:r>
        <w:rPr>
          <w:rFonts w:ascii="Arial" w:cs="Arial" w:eastAsia="Arial" w:hAnsi="Arial"/>
          <w:sz w:val="17"/>
          <w:szCs w:val="17"/>
          <w:color w:val="003551"/>
        </w:rPr>
        <w:t>Each preference share gives its holder the same rights as the holders of ordinary shares to receive notices, reports and accounts and to attend and speak at general meetings of the company.</w:t>
      </w:r>
    </w:p>
    <w:p>
      <w:pPr>
        <w:spacing w:after="0" w:line="52" w:lineRule="exact"/>
        <w:rPr>
          <w:rFonts w:ascii="Arial" w:cs="Arial" w:eastAsia="Arial" w:hAnsi="Arial"/>
          <w:sz w:val="17"/>
          <w:szCs w:val="17"/>
          <w:b w:val="1"/>
          <w:bCs w:val="1"/>
          <w:color w:val="003551"/>
        </w:rPr>
      </w:pPr>
    </w:p>
    <w:p>
      <w:pPr>
        <w:ind w:left="1640" w:hanging="703"/>
        <w:spacing w:after="0"/>
        <w:tabs>
          <w:tab w:leader="none" w:pos="1640" w:val="left"/>
        </w:tabs>
        <w:numPr>
          <w:ilvl w:val="0"/>
          <w:numId w:val="196"/>
        </w:numPr>
        <w:rPr>
          <w:rFonts w:ascii="Arial" w:cs="Arial" w:eastAsia="Arial" w:hAnsi="Arial"/>
          <w:sz w:val="17"/>
          <w:szCs w:val="17"/>
          <w:b w:val="1"/>
          <w:bCs w:val="1"/>
          <w:color w:val="003551"/>
        </w:rPr>
      </w:pPr>
      <w:r>
        <w:rPr>
          <w:rFonts w:ascii="Arial" w:cs="Arial" w:eastAsia="Arial" w:hAnsi="Arial"/>
          <w:sz w:val="17"/>
          <w:szCs w:val="17"/>
          <w:b w:val="1"/>
          <w:bCs w:val="1"/>
          <w:color w:val="003551"/>
        </w:rPr>
        <w:t>Redeemable preference shares</w:t>
      </w:r>
    </w:p>
    <w:p>
      <w:pPr>
        <w:spacing w:after="0" w:line="107" w:lineRule="exact"/>
        <w:rPr>
          <w:rFonts w:ascii="Arial" w:cs="Arial" w:eastAsia="Arial" w:hAnsi="Arial"/>
          <w:sz w:val="17"/>
          <w:szCs w:val="17"/>
          <w:b w:val="1"/>
          <w:bCs w:val="1"/>
          <w:color w:val="003551"/>
        </w:rPr>
      </w:pPr>
    </w:p>
    <w:p>
      <w:pPr>
        <w:ind w:left="1640" w:right="399"/>
        <w:spacing w:after="0" w:line="262" w:lineRule="auto"/>
        <w:rPr>
          <w:rFonts w:ascii="Arial" w:cs="Arial" w:eastAsia="Arial" w:hAnsi="Arial"/>
          <w:sz w:val="17"/>
          <w:szCs w:val="17"/>
          <w:b w:val="1"/>
          <w:bCs w:val="1"/>
          <w:color w:val="003551"/>
        </w:rPr>
      </w:pPr>
      <w:r>
        <w:rPr>
          <w:rFonts w:ascii="Arial" w:cs="Arial" w:eastAsia="Arial" w:hAnsi="Arial"/>
          <w:sz w:val="17"/>
          <w:szCs w:val="17"/>
          <w:color w:val="003551"/>
        </w:rPr>
        <w:t>In the case of a redeemable preference share, the company must redeem the share, pay the amount payable on redemption of the share or otherwise deal with the redemption, in accordance with the terms of issue.</w:t>
      </w:r>
    </w:p>
    <w:p>
      <w:pPr>
        <w:spacing w:after="0" w:line="52" w:lineRule="exact"/>
        <w:rPr>
          <w:rFonts w:ascii="Arial" w:cs="Arial" w:eastAsia="Arial" w:hAnsi="Arial"/>
          <w:sz w:val="17"/>
          <w:szCs w:val="17"/>
          <w:b w:val="1"/>
          <w:bCs w:val="1"/>
          <w:color w:val="003551"/>
        </w:rPr>
      </w:pPr>
    </w:p>
    <w:p>
      <w:pPr>
        <w:ind w:left="1640" w:hanging="703"/>
        <w:spacing w:after="0"/>
        <w:tabs>
          <w:tab w:leader="none" w:pos="1640" w:val="left"/>
        </w:tabs>
        <w:numPr>
          <w:ilvl w:val="0"/>
          <w:numId w:val="196"/>
        </w:numPr>
        <w:rPr>
          <w:rFonts w:ascii="Arial" w:cs="Arial" w:eastAsia="Arial" w:hAnsi="Arial"/>
          <w:sz w:val="17"/>
          <w:szCs w:val="17"/>
          <w:b w:val="1"/>
          <w:bCs w:val="1"/>
          <w:color w:val="003551"/>
        </w:rPr>
      </w:pPr>
      <w:r>
        <w:rPr>
          <w:rFonts w:ascii="Arial" w:cs="Arial" w:eastAsia="Arial" w:hAnsi="Arial"/>
          <w:sz w:val="17"/>
          <w:szCs w:val="17"/>
          <w:b w:val="1"/>
          <w:bCs w:val="1"/>
          <w:color w:val="003551"/>
        </w:rPr>
        <w:t>Convertible shares</w:t>
      </w:r>
    </w:p>
    <w:p>
      <w:pPr>
        <w:spacing w:after="0" w:line="107" w:lineRule="exact"/>
        <w:rPr>
          <w:rFonts w:ascii="Arial" w:cs="Arial" w:eastAsia="Arial" w:hAnsi="Arial"/>
          <w:sz w:val="17"/>
          <w:szCs w:val="17"/>
          <w:b w:val="1"/>
          <w:bCs w:val="1"/>
          <w:color w:val="003551"/>
        </w:rPr>
      </w:pPr>
    </w:p>
    <w:p>
      <w:pPr>
        <w:ind w:left="1640" w:right="499"/>
        <w:spacing w:after="0" w:line="251" w:lineRule="auto"/>
        <w:rPr>
          <w:rFonts w:ascii="Arial" w:cs="Arial" w:eastAsia="Arial" w:hAnsi="Arial"/>
          <w:sz w:val="17"/>
          <w:szCs w:val="17"/>
          <w:b w:val="1"/>
          <w:bCs w:val="1"/>
          <w:color w:val="003551"/>
        </w:rPr>
      </w:pPr>
      <w:r>
        <w:rPr>
          <w:rFonts w:ascii="Arial" w:cs="Arial" w:eastAsia="Arial" w:hAnsi="Arial"/>
          <w:sz w:val="17"/>
          <w:szCs w:val="17"/>
          <w:color w:val="003551"/>
        </w:rPr>
        <w:t>Any ordinary shares arising on the conversion of a convertible preference share in accordance with the terms of its issue will, at the time of conversion and without any further act, have the same rights as, and rank equally with all other fully paid ordinary shares on issue, except to the extent that the terms of issue of the convertible preference share provide otherwise in relation to dividends paid on ordinary shares after conversion.</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119380</wp:posOffset>
            </wp:positionV>
            <wp:extent cx="6786880" cy="1651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580"/>
        <w:spacing w:after="0"/>
        <w:rPr>
          <w:sz w:val="20"/>
          <w:szCs w:val="20"/>
          <w:color w:val="auto"/>
        </w:rPr>
      </w:pPr>
      <w:r>
        <w:rPr>
          <w:rFonts w:ascii="Arial" w:cs="Arial" w:eastAsia="Arial" w:hAnsi="Arial"/>
          <w:sz w:val="17"/>
          <w:szCs w:val="17"/>
          <w:b w:val="1"/>
          <w:bCs w:val="1"/>
          <w:color w:val="77C483"/>
        </w:rPr>
        <w:t>Schedule 3</w:t>
      </w:r>
    </w:p>
    <w:p>
      <w:pPr>
        <w:spacing w:after="0" w:line="19" w:lineRule="exact"/>
        <w:rPr>
          <w:sz w:val="20"/>
          <w:szCs w:val="20"/>
          <w:color w:val="auto"/>
        </w:rPr>
      </w:pPr>
    </w:p>
    <w:p>
      <w:pPr>
        <w:jc w:val="center"/>
        <w:ind w:right="-380"/>
        <w:spacing w:after="0"/>
        <w:rPr>
          <w:sz w:val="20"/>
          <w:szCs w:val="20"/>
          <w:color w:val="auto"/>
        </w:rPr>
      </w:pPr>
      <w:r>
        <w:rPr>
          <w:rFonts w:ascii="Arial" w:cs="Arial" w:eastAsia="Arial" w:hAnsi="Arial"/>
          <w:sz w:val="17"/>
          <w:szCs w:val="17"/>
          <w:b w:val="1"/>
          <w:bCs w:val="1"/>
          <w:color w:val="auto"/>
        </w:rPr>
        <w:t> </w:t>
      </w:r>
    </w:p>
    <w:p>
      <w:pPr>
        <w:spacing w:after="0" w:line="1" w:lineRule="exact"/>
        <w:rPr>
          <w:sz w:val="20"/>
          <w:szCs w:val="20"/>
          <w:color w:val="auto"/>
        </w:rPr>
      </w:pPr>
    </w:p>
    <w:p>
      <w:pPr>
        <w:ind w:left="3560"/>
        <w:spacing w:after="0"/>
        <w:rPr>
          <w:sz w:val="20"/>
          <w:szCs w:val="20"/>
          <w:color w:val="auto"/>
        </w:rPr>
      </w:pPr>
      <w:r>
        <w:rPr>
          <w:rFonts w:ascii="Arial" w:cs="Arial" w:eastAsia="Arial" w:hAnsi="Arial"/>
          <w:sz w:val="17"/>
          <w:szCs w:val="17"/>
          <w:b w:val="1"/>
          <w:bCs w:val="1"/>
          <w:color w:val="FF0000"/>
          <w:strike w:val="1"/>
        </w:rPr>
        <w:t>CALLS ON SHARES</w:t>
      </w:r>
      <w:r>
        <w:rPr>
          <w:rFonts w:ascii="Arial" w:cs="Arial" w:eastAsia="Arial" w:hAnsi="Arial"/>
          <w:sz w:val="17"/>
          <w:szCs w:val="17"/>
          <w:b w:val="1"/>
          <w:bCs w:val="1"/>
          <w:u w:val="single" w:color="auto"/>
          <w:color w:val="0000FF"/>
          <w:strike w:val="1"/>
        </w:rPr>
        <w:t>Calls on Shares</w:t>
      </w:r>
    </w:p>
    <w:p>
      <w:pPr>
        <w:spacing w:after="0" w:line="88" w:lineRule="exact"/>
        <w:rPr>
          <w:sz w:val="20"/>
          <w:szCs w:val="20"/>
          <w:color w:val="auto"/>
        </w:rPr>
      </w:pPr>
    </w:p>
    <w:p>
      <w:pPr>
        <w:ind w:left="1640" w:hanging="703"/>
        <w:spacing w:after="0"/>
        <w:tabs>
          <w:tab w:leader="none" w:pos="1640" w:val="left"/>
        </w:tabs>
        <w:numPr>
          <w:ilvl w:val="0"/>
          <w:numId w:val="197"/>
        </w:numPr>
        <w:rPr>
          <w:rFonts w:ascii="Arial" w:cs="Arial" w:eastAsia="Arial" w:hAnsi="Arial"/>
          <w:sz w:val="17"/>
          <w:szCs w:val="17"/>
          <w:b w:val="1"/>
          <w:bCs w:val="1"/>
          <w:color w:val="003551"/>
        </w:rPr>
      </w:pPr>
      <w:r>
        <w:rPr>
          <w:rFonts w:ascii="Arial" w:cs="Arial" w:eastAsia="Arial" w:hAnsi="Arial"/>
          <w:sz w:val="17"/>
          <w:szCs w:val="17"/>
          <w:b w:val="1"/>
          <w:bCs w:val="1"/>
          <w:color w:val="003551"/>
        </w:rPr>
        <w:t>Terms of issue</w:t>
      </w:r>
    </w:p>
    <w:p>
      <w:pPr>
        <w:spacing w:after="0" w:line="107" w:lineRule="exact"/>
        <w:rPr>
          <w:rFonts w:ascii="Arial" w:cs="Arial" w:eastAsia="Arial" w:hAnsi="Arial"/>
          <w:sz w:val="17"/>
          <w:szCs w:val="17"/>
          <w:b w:val="1"/>
          <w:bCs w:val="1"/>
          <w:color w:val="003551"/>
        </w:rPr>
      </w:pPr>
    </w:p>
    <w:p>
      <w:pPr>
        <w:ind w:left="1640" w:right="899"/>
        <w:spacing w:after="0" w:line="283" w:lineRule="auto"/>
        <w:rPr>
          <w:rFonts w:ascii="Arial" w:cs="Arial" w:eastAsia="Arial" w:hAnsi="Arial"/>
          <w:sz w:val="17"/>
          <w:szCs w:val="17"/>
          <w:b w:val="1"/>
          <w:bCs w:val="1"/>
          <w:color w:val="003551"/>
        </w:rPr>
      </w:pPr>
      <w:r>
        <w:rPr>
          <w:rFonts w:ascii="Arial" w:cs="Arial" w:eastAsia="Arial" w:hAnsi="Arial"/>
          <w:sz w:val="17"/>
          <w:szCs w:val="17"/>
          <w:color w:val="003551"/>
        </w:rPr>
        <w:t>The board may, when the company issues shares, determine that calls on shares issued to members are to be payable at different times and in different amounts.</w:t>
      </w:r>
    </w:p>
    <w:p>
      <w:pPr>
        <w:spacing w:after="0" w:line="34" w:lineRule="exact"/>
        <w:rPr>
          <w:rFonts w:ascii="Arial" w:cs="Arial" w:eastAsia="Arial" w:hAnsi="Arial"/>
          <w:sz w:val="17"/>
          <w:szCs w:val="17"/>
          <w:b w:val="1"/>
          <w:bCs w:val="1"/>
          <w:color w:val="003551"/>
        </w:rPr>
      </w:pPr>
    </w:p>
    <w:p>
      <w:pPr>
        <w:ind w:left="1640" w:hanging="703"/>
        <w:spacing w:after="0"/>
        <w:tabs>
          <w:tab w:leader="none" w:pos="1640" w:val="left"/>
        </w:tabs>
        <w:numPr>
          <w:ilvl w:val="0"/>
          <w:numId w:val="197"/>
        </w:numPr>
        <w:rPr>
          <w:rFonts w:ascii="Arial" w:cs="Arial" w:eastAsia="Arial" w:hAnsi="Arial"/>
          <w:sz w:val="17"/>
          <w:szCs w:val="17"/>
          <w:b w:val="1"/>
          <w:bCs w:val="1"/>
          <w:color w:val="003551"/>
        </w:rPr>
      </w:pPr>
      <w:r>
        <w:rPr>
          <w:rFonts w:ascii="Arial" w:cs="Arial" w:eastAsia="Arial" w:hAnsi="Arial"/>
          <w:sz w:val="17"/>
          <w:szCs w:val="17"/>
          <w:b w:val="1"/>
          <w:bCs w:val="1"/>
          <w:color w:val="003551"/>
        </w:rPr>
        <w:t>Board’s power to make calls</w:t>
      </w:r>
    </w:p>
    <w:p>
      <w:pPr>
        <w:spacing w:after="0" w:line="107" w:lineRule="exact"/>
        <w:rPr>
          <w:rFonts w:ascii="Arial" w:cs="Arial" w:eastAsia="Arial" w:hAnsi="Arial"/>
          <w:sz w:val="17"/>
          <w:szCs w:val="17"/>
          <w:b w:val="1"/>
          <w:bCs w:val="1"/>
          <w:color w:val="003551"/>
        </w:rPr>
      </w:pPr>
    </w:p>
    <w:p>
      <w:pPr>
        <w:ind w:left="1640" w:right="679"/>
        <w:spacing w:after="0" w:line="283" w:lineRule="auto"/>
        <w:rPr>
          <w:rFonts w:ascii="Arial" w:cs="Arial" w:eastAsia="Arial" w:hAnsi="Arial"/>
          <w:sz w:val="17"/>
          <w:szCs w:val="17"/>
          <w:b w:val="1"/>
          <w:bCs w:val="1"/>
          <w:color w:val="003551"/>
        </w:rPr>
      </w:pPr>
      <w:r>
        <w:rPr>
          <w:rFonts w:ascii="Arial" w:cs="Arial" w:eastAsia="Arial" w:hAnsi="Arial"/>
          <w:sz w:val="17"/>
          <w:szCs w:val="17"/>
          <w:color w:val="003551"/>
        </w:rPr>
        <w:t xml:space="preserve">Subject to the terms on which any shares are issued </w:t>
      </w:r>
      <w:r>
        <w:rPr>
          <w:rFonts w:ascii="Arial" w:cs="Arial" w:eastAsia="Arial" w:hAnsi="Arial"/>
          <w:sz w:val="17"/>
          <w:szCs w:val="17"/>
          <w:color w:val="FF0000"/>
        </w:rPr>
        <w:t>and</w:t>
      </w:r>
      <w:r>
        <w:rPr>
          <w:rFonts w:ascii="Arial" w:cs="Arial" w:eastAsia="Arial" w:hAnsi="Arial"/>
          <w:sz w:val="17"/>
          <w:szCs w:val="17"/>
          <w:u w:val="single" w:color="auto"/>
          <w:color w:val="0000FF"/>
        </w:rPr>
        <w:t>,</w:t>
      </w:r>
      <w:r>
        <w:rPr>
          <w:rFonts w:ascii="Arial" w:cs="Arial" w:eastAsia="Arial" w:hAnsi="Arial"/>
          <w:sz w:val="17"/>
          <w:szCs w:val="17"/>
          <w:color w:val="003551"/>
        </w:rPr>
        <w:t xml:space="preserve"> </w:t>
      </w:r>
      <w:r>
        <w:rPr>
          <w:rFonts w:ascii="Arial" w:cs="Arial" w:eastAsia="Arial" w:hAnsi="Arial"/>
          <w:sz w:val="17"/>
          <w:szCs w:val="17"/>
          <w:color w:val="000000"/>
        </w:rPr>
        <w:t>the Listing Rules</w:t>
      </w:r>
      <w:r>
        <w:rPr>
          <w:rFonts w:ascii="Arial" w:cs="Arial" w:eastAsia="Arial" w:hAnsi="Arial"/>
          <w:sz w:val="17"/>
          <w:szCs w:val="17"/>
          <w:color w:val="003551"/>
        </w:rPr>
        <w:t xml:space="preserve"> </w:t>
      </w:r>
      <w:r>
        <w:rPr>
          <w:rFonts w:ascii="Arial" w:cs="Arial" w:eastAsia="Arial" w:hAnsi="Arial"/>
          <w:sz w:val="17"/>
          <w:szCs w:val="17"/>
          <w:color w:val="0000FF"/>
        </w:rPr>
        <w:t>and the Securities</w:t>
      </w:r>
      <w:r>
        <w:rPr>
          <w:rFonts w:ascii="Arial" w:cs="Arial" w:eastAsia="Arial" w:hAnsi="Arial"/>
          <w:sz w:val="17"/>
          <w:szCs w:val="17"/>
          <w:color w:val="003551"/>
        </w:rPr>
        <w:t xml:space="preserve"> </w:t>
      </w:r>
      <w:r>
        <w:rPr>
          <w:rFonts w:ascii="Arial" w:cs="Arial" w:eastAsia="Arial" w:hAnsi="Arial"/>
          <w:sz w:val="17"/>
          <w:szCs w:val="17"/>
          <w:u w:val="single" w:color="auto"/>
          <w:color w:val="0000FF"/>
        </w:rPr>
        <w:t>Laws</w:t>
      </w:r>
      <w:r>
        <w:rPr>
          <w:rFonts w:ascii="Arial" w:cs="Arial" w:eastAsia="Arial" w:hAnsi="Arial"/>
          <w:sz w:val="17"/>
          <w:szCs w:val="17"/>
          <w:color w:val="000000"/>
        </w:rPr>
        <w:t>, the board may:</w:t>
      </w:r>
    </w:p>
    <w:p>
      <w:pPr>
        <w:spacing w:after="0" w:line="36" w:lineRule="exact"/>
        <w:rPr>
          <w:rFonts w:ascii="Arial" w:cs="Arial" w:eastAsia="Arial" w:hAnsi="Arial"/>
          <w:sz w:val="17"/>
          <w:szCs w:val="17"/>
          <w:b w:val="1"/>
          <w:bCs w:val="1"/>
          <w:color w:val="003551"/>
        </w:rPr>
      </w:pPr>
    </w:p>
    <w:p>
      <w:pPr>
        <w:ind w:left="2320" w:right="379" w:hanging="335"/>
        <w:spacing w:after="0" w:line="283" w:lineRule="auto"/>
        <w:tabs>
          <w:tab w:leader="none" w:pos="2320" w:val="left"/>
        </w:tabs>
        <w:numPr>
          <w:ilvl w:val="1"/>
          <w:numId w:val="197"/>
        </w:numPr>
        <w:rPr>
          <w:rFonts w:ascii="Arial" w:cs="Arial" w:eastAsia="Arial" w:hAnsi="Arial"/>
          <w:sz w:val="17"/>
          <w:szCs w:val="17"/>
          <w:color w:val="003551"/>
        </w:rPr>
      </w:pPr>
      <w:r>
        <w:rPr>
          <w:rFonts w:ascii="Arial" w:cs="Arial" w:eastAsia="Arial" w:hAnsi="Arial"/>
          <w:sz w:val="17"/>
          <w:szCs w:val="17"/>
          <w:color w:val="003551"/>
        </w:rPr>
        <w:t>make calls on the members in respect of any amount unpaid on their shares which is not by the terms of issue of those shares made payable at fixed times;</w:t>
      </w:r>
    </w:p>
    <w:p>
      <w:pPr>
        <w:spacing w:after="0" w:line="36" w:lineRule="exact"/>
        <w:rPr>
          <w:rFonts w:ascii="Arial" w:cs="Arial" w:eastAsia="Arial" w:hAnsi="Arial"/>
          <w:sz w:val="17"/>
          <w:szCs w:val="17"/>
          <w:color w:val="003551"/>
        </w:rPr>
      </w:pPr>
    </w:p>
    <w:p>
      <w:pPr>
        <w:ind w:left="2320" w:hanging="335"/>
        <w:spacing w:after="0"/>
        <w:tabs>
          <w:tab w:leader="none" w:pos="2320" w:val="left"/>
        </w:tabs>
        <w:numPr>
          <w:ilvl w:val="1"/>
          <w:numId w:val="197"/>
        </w:numPr>
        <w:rPr>
          <w:rFonts w:ascii="Arial" w:cs="Arial" w:eastAsia="Arial" w:hAnsi="Arial"/>
          <w:sz w:val="17"/>
          <w:szCs w:val="17"/>
          <w:color w:val="003551"/>
        </w:rPr>
      </w:pPr>
      <w:r>
        <w:rPr>
          <w:rFonts w:ascii="Arial" w:cs="Arial" w:eastAsia="Arial" w:hAnsi="Arial"/>
          <w:sz w:val="17"/>
          <w:szCs w:val="17"/>
          <w:color w:val="003551"/>
        </w:rPr>
        <w:t>require a call to be paid by instalments; or</w:t>
      </w:r>
    </w:p>
    <w:p>
      <w:pPr>
        <w:spacing w:after="0" w:line="105" w:lineRule="exact"/>
        <w:rPr>
          <w:rFonts w:ascii="Arial" w:cs="Arial" w:eastAsia="Arial" w:hAnsi="Arial"/>
          <w:sz w:val="17"/>
          <w:szCs w:val="17"/>
          <w:color w:val="003551"/>
        </w:rPr>
      </w:pPr>
    </w:p>
    <w:p>
      <w:pPr>
        <w:ind w:left="2320" w:hanging="335"/>
        <w:spacing w:after="0"/>
        <w:tabs>
          <w:tab w:leader="none" w:pos="2320" w:val="left"/>
        </w:tabs>
        <w:numPr>
          <w:ilvl w:val="1"/>
          <w:numId w:val="197"/>
        </w:numPr>
        <w:rPr>
          <w:rFonts w:ascii="Arial" w:cs="Arial" w:eastAsia="Arial" w:hAnsi="Arial"/>
          <w:sz w:val="17"/>
          <w:szCs w:val="17"/>
          <w:color w:val="003551"/>
        </w:rPr>
      </w:pPr>
      <w:r>
        <w:rPr>
          <w:rFonts w:ascii="Arial" w:cs="Arial" w:eastAsia="Arial" w:hAnsi="Arial"/>
          <w:sz w:val="17"/>
          <w:szCs w:val="17"/>
          <w:color w:val="003551"/>
        </w:rPr>
        <w:t>revoke or postpone a call.</w:t>
      </w:r>
    </w:p>
    <w:p>
      <w:pPr>
        <w:spacing w:after="0" w:line="103" w:lineRule="exact"/>
        <w:rPr>
          <w:rFonts w:ascii="Arial" w:cs="Arial" w:eastAsia="Arial" w:hAnsi="Arial"/>
          <w:sz w:val="17"/>
          <w:szCs w:val="17"/>
          <w:color w:val="003551"/>
        </w:rPr>
      </w:pPr>
    </w:p>
    <w:p>
      <w:pPr>
        <w:ind w:left="1640" w:hanging="703"/>
        <w:spacing w:after="0"/>
        <w:tabs>
          <w:tab w:leader="none" w:pos="1640" w:val="left"/>
        </w:tabs>
        <w:numPr>
          <w:ilvl w:val="0"/>
          <w:numId w:val="197"/>
        </w:numPr>
        <w:rPr>
          <w:rFonts w:ascii="Arial" w:cs="Arial" w:eastAsia="Arial" w:hAnsi="Arial"/>
          <w:sz w:val="17"/>
          <w:szCs w:val="17"/>
          <w:b w:val="1"/>
          <w:bCs w:val="1"/>
          <w:color w:val="003551"/>
        </w:rPr>
      </w:pPr>
      <w:r>
        <w:rPr>
          <w:rFonts w:ascii="Arial" w:cs="Arial" w:eastAsia="Arial" w:hAnsi="Arial"/>
          <w:sz w:val="17"/>
          <w:szCs w:val="17"/>
          <w:b w:val="1"/>
          <w:bCs w:val="1"/>
          <w:color w:val="003551"/>
        </w:rPr>
        <w:t>Time of call</w:t>
      </w:r>
    </w:p>
    <w:p>
      <w:pPr>
        <w:spacing w:after="0" w:line="107" w:lineRule="exact"/>
        <w:rPr>
          <w:rFonts w:ascii="Arial" w:cs="Arial" w:eastAsia="Arial" w:hAnsi="Arial"/>
          <w:sz w:val="17"/>
          <w:szCs w:val="17"/>
          <w:b w:val="1"/>
          <w:bCs w:val="1"/>
          <w:color w:val="003551"/>
        </w:rPr>
      </w:pPr>
    </w:p>
    <w:p>
      <w:pPr>
        <w:ind w:left="1640" w:right="399"/>
        <w:spacing w:after="0" w:line="283" w:lineRule="auto"/>
        <w:rPr>
          <w:rFonts w:ascii="Arial" w:cs="Arial" w:eastAsia="Arial" w:hAnsi="Arial"/>
          <w:sz w:val="17"/>
          <w:szCs w:val="17"/>
          <w:b w:val="1"/>
          <w:bCs w:val="1"/>
          <w:color w:val="003551"/>
        </w:rPr>
      </w:pPr>
      <w:r>
        <w:rPr>
          <w:rFonts w:ascii="Arial" w:cs="Arial" w:eastAsia="Arial" w:hAnsi="Arial"/>
          <w:sz w:val="17"/>
          <w:szCs w:val="17"/>
          <w:color w:val="003551"/>
        </w:rPr>
        <w:t>A call is taken to made at the time specified in the resolution of the board authorising the call or, if no such time is specified, at the time that the resolution is passed.</w:t>
      </w:r>
    </w:p>
    <w:p>
      <w:pPr>
        <w:spacing w:after="0" w:line="34" w:lineRule="exact"/>
        <w:rPr>
          <w:rFonts w:ascii="Arial" w:cs="Arial" w:eastAsia="Arial" w:hAnsi="Arial"/>
          <w:sz w:val="17"/>
          <w:szCs w:val="17"/>
          <w:b w:val="1"/>
          <w:bCs w:val="1"/>
          <w:color w:val="003551"/>
        </w:rPr>
      </w:pPr>
    </w:p>
    <w:p>
      <w:pPr>
        <w:ind w:left="1640" w:hanging="703"/>
        <w:spacing w:after="0"/>
        <w:tabs>
          <w:tab w:leader="none" w:pos="1640" w:val="left"/>
        </w:tabs>
        <w:numPr>
          <w:ilvl w:val="0"/>
          <w:numId w:val="197"/>
        </w:numPr>
        <w:rPr>
          <w:rFonts w:ascii="Arial" w:cs="Arial" w:eastAsia="Arial" w:hAnsi="Arial"/>
          <w:sz w:val="17"/>
          <w:szCs w:val="17"/>
          <w:b w:val="1"/>
          <w:bCs w:val="1"/>
          <w:color w:val="003551"/>
        </w:rPr>
      </w:pPr>
      <w:r>
        <w:rPr>
          <w:rFonts w:ascii="Arial" w:cs="Arial" w:eastAsia="Arial" w:hAnsi="Arial"/>
          <w:sz w:val="17"/>
          <w:szCs w:val="17"/>
          <w:b w:val="1"/>
          <w:bCs w:val="1"/>
          <w:color w:val="003551"/>
        </w:rPr>
        <w:t>Notice of calls</w:t>
      </w:r>
    </w:p>
    <w:p>
      <w:pPr>
        <w:spacing w:after="0" w:line="107" w:lineRule="exact"/>
        <w:rPr>
          <w:rFonts w:ascii="Arial" w:cs="Arial" w:eastAsia="Arial" w:hAnsi="Arial"/>
          <w:sz w:val="17"/>
          <w:szCs w:val="17"/>
          <w:b w:val="1"/>
          <w:bCs w:val="1"/>
          <w:color w:val="003551"/>
        </w:rPr>
      </w:pPr>
    </w:p>
    <w:p>
      <w:pPr>
        <w:ind w:left="1640" w:right="419"/>
        <w:spacing w:after="0" w:line="251" w:lineRule="auto"/>
        <w:rPr>
          <w:rFonts w:ascii="Arial" w:cs="Arial" w:eastAsia="Arial" w:hAnsi="Arial"/>
          <w:sz w:val="17"/>
          <w:szCs w:val="17"/>
          <w:b w:val="1"/>
          <w:bCs w:val="1"/>
          <w:color w:val="003551"/>
        </w:rPr>
      </w:pPr>
      <w:r>
        <w:rPr>
          <w:rFonts w:ascii="Arial" w:cs="Arial" w:eastAsia="Arial" w:hAnsi="Arial"/>
          <w:sz w:val="17"/>
          <w:szCs w:val="17"/>
          <w:color w:val="003551"/>
        </w:rPr>
        <w:t xml:space="preserve">The company must give notice of a call to each member upon whom the call is made at least 10 Business Days (or any longer period required by the Listing Rules </w:t>
      </w:r>
      <w:r>
        <w:rPr>
          <w:rFonts w:ascii="Arial" w:cs="Arial" w:eastAsia="Arial" w:hAnsi="Arial"/>
          <w:sz w:val="17"/>
          <w:szCs w:val="17"/>
          <w:color w:val="0000FF"/>
        </w:rPr>
        <w:t>or the Securities Laws</w:t>
      </w:r>
      <w:r>
        <w:rPr>
          <w:rFonts w:ascii="Arial" w:cs="Arial" w:eastAsia="Arial" w:hAnsi="Arial"/>
          <w:sz w:val="17"/>
          <w:szCs w:val="17"/>
          <w:color w:val="000000"/>
        </w:rPr>
        <w:t>)</w:t>
      </w:r>
      <w:r>
        <w:rPr>
          <w:rFonts w:ascii="Arial" w:cs="Arial" w:eastAsia="Arial" w:hAnsi="Arial"/>
          <w:sz w:val="17"/>
          <w:szCs w:val="17"/>
          <w:color w:val="003551"/>
        </w:rPr>
        <w:t xml:space="preserve"> </w:t>
      </w:r>
      <w:r>
        <w:rPr>
          <w:rFonts w:ascii="Arial" w:cs="Arial" w:eastAsia="Arial" w:hAnsi="Arial"/>
          <w:sz w:val="17"/>
          <w:szCs w:val="17"/>
          <w:color w:val="000000"/>
        </w:rPr>
        <w:t>before the amount called is due to be paid specifying the amount of the call, the time for payment and the manner in which payment must be made. The non-receipt of a notice of a call by, or the accidental omission to give notice of a call to, any member does not invalidate the call.</w:t>
      </w:r>
    </w:p>
    <w:p>
      <w:pPr>
        <w:spacing w:after="0" w:line="63" w:lineRule="exact"/>
        <w:rPr>
          <w:rFonts w:ascii="Arial" w:cs="Arial" w:eastAsia="Arial" w:hAnsi="Arial"/>
          <w:sz w:val="17"/>
          <w:szCs w:val="17"/>
          <w:b w:val="1"/>
          <w:bCs w:val="1"/>
          <w:color w:val="003551"/>
        </w:rPr>
      </w:pPr>
    </w:p>
    <w:p>
      <w:pPr>
        <w:ind w:left="1640" w:hanging="703"/>
        <w:spacing w:after="0"/>
        <w:tabs>
          <w:tab w:leader="none" w:pos="1640" w:val="left"/>
        </w:tabs>
        <w:numPr>
          <w:ilvl w:val="0"/>
          <w:numId w:val="197"/>
        </w:numPr>
        <w:rPr>
          <w:rFonts w:ascii="Arial" w:cs="Arial" w:eastAsia="Arial" w:hAnsi="Arial"/>
          <w:sz w:val="17"/>
          <w:szCs w:val="17"/>
          <w:b w:val="1"/>
          <w:bCs w:val="1"/>
          <w:color w:val="003551"/>
        </w:rPr>
      </w:pPr>
      <w:r>
        <w:rPr>
          <w:rFonts w:ascii="Arial" w:cs="Arial" w:eastAsia="Arial" w:hAnsi="Arial"/>
          <w:sz w:val="17"/>
          <w:szCs w:val="17"/>
          <w:b w:val="1"/>
          <w:bCs w:val="1"/>
          <w:color w:val="003551"/>
        </w:rPr>
        <w:t>Liability for calls</w:t>
      </w:r>
    </w:p>
    <w:p>
      <w:pPr>
        <w:spacing w:after="0" w:line="107" w:lineRule="exact"/>
        <w:rPr>
          <w:rFonts w:ascii="Arial" w:cs="Arial" w:eastAsia="Arial" w:hAnsi="Arial"/>
          <w:sz w:val="17"/>
          <w:szCs w:val="17"/>
          <w:b w:val="1"/>
          <w:bCs w:val="1"/>
          <w:color w:val="003551"/>
        </w:rPr>
      </w:pPr>
    </w:p>
    <w:p>
      <w:pPr>
        <w:ind w:left="1640" w:right="579"/>
        <w:spacing w:after="0" w:line="262" w:lineRule="auto"/>
        <w:rPr>
          <w:rFonts w:ascii="Arial" w:cs="Arial" w:eastAsia="Arial" w:hAnsi="Arial"/>
          <w:sz w:val="17"/>
          <w:szCs w:val="17"/>
          <w:b w:val="1"/>
          <w:bCs w:val="1"/>
          <w:color w:val="003551"/>
        </w:rPr>
      </w:pPr>
      <w:r>
        <w:rPr>
          <w:rFonts w:ascii="Arial" w:cs="Arial" w:eastAsia="Arial" w:hAnsi="Arial"/>
          <w:sz w:val="17"/>
          <w:szCs w:val="17"/>
          <w:color w:val="003551"/>
        </w:rPr>
        <w:t>Each member must pay to the company at the time and in the manner specified in the notice of call the amount called on the member’s shares. The joint holders of a share are jointly and severally liable to pay all calls in respect of the share.</w:t>
      </w:r>
    </w:p>
    <w:p>
      <w:pPr>
        <w:spacing w:after="0" w:line="52" w:lineRule="exact"/>
        <w:rPr>
          <w:rFonts w:ascii="Arial" w:cs="Arial" w:eastAsia="Arial" w:hAnsi="Arial"/>
          <w:sz w:val="17"/>
          <w:szCs w:val="17"/>
          <w:b w:val="1"/>
          <w:bCs w:val="1"/>
          <w:color w:val="003551"/>
        </w:rPr>
      </w:pPr>
    </w:p>
    <w:p>
      <w:pPr>
        <w:ind w:left="1640" w:hanging="703"/>
        <w:spacing w:after="0"/>
        <w:tabs>
          <w:tab w:leader="none" w:pos="1640" w:val="left"/>
        </w:tabs>
        <w:numPr>
          <w:ilvl w:val="0"/>
          <w:numId w:val="197"/>
        </w:numPr>
        <w:rPr>
          <w:rFonts w:ascii="Arial" w:cs="Arial" w:eastAsia="Arial" w:hAnsi="Arial"/>
          <w:sz w:val="17"/>
          <w:szCs w:val="17"/>
          <w:b w:val="1"/>
          <w:bCs w:val="1"/>
          <w:color w:val="003551"/>
        </w:rPr>
      </w:pPr>
      <w:r>
        <w:rPr>
          <w:rFonts w:ascii="Arial" w:cs="Arial" w:eastAsia="Arial" w:hAnsi="Arial"/>
          <w:sz w:val="17"/>
          <w:szCs w:val="17"/>
          <w:b w:val="1"/>
          <w:bCs w:val="1"/>
          <w:color w:val="003551"/>
        </w:rPr>
        <w:t>Fixed instalments taken to be calls</w:t>
      </w:r>
    </w:p>
    <w:p>
      <w:pPr>
        <w:spacing w:after="0" w:line="107" w:lineRule="exact"/>
        <w:rPr>
          <w:rFonts w:ascii="Arial" w:cs="Arial" w:eastAsia="Arial" w:hAnsi="Arial"/>
          <w:sz w:val="17"/>
          <w:szCs w:val="17"/>
          <w:b w:val="1"/>
          <w:bCs w:val="1"/>
          <w:color w:val="003551"/>
        </w:rPr>
      </w:pPr>
    </w:p>
    <w:p>
      <w:pPr>
        <w:ind w:left="1640" w:right="459"/>
        <w:spacing w:after="0" w:line="251" w:lineRule="auto"/>
        <w:rPr>
          <w:rFonts w:ascii="Arial" w:cs="Arial" w:eastAsia="Arial" w:hAnsi="Arial"/>
          <w:sz w:val="17"/>
          <w:szCs w:val="17"/>
          <w:b w:val="1"/>
          <w:bCs w:val="1"/>
          <w:color w:val="003551"/>
        </w:rPr>
      </w:pPr>
      <w:r>
        <w:rPr>
          <w:rFonts w:ascii="Arial" w:cs="Arial" w:eastAsia="Arial" w:hAnsi="Arial"/>
          <w:sz w:val="17"/>
          <w:szCs w:val="17"/>
          <w:color w:val="003551"/>
        </w:rPr>
        <w:t>If the terms of issue of a share require an amount to be paid in respect of the share at a fixed date, the amount so payable must be treated under this constitution as if a call for that amount had been made in accordance with this constitution in such a way that the call is payable on that fixed date (and all provisions of this constitution relating to non- payment of calls apply equally to any non-payment of the amount required to be paid on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3608070</wp:posOffset>
            </wp:positionH>
            <wp:positionV relativeFrom="paragraph">
              <wp:posOffset>-3806825</wp:posOffset>
            </wp:positionV>
            <wp:extent cx="21590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15900" cy="8255"/>
                    </a:xfrm>
                    <a:prstGeom prst="rect">
                      <a:avLst/>
                    </a:prstGeom>
                    <a:noFill/>
                  </pic:spPr>
                </pic:pic>
              </a:graphicData>
            </a:graphic>
          </wp:anchor>
        </w:drawing>
        <w:drawing>
          <wp:anchor simplePos="0" relativeHeight="251657728" behindDoc="1" locked="0" layoutInCell="0" allowOverlap="1">
            <wp:simplePos x="0" y="0"/>
            <wp:positionH relativeFrom="column">
              <wp:posOffset>4704080</wp:posOffset>
            </wp:positionH>
            <wp:positionV relativeFrom="paragraph">
              <wp:posOffset>-3740150</wp:posOffset>
            </wp:positionV>
            <wp:extent cx="92329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923290" cy="8255"/>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-3756660</wp:posOffset>
            </wp:positionV>
            <wp:extent cx="91821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918210" cy="8255"/>
                    </a:xfrm>
                    <a:prstGeom prst="rect">
                      <a:avLst/>
                    </a:prstGeom>
                    <a:noFill/>
                  </pic:spPr>
                </pic:pic>
              </a:graphicData>
            </a:graphic>
          </wp:anchor>
        </w:drawing>
        <w:drawing>
          <wp:anchor simplePos="0" relativeHeight="251657728" behindDoc="1" locked="0" layoutInCell="0" allowOverlap="1">
            <wp:simplePos x="0" y="0"/>
            <wp:positionH relativeFrom="column">
              <wp:posOffset>4412615</wp:posOffset>
            </wp:positionH>
            <wp:positionV relativeFrom="paragraph">
              <wp:posOffset>-1901825</wp:posOffset>
            </wp:positionV>
            <wp:extent cx="112268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122680" cy="8255"/>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-1918335</wp:posOffset>
            </wp:positionV>
            <wp:extent cx="112141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121410" cy="8255"/>
                    </a:xfrm>
                    <a:prstGeom prst="rect">
                      <a:avLst/>
                    </a:prstGeom>
                    <a:noFill/>
                  </pic:spPr>
                </pic:pic>
              </a:graphicData>
            </a:graphic>
          </wp:anchor>
        </w:drawing>
      </w:r>
    </w:p>
    <w:p>
      <w:pPr>
        <w:spacing w:after="0" w:line="150"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119380</wp:posOffset>
            </wp:positionV>
            <wp:extent cx="6786880" cy="1651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6" w:right="1440"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640" w:hanging="703"/>
        <w:spacing w:after="0"/>
        <w:tabs>
          <w:tab w:leader="none" w:pos="1640" w:val="left"/>
        </w:tabs>
        <w:numPr>
          <w:ilvl w:val="0"/>
          <w:numId w:val="198"/>
        </w:numPr>
        <w:rPr>
          <w:rFonts w:ascii="Arial" w:cs="Arial" w:eastAsia="Arial" w:hAnsi="Arial"/>
          <w:sz w:val="17"/>
          <w:szCs w:val="17"/>
          <w:b w:val="1"/>
          <w:bCs w:val="1"/>
          <w:color w:val="003551"/>
        </w:rPr>
      </w:pPr>
      <w:r>
        <w:rPr>
          <w:rFonts w:ascii="Arial" w:cs="Arial" w:eastAsia="Arial" w:hAnsi="Arial"/>
          <w:sz w:val="17"/>
          <w:szCs w:val="17"/>
          <w:b w:val="1"/>
          <w:bCs w:val="1"/>
          <w:color w:val="003551"/>
        </w:rPr>
        <w:t>Reimbursement of payments</w:t>
      </w:r>
    </w:p>
    <w:p>
      <w:pPr>
        <w:spacing w:after="0" w:line="107" w:lineRule="exact"/>
        <w:rPr>
          <w:rFonts w:ascii="Arial" w:cs="Arial" w:eastAsia="Arial" w:hAnsi="Arial"/>
          <w:sz w:val="17"/>
          <w:szCs w:val="17"/>
          <w:b w:val="1"/>
          <w:bCs w:val="1"/>
          <w:color w:val="003551"/>
        </w:rPr>
      </w:pPr>
    </w:p>
    <w:p>
      <w:pPr>
        <w:ind w:left="1980" w:hanging="344"/>
        <w:spacing w:after="0"/>
        <w:tabs>
          <w:tab w:leader="none" w:pos="1980" w:val="left"/>
        </w:tabs>
        <w:numPr>
          <w:ilvl w:val="1"/>
          <w:numId w:val="198"/>
        </w:numPr>
        <w:rPr>
          <w:rFonts w:ascii="Arial" w:cs="Arial" w:eastAsia="Arial" w:hAnsi="Arial"/>
          <w:sz w:val="17"/>
          <w:szCs w:val="17"/>
          <w:color w:val="003551"/>
        </w:rPr>
      </w:pPr>
      <w:r>
        <w:rPr>
          <w:rFonts w:ascii="Arial" w:cs="Arial" w:eastAsia="Arial" w:hAnsi="Arial"/>
          <w:sz w:val="17"/>
          <w:szCs w:val="17"/>
          <w:color w:val="003551"/>
        </w:rPr>
        <w:t>If the company becomes liable for any reason under a law to make a payment:</w:t>
      </w:r>
    </w:p>
    <w:p>
      <w:pPr>
        <w:spacing w:after="0" w:line="105" w:lineRule="exact"/>
        <w:rPr>
          <w:rFonts w:ascii="Arial" w:cs="Arial" w:eastAsia="Arial" w:hAnsi="Arial"/>
          <w:sz w:val="17"/>
          <w:szCs w:val="17"/>
          <w:color w:val="003551"/>
        </w:rPr>
      </w:pPr>
    </w:p>
    <w:p>
      <w:pPr>
        <w:ind w:left="2320" w:hanging="335"/>
        <w:spacing w:after="0"/>
        <w:tabs>
          <w:tab w:leader="none" w:pos="2320" w:val="left"/>
        </w:tabs>
        <w:numPr>
          <w:ilvl w:val="2"/>
          <w:numId w:val="198"/>
        </w:numPr>
        <w:rPr>
          <w:rFonts w:ascii="Arial" w:cs="Arial" w:eastAsia="Arial" w:hAnsi="Arial"/>
          <w:sz w:val="17"/>
          <w:szCs w:val="17"/>
          <w:color w:val="003551"/>
        </w:rPr>
      </w:pPr>
      <w:r>
        <w:rPr>
          <w:rFonts w:ascii="Arial" w:cs="Arial" w:eastAsia="Arial" w:hAnsi="Arial"/>
          <w:sz w:val="17"/>
          <w:szCs w:val="17"/>
          <w:color w:val="003551"/>
        </w:rPr>
        <w:t>in respect of shares held solely or jointly by a member;</w:t>
      </w:r>
    </w:p>
    <w:p>
      <w:pPr>
        <w:spacing w:after="0" w:line="105" w:lineRule="exact"/>
        <w:rPr>
          <w:rFonts w:ascii="Arial" w:cs="Arial" w:eastAsia="Arial" w:hAnsi="Arial"/>
          <w:sz w:val="17"/>
          <w:szCs w:val="17"/>
          <w:color w:val="003551"/>
        </w:rPr>
      </w:pPr>
    </w:p>
    <w:p>
      <w:pPr>
        <w:ind w:left="2320" w:hanging="335"/>
        <w:spacing w:after="0"/>
        <w:tabs>
          <w:tab w:leader="none" w:pos="2320" w:val="left"/>
        </w:tabs>
        <w:numPr>
          <w:ilvl w:val="2"/>
          <w:numId w:val="198"/>
        </w:numPr>
        <w:rPr>
          <w:rFonts w:ascii="Arial" w:cs="Arial" w:eastAsia="Arial" w:hAnsi="Arial"/>
          <w:sz w:val="17"/>
          <w:szCs w:val="17"/>
          <w:color w:val="003551"/>
        </w:rPr>
      </w:pPr>
      <w:r>
        <w:rPr>
          <w:rFonts w:ascii="Arial" w:cs="Arial" w:eastAsia="Arial" w:hAnsi="Arial"/>
          <w:sz w:val="17"/>
          <w:szCs w:val="17"/>
          <w:color w:val="003551"/>
        </w:rPr>
        <w:t>in respect of a transfer or transmission of shares by a member;</w:t>
      </w:r>
    </w:p>
    <w:p>
      <w:pPr>
        <w:spacing w:after="0" w:line="105" w:lineRule="exact"/>
        <w:rPr>
          <w:rFonts w:ascii="Arial" w:cs="Arial" w:eastAsia="Arial" w:hAnsi="Arial"/>
          <w:sz w:val="17"/>
          <w:szCs w:val="17"/>
          <w:color w:val="003551"/>
        </w:rPr>
      </w:pPr>
    </w:p>
    <w:p>
      <w:pPr>
        <w:ind w:left="2320" w:right="399" w:hanging="335"/>
        <w:spacing w:after="0" w:line="283" w:lineRule="auto"/>
        <w:tabs>
          <w:tab w:leader="none" w:pos="2320" w:val="left"/>
        </w:tabs>
        <w:numPr>
          <w:ilvl w:val="2"/>
          <w:numId w:val="198"/>
        </w:numPr>
        <w:rPr>
          <w:rFonts w:ascii="Arial" w:cs="Arial" w:eastAsia="Arial" w:hAnsi="Arial"/>
          <w:sz w:val="17"/>
          <w:szCs w:val="17"/>
          <w:color w:val="003551"/>
        </w:rPr>
      </w:pPr>
      <w:r>
        <w:rPr>
          <w:rFonts w:ascii="Arial" w:cs="Arial" w:eastAsia="Arial" w:hAnsi="Arial"/>
          <w:sz w:val="17"/>
          <w:szCs w:val="17"/>
          <w:color w:val="003551"/>
        </w:rPr>
        <w:t>in respect of dividends, bonuses or other amounts due or payable or which may become due and payable to a member; or</w:t>
      </w:r>
    </w:p>
    <w:p>
      <w:pPr>
        <w:spacing w:after="0" w:line="36" w:lineRule="exact"/>
        <w:rPr>
          <w:rFonts w:ascii="Arial" w:cs="Arial" w:eastAsia="Arial" w:hAnsi="Arial"/>
          <w:sz w:val="17"/>
          <w:szCs w:val="17"/>
          <w:color w:val="003551"/>
        </w:rPr>
      </w:pPr>
    </w:p>
    <w:p>
      <w:pPr>
        <w:ind w:left="2320" w:hanging="335"/>
        <w:spacing w:after="0"/>
        <w:tabs>
          <w:tab w:leader="none" w:pos="2320" w:val="left"/>
        </w:tabs>
        <w:numPr>
          <w:ilvl w:val="2"/>
          <w:numId w:val="198"/>
        </w:numPr>
        <w:rPr>
          <w:rFonts w:ascii="Arial" w:cs="Arial" w:eastAsia="Arial" w:hAnsi="Arial"/>
          <w:sz w:val="17"/>
          <w:szCs w:val="17"/>
          <w:color w:val="003551"/>
        </w:rPr>
      </w:pPr>
      <w:r>
        <w:rPr>
          <w:rFonts w:ascii="Arial" w:cs="Arial" w:eastAsia="Arial" w:hAnsi="Arial"/>
          <w:sz w:val="17"/>
          <w:szCs w:val="17"/>
          <w:color w:val="003551"/>
        </w:rPr>
        <w:t>in any other way for, on account of or relating to a member,</w:t>
      </w:r>
    </w:p>
    <w:p>
      <w:pPr>
        <w:spacing w:after="0" w:line="106" w:lineRule="exact"/>
        <w:rPr>
          <w:sz w:val="20"/>
          <w:szCs w:val="20"/>
          <w:color w:val="auto"/>
        </w:rPr>
      </w:pPr>
    </w:p>
    <w:p>
      <w:pPr>
        <w:ind w:left="1980" w:right="1099"/>
        <w:spacing w:after="0" w:line="283" w:lineRule="auto"/>
        <w:rPr>
          <w:sz w:val="20"/>
          <w:szCs w:val="20"/>
          <w:color w:val="auto"/>
        </w:rPr>
      </w:pPr>
      <w:r>
        <w:rPr>
          <w:rFonts w:ascii="Arial" w:cs="Arial" w:eastAsia="Arial" w:hAnsi="Arial"/>
          <w:sz w:val="17"/>
          <w:szCs w:val="17"/>
          <w:u w:val="single" w:color="auto"/>
          <w:color w:val="003551"/>
        </w:rPr>
        <w:t>paragraphs 7(b)</w:t>
      </w:r>
      <w:r>
        <w:rPr>
          <w:rFonts w:ascii="Arial" w:cs="Arial" w:eastAsia="Arial" w:hAnsi="Arial"/>
          <w:sz w:val="17"/>
          <w:szCs w:val="17"/>
          <w:color w:val="003551"/>
        </w:rPr>
        <w:t xml:space="preserve"> and </w:t>
      </w:r>
      <w:r>
        <w:rPr>
          <w:rFonts w:ascii="Arial" w:cs="Arial" w:eastAsia="Arial" w:hAnsi="Arial"/>
          <w:sz w:val="17"/>
          <w:szCs w:val="17"/>
          <w:u w:val="single" w:color="auto"/>
          <w:color w:val="003551"/>
        </w:rPr>
        <w:t>7(c)</w:t>
      </w:r>
      <w:r>
        <w:rPr>
          <w:rFonts w:ascii="Arial" w:cs="Arial" w:eastAsia="Arial" w:hAnsi="Arial"/>
          <w:sz w:val="17"/>
          <w:szCs w:val="17"/>
          <w:color w:val="003551"/>
        </w:rPr>
        <w:t xml:space="preserve"> apply, in addition to any right or remedy the company may otherwise have.</w:t>
      </w:r>
    </w:p>
    <w:p>
      <w:pPr>
        <w:spacing w:after="0" w:line="37" w:lineRule="exact"/>
        <w:rPr>
          <w:sz w:val="20"/>
          <w:szCs w:val="20"/>
          <w:color w:val="auto"/>
        </w:rPr>
      </w:pPr>
    </w:p>
    <w:p>
      <w:pPr>
        <w:ind w:left="1980" w:hanging="344"/>
        <w:spacing w:after="0"/>
        <w:tabs>
          <w:tab w:leader="none" w:pos="1980" w:val="left"/>
        </w:tabs>
        <w:numPr>
          <w:ilvl w:val="1"/>
          <w:numId w:val="199"/>
        </w:numPr>
        <w:rPr>
          <w:rFonts w:ascii="Arial" w:cs="Arial" w:eastAsia="Arial" w:hAnsi="Arial"/>
          <w:sz w:val="17"/>
          <w:szCs w:val="17"/>
          <w:color w:val="003551"/>
        </w:rPr>
      </w:pPr>
      <w:r>
        <w:rPr>
          <w:rFonts w:ascii="Arial" w:cs="Arial" w:eastAsia="Arial" w:hAnsi="Arial"/>
          <w:sz w:val="17"/>
          <w:szCs w:val="17"/>
          <w:color w:val="003551"/>
        </w:rPr>
        <w:t>The member or, if the member is dead, the member’s legal personal representative, must:</w:t>
      </w:r>
    </w:p>
    <w:p>
      <w:pPr>
        <w:spacing w:after="0" w:line="105" w:lineRule="exact"/>
        <w:rPr>
          <w:rFonts w:ascii="Arial" w:cs="Arial" w:eastAsia="Arial" w:hAnsi="Arial"/>
          <w:sz w:val="17"/>
          <w:szCs w:val="17"/>
          <w:color w:val="003551"/>
        </w:rPr>
      </w:pPr>
    </w:p>
    <w:p>
      <w:pPr>
        <w:ind w:left="2320" w:hanging="335"/>
        <w:spacing w:after="0"/>
        <w:tabs>
          <w:tab w:leader="none" w:pos="2320" w:val="left"/>
        </w:tabs>
        <w:numPr>
          <w:ilvl w:val="2"/>
          <w:numId w:val="199"/>
        </w:numPr>
        <w:rPr>
          <w:rFonts w:ascii="Arial" w:cs="Arial" w:eastAsia="Arial" w:hAnsi="Arial"/>
          <w:sz w:val="17"/>
          <w:szCs w:val="17"/>
          <w:color w:val="003551"/>
        </w:rPr>
      </w:pPr>
      <w:r>
        <w:rPr>
          <w:rFonts w:ascii="Arial" w:cs="Arial" w:eastAsia="Arial" w:hAnsi="Arial"/>
          <w:sz w:val="17"/>
          <w:szCs w:val="17"/>
          <w:color w:val="003551"/>
        </w:rPr>
        <w:t>fully indemnify the company against that liability;</w:t>
      </w:r>
    </w:p>
    <w:p>
      <w:pPr>
        <w:spacing w:after="0" w:line="105" w:lineRule="exact"/>
        <w:rPr>
          <w:rFonts w:ascii="Arial" w:cs="Arial" w:eastAsia="Arial" w:hAnsi="Arial"/>
          <w:sz w:val="17"/>
          <w:szCs w:val="17"/>
          <w:color w:val="003551"/>
        </w:rPr>
      </w:pPr>
    </w:p>
    <w:p>
      <w:pPr>
        <w:ind w:left="2320" w:hanging="335"/>
        <w:spacing w:after="0"/>
        <w:tabs>
          <w:tab w:leader="none" w:pos="2320" w:val="left"/>
        </w:tabs>
        <w:numPr>
          <w:ilvl w:val="2"/>
          <w:numId w:val="199"/>
        </w:numPr>
        <w:rPr>
          <w:rFonts w:ascii="Arial" w:cs="Arial" w:eastAsia="Arial" w:hAnsi="Arial"/>
          <w:sz w:val="17"/>
          <w:szCs w:val="17"/>
          <w:color w:val="003551"/>
        </w:rPr>
      </w:pPr>
      <w:r>
        <w:rPr>
          <w:rFonts w:ascii="Arial" w:cs="Arial" w:eastAsia="Arial" w:hAnsi="Arial"/>
          <w:sz w:val="17"/>
          <w:szCs w:val="17"/>
          <w:color w:val="003551"/>
        </w:rPr>
        <w:t>on demand reimburse the company for any payment made; and</w:t>
      </w:r>
    </w:p>
    <w:p>
      <w:pPr>
        <w:spacing w:after="0" w:line="105" w:lineRule="exact"/>
        <w:rPr>
          <w:rFonts w:ascii="Arial" w:cs="Arial" w:eastAsia="Arial" w:hAnsi="Arial"/>
          <w:sz w:val="17"/>
          <w:szCs w:val="17"/>
          <w:color w:val="003551"/>
        </w:rPr>
      </w:pPr>
    </w:p>
    <w:p>
      <w:pPr>
        <w:ind w:left="2320" w:right="539" w:hanging="335"/>
        <w:spacing w:after="0" w:line="262" w:lineRule="auto"/>
        <w:tabs>
          <w:tab w:leader="none" w:pos="2320" w:val="left"/>
        </w:tabs>
        <w:numPr>
          <w:ilvl w:val="2"/>
          <w:numId w:val="199"/>
        </w:numPr>
        <w:rPr>
          <w:rFonts w:ascii="Arial" w:cs="Arial" w:eastAsia="Arial" w:hAnsi="Arial"/>
          <w:sz w:val="17"/>
          <w:szCs w:val="17"/>
          <w:color w:val="003551"/>
        </w:rPr>
      </w:pPr>
      <w:r>
        <w:rPr>
          <w:rFonts w:ascii="Arial" w:cs="Arial" w:eastAsia="Arial" w:hAnsi="Arial"/>
          <w:sz w:val="17"/>
          <w:szCs w:val="17"/>
          <w:color w:val="003551"/>
        </w:rPr>
        <w:t xml:space="preserve">pay interest on the unpaid part of the amount payable to the company under </w:t>
      </w:r>
      <w:r>
        <w:rPr>
          <w:rFonts w:ascii="Arial" w:cs="Arial" w:eastAsia="Arial" w:hAnsi="Arial"/>
          <w:sz w:val="17"/>
          <w:szCs w:val="17"/>
          <w:u w:val="single" w:color="auto"/>
          <w:color w:val="003551"/>
        </w:rPr>
        <w:t>paragraph 7(b)(ii)</w:t>
      </w:r>
      <w:r>
        <w:rPr>
          <w:rFonts w:ascii="Arial" w:cs="Arial" w:eastAsia="Arial" w:hAnsi="Arial"/>
          <w:sz w:val="17"/>
          <w:szCs w:val="17"/>
          <w:color w:val="003551"/>
        </w:rPr>
        <w:t xml:space="preserve"> from the date of demand until the date the company is reimbursed in full for that payment, at a rate determined under </w:t>
      </w:r>
      <w:r>
        <w:rPr>
          <w:rFonts w:ascii="Arial" w:cs="Arial" w:eastAsia="Arial" w:hAnsi="Arial"/>
          <w:sz w:val="17"/>
          <w:szCs w:val="17"/>
          <w:u w:val="single" w:color="auto"/>
          <w:color w:val="003551"/>
        </w:rPr>
        <w:t>paragraph 8</w:t>
      </w:r>
      <w:r>
        <w:rPr>
          <w:rFonts w:ascii="Arial" w:cs="Arial" w:eastAsia="Arial" w:hAnsi="Arial"/>
          <w:sz w:val="17"/>
          <w:szCs w:val="17"/>
          <w:color w:val="003551"/>
        </w:rPr>
        <w:t>.</w:t>
      </w:r>
    </w:p>
    <w:p>
      <w:pPr>
        <w:spacing w:after="0" w:line="54" w:lineRule="exact"/>
        <w:rPr>
          <w:rFonts w:ascii="Arial" w:cs="Arial" w:eastAsia="Arial" w:hAnsi="Arial"/>
          <w:sz w:val="17"/>
          <w:szCs w:val="17"/>
          <w:color w:val="003551"/>
        </w:rPr>
      </w:pPr>
    </w:p>
    <w:p>
      <w:pPr>
        <w:ind w:left="1980" w:hanging="344"/>
        <w:spacing w:after="0"/>
        <w:tabs>
          <w:tab w:leader="none" w:pos="1980" w:val="left"/>
        </w:tabs>
        <w:numPr>
          <w:ilvl w:val="1"/>
          <w:numId w:val="199"/>
        </w:numPr>
        <w:rPr>
          <w:rFonts w:ascii="Arial" w:cs="Arial" w:eastAsia="Arial" w:hAnsi="Arial"/>
          <w:sz w:val="17"/>
          <w:szCs w:val="17"/>
          <w:color w:val="003551"/>
        </w:rPr>
      </w:pPr>
      <w:r>
        <w:rPr>
          <w:rFonts w:ascii="Arial" w:cs="Arial" w:eastAsia="Arial" w:hAnsi="Arial"/>
          <w:sz w:val="17"/>
          <w:szCs w:val="17"/>
          <w:color w:val="003551"/>
        </w:rPr>
        <w:t>The board may:</w:t>
      </w:r>
    </w:p>
    <w:p>
      <w:pPr>
        <w:spacing w:after="0" w:line="105" w:lineRule="exact"/>
        <w:rPr>
          <w:rFonts w:ascii="Arial" w:cs="Arial" w:eastAsia="Arial" w:hAnsi="Arial"/>
          <w:sz w:val="17"/>
          <w:szCs w:val="17"/>
          <w:color w:val="003551"/>
        </w:rPr>
      </w:pPr>
    </w:p>
    <w:p>
      <w:pPr>
        <w:ind w:left="2320" w:hanging="335"/>
        <w:spacing w:after="0"/>
        <w:tabs>
          <w:tab w:leader="none" w:pos="2320" w:val="left"/>
        </w:tabs>
        <w:numPr>
          <w:ilvl w:val="2"/>
          <w:numId w:val="199"/>
        </w:numPr>
        <w:rPr>
          <w:rFonts w:ascii="Arial" w:cs="Arial" w:eastAsia="Arial" w:hAnsi="Arial"/>
          <w:sz w:val="17"/>
          <w:szCs w:val="17"/>
          <w:color w:val="003551"/>
        </w:rPr>
      </w:pPr>
      <w:r>
        <w:rPr>
          <w:rFonts w:ascii="Arial" w:cs="Arial" w:eastAsia="Arial" w:hAnsi="Arial"/>
          <w:sz w:val="17"/>
          <w:szCs w:val="17"/>
          <w:color w:val="003551"/>
        </w:rPr>
        <w:t xml:space="preserve">exempt a share from all or part of this </w:t>
      </w:r>
      <w:r>
        <w:rPr>
          <w:rFonts w:ascii="Arial" w:cs="Arial" w:eastAsia="Arial" w:hAnsi="Arial"/>
          <w:sz w:val="17"/>
          <w:szCs w:val="17"/>
          <w:u w:val="single" w:color="auto"/>
          <w:color w:val="003551"/>
        </w:rPr>
        <w:t>paragraph 7</w:t>
      </w:r>
      <w:r>
        <w:rPr>
          <w:rFonts w:ascii="Arial" w:cs="Arial" w:eastAsia="Arial" w:hAnsi="Arial"/>
          <w:sz w:val="17"/>
          <w:szCs w:val="17"/>
          <w:color w:val="003551"/>
        </w:rPr>
        <w:t>; and</w:t>
      </w:r>
    </w:p>
    <w:p>
      <w:pPr>
        <w:spacing w:after="0" w:line="105" w:lineRule="exact"/>
        <w:rPr>
          <w:rFonts w:ascii="Arial" w:cs="Arial" w:eastAsia="Arial" w:hAnsi="Arial"/>
          <w:sz w:val="17"/>
          <w:szCs w:val="17"/>
          <w:color w:val="003551"/>
        </w:rPr>
      </w:pPr>
    </w:p>
    <w:p>
      <w:pPr>
        <w:ind w:left="2320" w:right="639" w:hanging="335"/>
        <w:spacing w:after="0" w:line="283" w:lineRule="auto"/>
        <w:tabs>
          <w:tab w:leader="none" w:pos="2320" w:val="left"/>
        </w:tabs>
        <w:numPr>
          <w:ilvl w:val="2"/>
          <w:numId w:val="199"/>
        </w:numPr>
        <w:rPr>
          <w:rFonts w:ascii="Arial" w:cs="Arial" w:eastAsia="Arial" w:hAnsi="Arial"/>
          <w:sz w:val="17"/>
          <w:szCs w:val="17"/>
          <w:color w:val="003551"/>
        </w:rPr>
      </w:pPr>
      <w:r>
        <w:rPr>
          <w:rFonts w:ascii="Arial" w:cs="Arial" w:eastAsia="Arial" w:hAnsi="Arial"/>
          <w:sz w:val="17"/>
          <w:szCs w:val="17"/>
          <w:color w:val="003551"/>
        </w:rPr>
        <w:t xml:space="preserve">waive or compromise all or part of any payment or interest due to the company under this </w:t>
      </w:r>
      <w:r>
        <w:rPr>
          <w:rFonts w:ascii="Arial" w:cs="Arial" w:eastAsia="Arial" w:hAnsi="Arial"/>
          <w:sz w:val="17"/>
          <w:szCs w:val="17"/>
          <w:u w:val="single" w:color="auto"/>
          <w:color w:val="003551"/>
        </w:rPr>
        <w:t>paragraph 7</w:t>
      </w:r>
      <w:r>
        <w:rPr>
          <w:rFonts w:ascii="Arial" w:cs="Arial" w:eastAsia="Arial" w:hAnsi="Arial"/>
          <w:sz w:val="17"/>
          <w:szCs w:val="17"/>
          <w:color w:val="003551"/>
        </w:rPr>
        <w:t>.</w:t>
      </w:r>
    </w:p>
    <w:p>
      <w:pPr>
        <w:spacing w:after="0" w:line="36" w:lineRule="exact"/>
        <w:rPr>
          <w:rFonts w:ascii="Arial" w:cs="Arial" w:eastAsia="Arial" w:hAnsi="Arial"/>
          <w:sz w:val="17"/>
          <w:szCs w:val="17"/>
          <w:color w:val="003551"/>
        </w:rPr>
      </w:pPr>
    </w:p>
    <w:p>
      <w:pPr>
        <w:ind w:left="1980" w:right="459" w:hanging="344"/>
        <w:spacing w:after="0" w:line="251" w:lineRule="auto"/>
        <w:tabs>
          <w:tab w:leader="none" w:pos="1980" w:val="left"/>
        </w:tabs>
        <w:numPr>
          <w:ilvl w:val="1"/>
          <w:numId w:val="199"/>
        </w:numPr>
        <w:rPr>
          <w:rFonts w:ascii="Arial" w:cs="Arial" w:eastAsia="Arial" w:hAnsi="Arial"/>
          <w:sz w:val="17"/>
          <w:szCs w:val="17"/>
          <w:color w:val="003551"/>
        </w:rPr>
      </w:pPr>
      <w:r>
        <w:rPr>
          <w:rFonts w:ascii="Arial" w:cs="Arial" w:eastAsia="Arial" w:hAnsi="Arial"/>
          <w:sz w:val="17"/>
          <w:szCs w:val="17"/>
          <w:color w:val="003551"/>
        </w:rPr>
        <w:t xml:space="preserve">Any amount payable to the company under this </w:t>
      </w:r>
      <w:r>
        <w:rPr>
          <w:rFonts w:ascii="Arial" w:cs="Arial" w:eastAsia="Arial" w:hAnsi="Arial"/>
          <w:sz w:val="17"/>
          <w:szCs w:val="17"/>
          <w:u w:val="single" w:color="auto"/>
          <w:color w:val="003551"/>
        </w:rPr>
        <w:t>paragraph 7</w:t>
      </w:r>
      <w:r>
        <w:rPr>
          <w:rFonts w:ascii="Arial" w:cs="Arial" w:eastAsia="Arial" w:hAnsi="Arial"/>
          <w:sz w:val="17"/>
          <w:szCs w:val="17"/>
          <w:color w:val="003551"/>
        </w:rPr>
        <w:t xml:space="preserve"> is taken to be a debt due to the company and must be treated as if a call for that amount had been made in accordance with this constitution in such a way that the call is payable on the date on which the demand for payment under this </w:t>
      </w:r>
      <w:r>
        <w:rPr>
          <w:rFonts w:ascii="Arial" w:cs="Arial" w:eastAsia="Arial" w:hAnsi="Arial"/>
          <w:sz w:val="17"/>
          <w:szCs w:val="17"/>
          <w:u w:val="single" w:color="auto"/>
          <w:color w:val="003551"/>
        </w:rPr>
        <w:t>paragraph 7</w:t>
      </w:r>
      <w:r>
        <w:rPr>
          <w:rFonts w:ascii="Arial" w:cs="Arial" w:eastAsia="Arial" w:hAnsi="Arial"/>
          <w:sz w:val="17"/>
          <w:szCs w:val="17"/>
          <w:color w:val="003551"/>
        </w:rPr>
        <w:t xml:space="preserve"> is made by the company (and all provisions of this constitution relating to non-payment of calls apply equally to the debt).</w:t>
      </w:r>
    </w:p>
    <w:p>
      <w:pPr>
        <w:spacing w:after="0" w:line="63" w:lineRule="exact"/>
        <w:rPr>
          <w:rFonts w:ascii="Arial" w:cs="Arial" w:eastAsia="Arial" w:hAnsi="Arial"/>
          <w:sz w:val="17"/>
          <w:szCs w:val="17"/>
          <w:color w:val="003551"/>
        </w:rPr>
      </w:pPr>
    </w:p>
    <w:p>
      <w:pPr>
        <w:ind w:left="1640" w:hanging="703"/>
        <w:spacing w:after="0"/>
        <w:tabs>
          <w:tab w:leader="none" w:pos="1640" w:val="left"/>
        </w:tabs>
        <w:numPr>
          <w:ilvl w:val="0"/>
          <w:numId w:val="200"/>
        </w:numPr>
        <w:rPr>
          <w:rFonts w:ascii="Arial" w:cs="Arial" w:eastAsia="Arial" w:hAnsi="Arial"/>
          <w:sz w:val="17"/>
          <w:szCs w:val="17"/>
          <w:b w:val="1"/>
          <w:bCs w:val="1"/>
          <w:color w:val="003551"/>
        </w:rPr>
      </w:pPr>
      <w:r>
        <w:rPr>
          <w:rFonts w:ascii="Arial" w:cs="Arial" w:eastAsia="Arial" w:hAnsi="Arial"/>
          <w:sz w:val="17"/>
          <w:szCs w:val="17"/>
          <w:b w:val="1"/>
          <w:bCs w:val="1"/>
          <w:color w:val="003551"/>
        </w:rPr>
        <w:t>Interest, cost and expenses</w:t>
      </w:r>
    </w:p>
    <w:p>
      <w:pPr>
        <w:spacing w:after="0" w:line="107" w:lineRule="exact"/>
        <w:rPr>
          <w:rFonts w:ascii="Arial" w:cs="Arial" w:eastAsia="Arial" w:hAnsi="Arial"/>
          <w:sz w:val="17"/>
          <w:szCs w:val="17"/>
          <w:b w:val="1"/>
          <w:bCs w:val="1"/>
          <w:color w:val="003551"/>
        </w:rPr>
      </w:pPr>
    </w:p>
    <w:p>
      <w:pPr>
        <w:ind w:left="1640" w:right="419"/>
        <w:spacing w:after="0" w:line="262" w:lineRule="auto"/>
        <w:rPr>
          <w:rFonts w:ascii="Arial" w:cs="Arial" w:eastAsia="Arial" w:hAnsi="Arial"/>
          <w:sz w:val="17"/>
          <w:szCs w:val="17"/>
          <w:b w:val="1"/>
          <w:bCs w:val="1"/>
          <w:color w:val="003551"/>
        </w:rPr>
      </w:pPr>
      <w:r>
        <w:rPr>
          <w:rFonts w:ascii="Arial" w:cs="Arial" w:eastAsia="Arial" w:hAnsi="Arial"/>
          <w:sz w:val="17"/>
          <w:szCs w:val="17"/>
          <w:color w:val="003551"/>
        </w:rPr>
        <w:t>If any amount called or otherwise payable to the company in respect of a share is not paid before or on the day appointed for payment, then unless the board determines otherwise, the person from whom the amount is due must pay:</w:t>
      </w:r>
    </w:p>
    <w:p>
      <w:pPr>
        <w:spacing w:after="0" w:line="54" w:lineRule="exact"/>
        <w:rPr>
          <w:sz w:val="20"/>
          <w:szCs w:val="20"/>
          <w:color w:val="auto"/>
        </w:rPr>
      </w:pPr>
    </w:p>
    <w:p>
      <w:pPr>
        <w:ind w:left="2320" w:right="799" w:hanging="335"/>
        <w:spacing w:after="0" w:line="262" w:lineRule="auto"/>
        <w:tabs>
          <w:tab w:leader="none" w:pos="2320" w:val="left"/>
        </w:tabs>
        <w:numPr>
          <w:ilvl w:val="0"/>
          <w:numId w:val="201"/>
        </w:numPr>
        <w:rPr>
          <w:rFonts w:ascii="Arial" w:cs="Arial" w:eastAsia="Arial" w:hAnsi="Arial"/>
          <w:sz w:val="17"/>
          <w:szCs w:val="17"/>
          <w:color w:val="003551"/>
        </w:rPr>
      </w:pPr>
      <w:r>
        <w:rPr>
          <w:rFonts w:ascii="Arial" w:cs="Arial" w:eastAsia="Arial" w:hAnsi="Arial"/>
          <w:sz w:val="17"/>
          <w:szCs w:val="17"/>
          <w:color w:val="003551"/>
        </w:rPr>
        <w:t>interest on the amount from the day appointed for its payment to the time of actual payment at the rate of 5% above the Reference Rate, or such lower rate as may be fixed by the board; and</w:t>
      </w:r>
    </w:p>
    <w:p>
      <w:pPr>
        <w:spacing w:after="0" w:line="54" w:lineRule="exact"/>
        <w:rPr>
          <w:rFonts w:ascii="Arial" w:cs="Arial" w:eastAsia="Arial" w:hAnsi="Arial"/>
          <w:sz w:val="17"/>
          <w:szCs w:val="17"/>
          <w:color w:val="003551"/>
        </w:rPr>
      </w:pPr>
    </w:p>
    <w:p>
      <w:pPr>
        <w:ind w:left="2320" w:right="499" w:hanging="335"/>
        <w:spacing w:after="0" w:line="283" w:lineRule="auto"/>
        <w:tabs>
          <w:tab w:leader="none" w:pos="2320" w:val="left"/>
        </w:tabs>
        <w:numPr>
          <w:ilvl w:val="0"/>
          <w:numId w:val="201"/>
        </w:numPr>
        <w:rPr>
          <w:rFonts w:ascii="Arial" w:cs="Arial" w:eastAsia="Arial" w:hAnsi="Arial"/>
          <w:sz w:val="17"/>
          <w:szCs w:val="17"/>
          <w:color w:val="003551"/>
        </w:rPr>
      </w:pPr>
      <w:r>
        <w:rPr>
          <w:rFonts w:ascii="Arial" w:cs="Arial" w:eastAsia="Arial" w:hAnsi="Arial"/>
          <w:sz w:val="17"/>
          <w:szCs w:val="17"/>
          <w:color w:val="003551"/>
        </w:rPr>
        <w:t>all reasonable costs and expenses incurred by the company by reason of non-payment or late payment of the sum.</w:t>
      </w:r>
    </w:p>
    <w:p>
      <w:pPr>
        <w:spacing w:after="0" w:line="37" w:lineRule="exact"/>
        <w:rPr>
          <w:sz w:val="20"/>
          <w:szCs w:val="20"/>
          <w:color w:val="auto"/>
        </w:rPr>
      </w:pPr>
    </w:p>
    <w:p>
      <w:pPr>
        <w:ind w:left="1980" w:right="399"/>
        <w:spacing w:after="0" w:line="283" w:lineRule="auto"/>
        <w:rPr>
          <w:sz w:val="20"/>
          <w:szCs w:val="20"/>
          <w:color w:val="auto"/>
        </w:rPr>
      </w:pPr>
      <w:r>
        <w:rPr>
          <w:rFonts w:ascii="Arial" w:cs="Arial" w:eastAsia="Arial" w:hAnsi="Arial"/>
          <w:sz w:val="17"/>
          <w:szCs w:val="17"/>
          <w:color w:val="003551"/>
        </w:rPr>
        <w:t xml:space="preserve">Any interest payable under this </w:t>
      </w:r>
      <w:r>
        <w:rPr>
          <w:rFonts w:ascii="Arial" w:cs="Arial" w:eastAsia="Arial" w:hAnsi="Arial"/>
          <w:sz w:val="17"/>
          <w:szCs w:val="17"/>
          <w:u w:val="single" w:color="auto"/>
          <w:color w:val="003551"/>
        </w:rPr>
        <w:t>paragraph 8</w:t>
      </w:r>
      <w:r>
        <w:rPr>
          <w:rFonts w:ascii="Arial" w:cs="Arial" w:eastAsia="Arial" w:hAnsi="Arial"/>
          <w:sz w:val="17"/>
          <w:szCs w:val="17"/>
          <w:color w:val="003551"/>
        </w:rPr>
        <w:t xml:space="preserve"> accrues daily and may be capitalised monthly or at such other intervals as the board decides.</w:t>
      </w:r>
    </w:p>
    <w:p>
      <w:pPr>
        <w:spacing w:after="0" w:line="142"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119380</wp:posOffset>
            </wp:positionV>
            <wp:extent cx="6786880" cy="1651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640" w:hanging="703"/>
        <w:spacing w:after="0"/>
        <w:tabs>
          <w:tab w:leader="none" w:pos="1640" w:val="left"/>
        </w:tabs>
        <w:numPr>
          <w:ilvl w:val="0"/>
          <w:numId w:val="202"/>
        </w:numPr>
        <w:rPr>
          <w:rFonts w:ascii="Arial" w:cs="Arial" w:eastAsia="Arial" w:hAnsi="Arial"/>
          <w:sz w:val="17"/>
          <w:szCs w:val="17"/>
          <w:b w:val="1"/>
          <w:bCs w:val="1"/>
          <w:color w:val="003551"/>
        </w:rPr>
      </w:pPr>
      <w:r>
        <w:rPr>
          <w:rFonts w:ascii="Arial" w:cs="Arial" w:eastAsia="Arial" w:hAnsi="Arial"/>
          <w:sz w:val="17"/>
          <w:szCs w:val="17"/>
          <w:b w:val="1"/>
          <w:bCs w:val="1"/>
          <w:color w:val="003551"/>
        </w:rPr>
        <w:t>Prepayments of calls</w:t>
      </w:r>
    </w:p>
    <w:p>
      <w:pPr>
        <w:spacing w:after="0" w:line="107" w:lineRule="exact"/>
        <w:rPr>
          <w:rFonts w:ascii="Arial" w:cs="Arial" w:eastAsia="Arial" w:hAnsi="Arial"/>
          <w:sz w:val="17"/>
          <w:szCs w:val="17"/>
          <w:b w:val="1"/>
          <w:bCs w:val="1"/>
          <w:color w:val="003551"/>
        </w:rPr>
      </w:pPr>
    </w:p>
    <w:p>
      <w:pPr>
        <w:ind w:left="1640" w:right="459"/>
        <w:spacing w:after="0" w:line="283" w:lineRule="auto"/>
        <w:rPr>
          <w:rFonts w:ascii="Arial" w:cs="Arial" w:eastAsia="Arial" w:hAnsi="Arial"/>
          <w:sz w:val="17"/>
          <w:szCs w:val="17"/>
          <w:b w:val="1"/>
          <w:bCs w:val="1"/>
          <w:color w:val="003551"/>
        </w:rPr>
      </w:pPr>
      <w:r>
        <w:rPr>
          <w:rFonts w:ascii="Arial" w:cs="Arial" w:eastAsia="Arial" w:hAnsi="Arial"/>
          <w:sz w:val="17"/>
          <w:szCs w:val="17"/>
          <w:color w:val="003551"/>
        </w:rPr>
        <w:t>The board may accept from a member the whole or a part of the amount unpaid on a share even if that amount has not been called, in which case:</w:t>
      </w:r>
    </w:p>
    <w:p>
      <w:pPr>
        <w:spacing w:after="0" w:line="36" w:lineRule="exact"/>
        <w:rPr>
          <w:rFonts w:ascii="Arial" w:cs="Arial" w:eastAsia="Arial" w:hAnsi="Arial"/>
          <w:sz w:val="17"/>
          <w:szCs w:val="17"/>
          <w:b w:val="1"/>
          <w:bCs w:val="1"/>
          <w:color w:val="003551"/>
        </w:rPr>
      </w:pPr>
    </w:p>
    <w:p>
      <w:pPr>
        <w:ind w:left="2320" w:right="579" w:hanging="335"/>
        <w:spacing w:after="0" w:line="283" w:lineRule="auto"/>
        <w:tabs>
          <w:tab w:leader="none" w:pos="2320" w:val="left"/>
        </w:tabs>
        <w:numPr>
          <w:ilvl w:val="2"/>
          <w:numId w:val="202"/>
        </w:numPr>
        <w:rPr>
          <w:rFonts w:ascii="Arial" w:cs="Arial" w:eastAsia="Arial" w:hAnsi="Arial"/>
          <w:sz w:val="17"/>
          <w:szCs w:val="17"/>
          <w:color w:val="003551"/>
        </w:rPr>
      </w:pPr>
      <w:r>
        <w:rPr>
          <w:rFonts w:ascii="Arial" w:cs="Arial" w:eastAsia="Arial" w:hAnsi="Arial"/>
          <w:sz w:val="17"/>
          <w:szCs w:val="17"/>
          <w:color w:val="003551"/>
        </w:rPr>
        <w:t>the amount accepted is to be treated as a loan to the company, not as share capital of the company until the date on which the amount is payable under a call;</w:t>
      </w:r>
    </w:p>
    <w:p>
      <w:pPr>
        <w:spacing w:after="0" w:line="36" w:lineRule="exact"/>
        <w:rPr>
          <w:rFonts w:ascii="Arial" w:cs="Arial" w:eastAsia="Arial" w:hAnsi="Arial"/>
          <w:sz w:val="17"/>
          <w:szCs w:val="17"/>
          <w:color w:val="003551"/>
        </w:rPr>
      </w:pPr>
    </w:p>
    <w:p>
      <w:pPr>
        <w:ind w:left="2320" w:right="619" w:hanging="335"/>
        <w:spacing w:after="0" w:line="283" w:lineRule="auto"/>
        <w:tabs>
          <w:tab w:leader="none" w:pos="2320" w:val="left"/>
        </w:tabs>
        <w:numPr>
          <w:ilvl w:val="2"/>
          <w:numId w:val="202"/>
        </w:numPr>
        <w:rPr>
          <w:rFonts w:ascii="Arial" w:cs="Arial" w:eastAsia="Arial" w:hAnsi="Arial"/>
          <w:sz w:val="17"/>
          <w:szCs w:val="17"/>
          <w:color w:val="003551"/>
        </w:rPr>
      </w:pPr>
      <w:r>
        <w:rPr>
          <w:rFonts w:ascii="Arial" w:cs="Arial" w:eastAsia="Arial" w:hAnsi="Arial"/>
          <w:sz w:val="17"/>
          <w:szCs w:val="17"/>
          <w:color w:val="003551"/>
        </w:rPr>
        <w:t>the amount is not to be taken into account in determining an entitlement to vote or the amount of any dividend in respect of any share;</w:t>
      </w:r>
    </w:p>
    <w:p>
      <w:pPr>
        <w:spacing w:after="0" w:line="36" w:lineRule="exact"/>
        <w:rPr>
          <w:rFonts w:ascii="Arial" w:cs="Arial" w:eastAsia="Arial" w:hAnsi="Arial"/>
          <w:sz w:val="17"/>
          <w:szCs w:val="17"/>
          <w:color w:val="003551"/>
        </w:rPr>
      </w:pPr>
    </w:p>
    <w:p>
      <w:pPr>
        <w:ind w:left="2320" w:right="399" w:hanging="335"/>
        <w:spacing w:after="0" w:line="255" w:lineRule="auto"/>
        <w:tabs>
          <w:tab w:leader="none" w:pos="2320" w:val="left"/>
        </w:tabs>
        <w:numPr>
          <w:ilvl w:val="2"/>
          <w:numId w:val="202"/>
        </w:numPr>
        <w:rPr>
          <w:rFonts w:ascii="Arial" w:cs="Arial" w:eastAsia="Arial" w:hAnsi="Arial"/>
          <w:sz w:val="17"/>
          <w:szCs w:val="17"/>
          <w:color w:val="003551"/>
        </w:rPr>
      </w:pPr>
      <w:r>
        <w:rPr>
          <w:rFonts w:ascii="Arial" w:cs="Arial" w:eastAsia="Arial" w:hAnsi="Arial"/>
          <w:sz w:val="17"/>
          <w:szCs w:val="17"/>
          <w:color w:val="003551"/>
        </w:rPr>
        <w:t>the board may authorise payment by the company of interest on the whole or any part of an amount so accepted until the amount becomes payable, at a rate, not exceeding the Reference Rate or 5%, as may be agreed between the board and the member paying the amount; and</w:t>
      </w:r>
    </w:p>
    <w:p>
      <w:pPr>
        <w:spacing w:after="0" w:line="59" w:lineRule="exact"/>
        <w:rPr>
          <w:rFonts w:ascii="Arial" w:cs="Arial" w:eastAsia="Arial" w:hAnsi="Arial"/>
          <w:sz w:val="17"/>
          <w:szCs w:val="17"/>
          <w:color w:val="003551"/>
        </w:rPr>
      </w:pPr>
    </w:p>
    <w:p>
      <w:pPr>
        <w:ind w:left="2320" w:right="719" w:hanging="335"/>
        <w:spacing w:after="0" w:line="283" w:lineRule="auto"/>
        <w:tabs>
          <w:tab w:leader="none" w:pos="2320" w:val="left"/>
        </w:tabs>
        <w:numPr>
          <w:ilvl w:val="2"/>
          <w:numId w:val="202"/>
        </w:numPr>
        <w:rPr>
          <w:rFonts w:ascii="Arial" w:cs="Arial" w:eastAsia="Arial" w:hAnsi="Arial"/>
          <w:sz w:val="17"/>
          <w:szCs w:val="17"/>
          <w:color w:val="003551"/>
        </w:rPr>
      </w:pPr>
      <w:r>
        <w:rPr>
          <w:rFonts w:ascii="Arial" w:cs="Arial" w:eastAsia="Arial" w:hAnsi="Arial"/>
          <w:sz w:val="17"/>
          <w:szCs w:val="17"/>
          <w:color w:val="003551"/>
        </w:rPr>
        <w:t>the board may repay any amount so accepted at any time until the amount becomes payable.</w:t>
      </w:r>
    </w:p>
    <w:p>
      <w:pPr>
        <w:spacing w:after="0" w:line="34" w:lineRule="exact"/>
        <w:rPr>
          <w:rFonts w:ascii="Arial" w:cs="Arial" w:eastAsia="Arial" w:hAnsi="Arial"/>
          <w:sz w:val="17"/>
          <w:szCs w:val="17"/>
          <w:color w:val="003551"/>
        </w:rPr>
      </w:pPr>
    </w:p>
    <w:p>
      <w:pPr>
        <w:ind w:left="1640" w:hanging="703"/>
        <w:spacing w:after="0"/>
        <w:tabs>
          <w:tab w:leader="none" w:pos="1640" w:val="left"/>
        </w:tabs>
        <w:numPr>
          <w:ilvl w:val="0"/>
          <w:numId w:val="202"/>
        </w:numPr>
        <w:rPr>
          <w:rFonts w:ascii="Arial" w:cs="Arial" w:eastAsia="Arial" w:hAnsi="Arial"/>
          <w:sz w:val="17"/>
          <w:szCs w:val="17"/>
          <w:b w:val="1"/>
          <w:bCs w:val="1"/>
          <w:color w:val="003551"/>
        </w:rPr>
      </w:pPr>
      <w:r>
        <w:rPr>
          <w:rFonts w:ascii="Arial" w:cs="Arial" w:eastAsia="Arial" w:hAnsi="Arial"/>
          <w:sz w:val="17"/>
          <w:szCs w:val="17"/>
          <w:b w:val="1"/>
          <w:bCs w:val="1"/>
          <w:color w:val="003551"/>
        </w:rPr>
        <w:t>Proceedings to recover calls</w:t>
      </w:r>
    </w:p>
    <w:p>
      <w:pPr>
        <w:spacing w:after="0" w:line="107" w:lineRule="exact"/>
        <w:rPr>
          <w:rFonts w:ascii="Arial" w:cs="Arial" w:eastAsia="Arial" w:hAnsi="Arial"/>
          <w:sz w:val="17"/>
          <w:szCs w:val="17"/>
          <w:b w:val="1"/>
          <w:bCs w:val="1"/>
          <w:color w:val="003551"/>
        </w:rPr>
      </w:pPr>
    </w:p>
    <w:p>
      <w:pPr>
        <w:ind w:left="1980" w:right="879" w:hanging="344"/>
        <w:spacing w:after="0" w:line="283" w:lineRule="auto"/>
        <w:tabs>
          <w:tab w:leader="none" w:pos="1980" w:val="left"/>
        </w:tabs>
        <w:numPr>
          <w:ilvl w:val="1"/>
          <w:numId w:val="202"/>
        </w:numPr>
        <w:rPr>
          <w:rFonts w:ascii="Arial" w:cs="Arial" w:eastAsia="Arial" w:hAnsi="Arial"/>
          <w:sz w:val="17"/>
          <w:szCs w:val="17"/>
          <w:color w:val="003551"/>
        </w:rPr>
      </w:pPr>
      <w:r>
        <w:rPr>
          <w:rFonts w:ascii="Arial" w:cs="Arial" w:eastAsia="Arial" w:hAnsi="Arial"/>
          <w:sz w:val="17"/>
          <w:szCs w:val="17"/>
          <w:color w:val="003551"/>
        </w:rPr>
        <w:t>In a proceeding to recover a call, or an amount payable due to the failure to pay or late payment of a call, proof that:</w:t>
      </w:r>
    </w:p>
    <w:p>
      <w:pPr>
        <w:spacing w:after="0" w:line="36" w:lineRule="exact"/>
        <w:rPr>
          <w:rFonts w:ascii="Arial" w:cs="Arial" w:eastAsia="Arial" w:hAnsi="Arial"/>
          <w:sz w:val="17"/>
          <w:szCs w:val="17"/>
          <w:color w:val="003551"/>
        </w:rPr>
      </w:pPr>
    </w:p>
    <w:p>
      <w:pPr>
        <w:ind w:left="2320" w:right="539" w:hanging="335"/>
        <w:spacing w:after="0" w:line="283" w:lineRule="auto"/>
        <w:tabs>
          <w:tab w:leader="none" w:pos="2320" w:val="left"/>
        </w:tabs>
        <w:numPr>
          <w:ilvl w:val="2"/>
          <w:numId w:val="203"/>
        </w:numPr>
        <w:rPr>
          <w:rFonts w:ascii="Arial" w:cs="Arial" w:eastAsia="Arial" w:hAnsi="Arial"/>
          <w:sz w:val="17"/>
          <w:szCs w:val="17"/>
          <w:color w:val="003551"/>
        </w:rPr>
      </w:pPr>
      <w:r>
        <w:rPr>
          <w:rFonts w:ascii="Arial" w:cs="Arial" w:eastAsia="Arial" w:hAnsi="Arial"/>
          <w:sz w:val="17"/>
          <w:szCs w:val="17"/>
          <w:color w:val="003551"/>
        </w:rPr>
        <w:t>the name of the defendant is entered in the register as the holder or one of the holders of the share on which the call is claimed;</w:t>
      </w:r>
    </w:p>
    <w:p>
      <w:pPr>
        <w:spacing w:after="0" w:line="37" w:lineRule="exact"/>
        <w:rPr>
          <w:sz w:val="20"/>
          <w:szCs w:val="20"/>
          <w:color w:val="auto"/>
        </w:rPr>
      </w:pPr>
    </w:p>
    <w:p>
      <w:pPr>
        <w:ind w:left="2320" w:hanging="335"/>
        <w:spacing w:after="0"/>
        <w:tabs>
          <w:tab w:leader="none" w:pos="2320" w:val="left"/>
        </w:tabs>
        <w:numPr>
          <w:ilvl w:val="0"/>
          <w:numId w:val="204"/>
        </w:numPr>
        <w:rPr>
          <w:rFonts w:ascii="Arial" w:cs="Arial" w:eastAsia="Arial" w:hAnsi="Arial"/>
          <w:sz w:val="17"/>
          <w:szCs w:val="17"/>
          <w:color w:val="003551"/>
        </w:rPr>
      </w:pPr>
      <w:r>
        <w:rPr>
          <w:rFonts w:ascii="Arial" w:cs="Arial" w:eastAsia="Arial" w:hAnsi="Arial"/>
          <w:sz w:val="17"/>
          <w:szCs w:val="17"/>
          <w:color w:val="003551"/>
        </w:rPr>
        <w:t>the resolution making the call is recorded in the minute book; and</w:t>
      </w:r>
    </w:p>
    <w:p>
      <w:pPr>
        <w:spacing w:after="0" w:line="105" w:lineRule="exact"/>
        <w:rPr>
          <w:rFonts w:ascii="Arial" w:cs="Arial" w:eastAsia="Arial" w:hAnsi="Arial"/>
          <w:sz w:val="17"/>
          <w:szCs w:val="17"/>
          <w:color w:val="003551"/>
        </w:rPr>
      </w:pPr>
    </w:p>
    <w:p>
      <w:pPr>
        <w:ind w:left="2320" w:hanging="335"/>
        <w:spacing w:after="0"/>
        <w:tabs>
          <w:tab w:leader="none" w:pos="2320" w:val="left"/>
        </w:tabs>
        <w:numPr>
          <w:ilvl w:val="0"/>
          <w:numId w:val="204"/>
        </w:numPr>
        <w:rPr>
          <w:rFonts w:ascii="Arial" w:cs="Arial" w:eastAsia="Arial" w:hAnsi="Arial"/>
          <w:sz w:val="17"/>
          <w:szCs w:val="17"/>
          <w:color w:val="003551"/>
        </w:rPr>
      </w:pPr>
      <w:r>
        <w:rPr>
          <w:rFonts w:ascii="Arial" w:cs="Arial" w:eastAsia="Arial" w:hAnsi="Arial"/>
          <w:sz w:val="17"/>
          <w:szCs w:val="17"/>
          <w:color w:val="003551"/>
        </w:rPr>
        <w:t>notice of the call was given to the defendant complying with this constitution,</w:t>
      </w:r>
    </w:p>
    <w:p>
      <w:pPr>
        <w:spacing w:after="0" w:line="106" w:lineRule="exact"/>
        <w:rPr>
          <w:sz w:val="20"/>
          <w:szCs w:val="20"/>
          <w:color w:val="auto"/>
        </w:rPr>
      </w:pPr>
    </w:p>
    <w:p>
      <w:pPr>
        <w:ind w:left="1980" w:right="659"/>
        <w:spacing w:after="0" w:line="283" w:lineRule="auto"/>
        <w:rPr>
          <w:sz w:val="20"/>
          <w:szCs w:val="20"/>
          <w:color w:val="auto"/>
        </w:rPr>
      </w:pPr>
      <w:r>
        <w:rPr>
          <w:rFonts w:ascii="Arial" w:cs="Arial" w:eastAsia="Arial" w:hAnsi="Arial"/>
          <w:sz w:val="17"/>
          <w:szCs w:val="17"/>
          <w:color w:val="003551"/>
        </w:rPr>
        <w:t>is conclusive evidence of the obligation to pay the call and it is not necessary to prove the appointment of the board who made the call or any other matter.</w:t>
      </w:r>
    </w:p>
    <w:p>
      <w:pPr>
        <w:spacing w:after="0" w:line="37" w:lineRule="exact"/>
        <w:rPr>
          <w:sz w:val="20"/>
          <w:szCs w:val="20"/>
          <w:color w:val="auto"/>
        </w:rPr>
      </w:pPr>
    </w:p>
    <w:p>
      <w:pPr>
        <w:ind w:left="1980" w:right="559" w:hanging="344"/>
        <w:spacing w:after="0" w:line="262" w:lineRule="auto"/>
        <w:tabs>
          <w:tab w:leader="none" w:pos="1980" w:val="left"/>
        </w:tabs>
        <w:numPr>
          <w:ilvl w:val="0"/>
          <w:numId w:val="205"/>
        </w:numPr>
        <w:rPr>
          <w:rFonts w:ascii="Arial" w:cs="Arial" w:eastAsia="Arial" w:hAnsi="Arial"/>
          <w:sz w:val="17"/>
          <w:szCs w:val="17"/>
          <w:color w:val="003551"/>
        </w:rPr>
      </w:pPr>
      <w:r>
        <w:rPr>
          <w:rFonts w:ascii="Arial" w:cs="Arial" w:eastAsia="Arial" w:hAnsi="Arial"/>
          <w:sz w:val="17"/>
          <w:szCs w:val="17"/>
          <w:color w:val="003551"/>
        </w:rPr>
        <w:t xml:space="preserve">In </w:t>
      </w:r>
      <w:r>
        <w:rPr>
          <w:rFonts w:ascii="Arial" w:cs="Arial" w:eastAsia="Arial" w:hAnsi="Arial"/>
          <w:sz w:val="17"/>
          <w:szCs w:val="17"/>
          <w:u w:val="single" w:color="auto"/>
          <w:color w:val="003551"/>
        </w:rPr>
        <w:t>paragraph 10(a)</w:t>
      </w:r>
      <w:r>
        <w:rPr>
          <w:rFonts w:ascii="Arial" w:cs="Arial" w:eastAsia="Arial" w:hAnsi="Arial"/>
          <w:sz w:val="17"/>
          <w:szCs w:val="17"/>
          <w:color w:val="003551"/>
        </w:rPr>
        <w:t>, defendant includes a person against whom the company alleges a set-off or counterclaim, and a proceeding to recover a call or an amount is to be interpreted accordingly.</w:t>
      </w:r>
    </w:p>
    <w:p>
      <w:pPr>
        <w:spacing w:after="0" w:line="15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119380</wp:posOffset>
            </wp:positionV>
            <wp:extent cx="6786880" cy="1651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580"/>
        <w:spacing w:after="0"/>
        <w:rPr>
          <w:sz w:val="20"/>
          <w:szCs w:val="20"/>
          <w:color w:val="auto"/>
        </w:rPr>
      </w:pPr>
      <w:r>
        <w:rPr>
          <w:rFonts w:ascii="Arial" w:cs="Arial" w:eastAsia="Arial" w:hAnsi="Arial"/>
          <w:sz w:val="17"/>
          <w:szCs w:val="17"/>
          <w:b w:val="1"/>
          <w:bCs w:val="1"/>
          <w:color w:val="77C483"/>
        </w:rPr>
        <w:t>Schedule 4</w:t>
      </w:r>
    </w:p>
    <w:p>
      <w:pPr>
        <w:spacing w:after="0" w:line="19" w:lineRule="exact"/>
        <w:rPr>
          <w:sz w:val="20"/>
          <w:szCs w:val="20"/>
          <w:color w:val="auto"/>
        </w:rPr>
      </w:pPr>
    </w:p>
    <w:p>
      <w:pPr>
        <w:jc w:val="center"/>
        <w:ind w:right="-420"/>
        <w:spacing w:after="0"/>
        <w:rPr>
          <w:sz w:val="20"/>
          <w:szCs w:val="20"/>
          <w:color w:val="auto"/>
        </w:rPr>
      </w:pPr>
      <w:r>
        <w:rPr>
          <w:rFonts w:ascii="Arial" w:cs="Arial" w:eastAsia="Arial" w:hAnsi="Arial"/>
          <w:sz w:val="17"/>
          <w:szCs w:val="17"/>
          <w:b w:val="1"/>
          <w:bCs w:val="1"/>
          <w:color w:val="auto"/>
        </w:rPr>
        <w:t> </w:t>
      </w:r>
    </w:p>
    <w:p>
      <w:pPr>
        <w:spacing w:after="0" w:line="1" w:lineRule="exact"/>
        <w:rPr>
          <w:sz w:val="20"/>
          <w:szCs w:val="20"/>
          <w:color w:val="auto"/>
        </w:rPr>
      </w:pPr>
    </w:p>
    <w:p>
      <w:pPr>
        <w:ind w:left="3580"/>
        <w:spacing w:after="0"/>
        <w:rPr>
          <w:sz w:val="20"/>
          <w:szCs w:val="20"/>
          <w:color w:val="auto"/>
        </w:rPr>
      </w:pPr>
      <w:r>
        <w:rPr>
          <w:rFonts w:ascii="Arial" w:cs="Arial" w:eastAsia="Arial" w:hAnsi="Arial"/>
          <w:sz w:val="17"/>
          <w:szCs w:val="17"/>
          <w:b w:val="1"/>
          <w:bCs w:val="1"/>
          <w:color w:val="FF0000"/>
          <w:strike w:val="1"/>
        </w:rPr>
        <w:t>LIENS ON SHARES</w:t>
      </w:r>
      <w:r>
        <w:rPr>
          <w:rFonts w:ascii="Arial" w:cs="Arial" w:eastAsia="Arial" w:hAnsi="Arial"/>
          <w:sz w:val="17"/>
          <w:szCs w:val="17"/>
          <w:b w:val="1"/>
          <w:bCs w:val="1"/>
          <w:u w:val="single" w:color="auto"/>
          <w:color w:val="0000FF"/>
          <w:strike w:val="1"/>
        </w:rPr>
        <w:t>Liens on Shares</w:t>
      </w:r>
    </w:p>
    <w:p>
      <w:pPr>
        <w:spacing w:after="0" w:line="88" w:lineRule="exact"/>
        <w:rPr>
          <w:sz w:val="20"/>
          <w:szCs w:val="20"/>
          <w:color w:val="auto"/>
        </w:rPr>
      </w:pPr>
    </w:p>
    <w:p>
      <w:pPr>
        <w:ind w:left="1640" w:hanging="703"/>
        <w:spacing w:after="0"/>
        <w:tabs>
          <w:tab w:leader="none" w:pos="1640" w:val="left"/>
        </w:tabs>
        <w:numPr>
          <w:ilvl w:val="0"/>
          <w:numId w:val="206"/>
        </w:numPr>
        <w:rPr>
          <w:rFonts w:ascii="Arial" w:cs="Arial" w:eastAsia="Arial" w:hAnsi="Arial"/>
          <w:sz w:val="17"/>
          <w:szCs w:val="17"/>
          <w:b w:val="1"/>
          <w:bCs w:val="1"/>
          <w:color w:val="003551"/>
        </w:rPr>
      </w:pPr>
      <w:r>
        <w:rPr>
          <w:rFonts w:ascii="Arial" w:cs="Arial" w:eastAsia="Arial" w:hAnsi="Arial"/>
          <w:sz w:val="17"/>
          <w:szCs w:val="17"/>
          <w:b w:val="1"/>
          <w:bCs w:val="1"/>
          <w:color w:val="003551"/>
        </w:rPr>
        <w:t>Lien on shares generally</w:t>
      </w:r>
    </w:p>
    <w:p>
      <w:pPr>
        <w:spacing w:after="0" w:line="133" w:lineRule="exact"/>
        <w:rPr>
          <w:rFonts w:ascii="Arial" w:cs="Arial" w:eastAsia="Arial" w:hAnsi="Arial"/>
          <w:sz w:val="17"/>
          <w:szCs w:val="17"/>
          <w:b w:val="1"/>
          <w:bCs w:val="1"/>
          <w:color w:val="003551"/>
        </w:rPr>
      </w:pPr>
    </w:p>
    <w:p>
      <w:pPr>
        <w:ind w:left="1640"/>
        <w:spacing w:after="0"/>
        <w:rPr>
          <w:rFonts w:ascii="Arial" w:cs="Arial" w:eastAsia="Arial" w:hAnsi="Arial"/>
          <w:sz w:val="17"/>
          <w:szCs w:val="17"/>
          <w:b w:val="1"/>
          <w:bCs w:val="1"/>
          <w:color w:val="003551"/>
        </w:rPr>
      </w:pPr>
      <w:r>
        <w:rPr>
          <w:rFonts w:ascii="Arial" w:cs="Arial" w:eastAsia="Arial" w:hAnsi="Arial"/>
          <w:sz w:val="17"/>
          <w:szCs w:val="17"/>
          <w:color w:val="003551"/>
        </w:rPr>
        <w:t>The company has a first and paramount lien on every share for:</w:t>
      </w:r>
    </w:p>
    <w:p>
      <w:pPr>
        <w:spacing w:after="0" w:line="105" w:lineRule="exact"/>
        <w:rPr>
          <w:rFonts w:ascii="Arial" w:cs="Arial" w:eastAsia="Arial" w:hAnsi="Arial"/>
          <w:sz w:val="17"/>
          <w:szCs w:val="17"/>
          <w:b w:val="1"/>
          <w:bCs w:val="1"/>
          <w:color w:val="003551"/>
        </w:rPr>
      </w:pPr>
    </w:p>
    <w:p>
      <w:pPr>
        <w:ind w:left="2320" w:right="899" w:hanging="335"/>
        <w:spacing w:after="0" w:line="262" w:lineRule="auto"/>
        <w:tabs>
          <w:tab w:leader="none" w:pos="2320" w:val="left"/>
        </w:tabs>
        <w:numPr>
          <w:ilvl w:val="1"/>
          <w:numId w:val="206"/>
        </w:numPr>
        <w:rPr>
          <w:rFonts w:ascii="Arial" w:cs="Arial" w:eastAsia="Arial" w:hAnsi="Arial"/>
          <w:sz w:val="17"/>
          <w:szCs w:val="17"/>
          <w:color w:val="003551"/>
        </w:rPr>
      </w:pPr>
      <w:r>
        <w:rPr>
          <w:rFonts w:ascii="Arial" w:cs="Arial" w:eastAsia="Arial" w:hAnsi="Arial"/>
          <w:sz w:val="17"/>
          <w:szCs w:val="17"/>
          <w:color w:val="003551"/>
        </w:rPr>
        <w:t>all amounts payable in respect of the share which have been called or which are payable at a fixed time and have become due (including all interest payable to the company in respect of the unpaid amount under the terms of this constitution);</w:t>
      </w:r>
    </w:p>
    <w:p>
      <w:pPr>
        <w:spacing w:after="0" w:line="54" w:lineRule="exact"/>
        <w:rPr>
          <w:rFonts w:ascii="Arial" w:cs="Arial" w:eastAsia="Arial" w:hAnsi="Arial"/>
          <w:sz w:val="17"/>
          <w:szCs w:val="17"/>
          <w:color w:val="003551"/>
        </w:rPr>
      </w:pPr>
    </w:p>
    <w:p>
      <w:pPr>
        <w:ind w:left="2320" w:right="499" w:hanging="335"/>
        <w:spacing w:after="0" w:line="283" w:lineRule="auto"/>
        <w:tabs>
          <w:tab w:leader="none" w:pos="2320" w:val="left"/>
        </w:tabs>
        <w:numPr>
          <w:ilvl w:val="1"/>
          <w:numId w:val="206"/>
        </w:numPr>
        <w:rPr>
          <w:rFonts w:ascii="Arial" w:cs="Arial" w:eastAsia="Arial" w:hAnsi="Arial"/>
          <w:sz w:val="17"/>
          <w:szCs w:val="17"/>
          <w:color w:val="003551"/>
        </w:rPr>
      </w:pPr>
      <w:r>
        <w:rPr>
          <w:rFonts w:ascii="Arial" w:cs="Arial" w:eastAsia="Arial" w:hAnsi="Arial"/>
          <w:sz w:val="17"/>
          <w:szCs w:val="17"/>
          <w:color w:val="003551"/>
        </w:rPr>
        <w:t>all amounts that the company has been called on by law to pay and has paid in respect of the share; and</w:t>
      </w:r>
    </w:p>
    <w:p>
      <w:pPr>
        <w:spacing w:after="0" w:line="36" w:lineRule="exact"/>
        <w:rPr>
          <w:rFonts w:ascii="Arial" w:cs="Arial" w:eastAsia="Arial" w:hAnsi="Arial"/>
          <w:sz w:val="17"/>
          <w:szCs w:val="17"/>
          <w:color w:val="003551"/>
        </w:rPr>
      </w:pPr>
    </w:p>
    <w:p>
      <w:pPr>
        <w:ind w:left="2320" w:hanging="335"/>
        <w:spacing w:after="0"/>
        <w:tabs>
          <w:tab w:leader="none" w:pos="2320" w:val="left"/>
        </w:tabs>
        <w:numPr>
          <w:ilvl w:val="1"/>
          <w:numId w:val="206"/>
        </w:numPr>
        <w:rPr>
          <w:rFonts w:ascii="Arial" w:cs="Arial" w:eastAsia="Arial" w:hAnsi="Arial"/>
          <w:sz w:val="17"/>
          <w:szCs w:val="17"/>
          <w:color w:val="003551"/>
        </w:rPr>
      </w:pPr>
      <w:r>
        <w:rPr>
          <w:rFonts w:ascii="Arial" w:cs="Arial" w:eastAsia="Arial" w:hAnsi="Arial"/>
          <w:sz w:val="17"/>
          <w:szCs w:val="17"/>
          <w:color w:val="003551"/>
        </w:rPr>
        <w:t>all reasonable costs and expenses incurred by the company in respect of such amounts.</w:t>
      </w:r>
    </w:p>
    <w:p>
      <w:pPr>
        <w:spacing w:after="0" w:line="103" w:lineRule="exact"/>
        <w:rPr>
          <w:rFonts w:ascii="Arial" w:cs="Arial" w:eastAsia="Arial" w:hAnsi="Arial"/>
          <w:sz w:val="17"/>
          <w:szCs w:val="17"/>
          <w:color w:val="003551"/>
        </w:rPr>
      </w:pPr>
    </w:p>
    <w:p>
      <w:pPr>
        <w:ind w:left="1640" w:hanging="703"/>
        <w:spacing w:after="0"/>
        <w:tabs>
          <w:tab w:leader="none" w:pos="1640" w:val="left"/>
        </w:tabs>
        <w:numPr>
          <w:ilvl w:val="0"/>
          <w:numId w:val="206"/>
        </w:numPr>
        <w:rPr>
          <w:rFonts w:ascii="Arial" w:cs="Arial" w:eastAsia="Arial" w:hAnsi="Arial"/>
          <w:sz w:val="17"/>
          <w:szCs w:val="17"/>
          <w:b w:val="1"/>
          <w:bCs w:val="1"/>
          <w:color w:val="003551"/>
        </w:rPr>
      </w:pPr>
      <w:r>
        <w:rPr>
          <w:rFonts w:ascii="Arial" w:cs="Arial" w:eastAsia="Arial" w:hAnsi="Arial"/>
          <w:sz w:val="17"/>
          <w:szCs w:val="17"/>
          <w:b w:val="1"/>
          <w:bCs w:val="1"/>
          <w:color w:val="003551"/>
        </w:rPr>
        <w:t>Lien in respect of loans under employee incentive scheme</w:t>
      </w:r>
    </w:p>
    <w:p>
      <w:pPr>
        <w:spacing w:after="0" w:line="107" w:lineRule="exact"/>
        <w:rPr>
          <w:rFonts w:ascii="Arial" w:cs="Arial" w:eastAsia="Arial" w:hAnsi="Arial"/>
          <w:sz w:val="17"/>
          <w:szCs w:val="17"/>
          <w:b w:val="1"/>
          <w:bCs w:val="1"/>
          <w:color w:val="003551"/>
        </w:rPr>
      </w:pPr>
    </w:p>
    <w:p>
      <w:pPr>
        <w:ind w:left="1640" w:right="439"/>
        <w:spacing w:after="0" w:line="249" w:lineRule="auto"/>
        <w:rPr>
          <w:rFonts w:ascii="Arial" w:cs="Arial" w:eastAsia="Arial" w:hAnsi="Arial"/>
          <w:sz w:val="17"/>
          <w:szCs w:val="17"/>
          <w:b w:val="1"/>
          <w:bCs w:val="1"/>
          <w:color w:val="003551"/>
        </w:rPr>
      </w:pPr>
      <w:r>
        <w:rPr>
          <w:rFonts w:ascii="Arial" w:cs="Arial" w:eastAsia="Arial" w:hAnsi="Arial"/>
          <w:sz w:val="17"/>
          <w:szCs w:val="17"/>
          <w:color w:val="003551"/>
        </w:rPr>
        <w:t>To the extent permitted by the Corporations Act and any other applicable law, the company has a first and paramount lien on every share registered in the name of a member for all amounts which remain payable to the company by that member under loans made to the member to acquire shares under an employee incentive scheme, provided that the company will not provide any loans to a member who is a director, officer or key management personnel in relation to the company to the extent that such loan would not be permitted by applicable law.</w:t>
      </w:r>
    </w:p>
    <w:p>
      <w:pPr>
        <w:spacing w:after="0" w:line="64" w:lineRule="exact"/>
        <w:rPr>
          <w:rFonts w:ascii="Arial" w:cs="Arial" w:eastAsia="Arial" w:hAnsi="Arial"/>
          <w:sz w:val="17"/>
          <w:szCs w:val="17"/>
          <w:b w:val="1"/>
          <w:bCs w:val="1"/>
          <w:color w:val="003551"/>
        </w:rPr>
      </w:pPr>
    </w:p>
    <w:p>
      <w:pPr>
        <w:ind w:left="1640" w:hanging="703"/>
        <w:spacing w:after="0"/>
        <w:tabs>
          <w:tab w:leader="none" w:pos="1640" w:val="left"/>
        </w:tabs>
        <w:numPr>
          <w:ilvl w:val="0"/>
          <w:numId w:val="206"/>
        </w:numPr>
        <w:rPr>
          <w:rFonts w:ascii="Arial" w:cs="Arial" w:eastAsia="Arial" w:hAnsi="Arial"/>
          <w:sz w:val="17"/>
          <w:szCs w:val="17"/>
          <w:b w:val="1"/>
          <w:bCs w:val="1"/>
          <w:color w:val="003551"/>
        </w:rPr>
      </w:pPr>
      <w:r>
        <w:rPr>
          <w:rFonts w:ascii="Arial" w:cs="Arial" w:eastAsia="Arial" w:hAnsi="Arial"/>
          <w:sz w:val="17"/>
          <w:szCs w:val="17"/>
          <w:b w:val="1"/>
          <w:bCs w:val="1"/>
          <w:color w:val="003551"/>
        </w:rPr>
        <w:t>Lien on dividends and distributions</w:t>
      </w:r>
    </w:p>
    <w:p>
      <w:pPr>
        <w:spacing w:after="0" w:line="107" w:lineRule="exact"/>
        <w:rPr>
          <w:rFonts w:ascii="Arial" w:cs="Arial" w:eastAsia="Arial" w:hAnsi="Arial"/>
          <w:sz w:val="17"/>
          <w:szCs w:val="17"/>
          <w:b w:val="1"/>
          <w:bCs w:val="1"/>
          <w:color w:val="003551"/>
        </w:rPr>
      </w:pPr>
    </w:p>
    <w:p>
      <w:pPr>
        <w:ind w:left="1640" w:right="439"/>
        <w:spacing w:after="0" w:line="262" w:lineRule="auto"/>
        <w:rPr>
          <w:rFonts w:ascii="Arial" w:cs="Arial" w:eastAsia="Arial" w:hAnsi="Arial"/>
          <w:sz w:val="17"/>
          <w:szCs w:val="17"/>
          <w:b w:val="1"/>
          <w:bCs w:val="1"/>
          <w:color w:val="003551"/>
        </w:rPr>
      </w:pPr>
      <w:r>
        <w:rPr>
          <w:rFonts w:ascii="Arial" w:cs="Arial" w:eastAsia="Arial" w:hAnsi="Arial"/>
          <w:sz w:val="17"/>
          <w:szCs w:val="17"/>
          <w:color w:val="003551"/>
        </w:rPr>
        <w:t>The company’s lien on a share extends to all dividends and other distributions payable in respect of the share. The directors may retain those dividends or distributions and may apply them in or towards satisfaction of all amounts due to the company in respect of which the lien exists.</w:t>
      </w:r>
    </w:p>
    <w:p>
      <w:pPr>
        <w:spacing w:after="0" w:line="52" w:lineRule="exact"/>
        <w:rPr>
          <w:rFonts w:ascii="Arial" w:cs="Arial" w:eastAsia="Arial" w:hAnsi="Arial"/>
          <w:sz w:val="17"/>
          <w:szCs w:val="17"/>
          <w:b w:val="1"/>
          <w:bCs w:val="1"/>
          <w:color w:val="003551"/>
        </w:rPr>
      </w:pPr>
    </w:p>
    <w:p>
      <w:pPr>
        <w:ind w:left="1640" w:hanging="703"/>
        <w:spacing w:after="0"/>
        <w:tabs>
          <w:tab w:leader="none" w:pos="1640" w:val="left"/>
        </w:tabs>
        <w:numPr>
          <w:ilvl w:val="0"/>
          <w:numId w:val="206"/>
        </w:numPr>
        <w:rPr>
          <w:rFonts w:ascii="Arial" w:cs="Arial" w:eastAsia="Arial" w:hAnsi="Arial"/>
          <w:sz w:val="17"/>
          <w:szCs w:val="17"/>
          <w:b w:val="1"/>
          <w:bCs w:val="1"/>
          <w:color w:val="003551"/>
        </w:rPr>
      </w:pPr>
      <w:r>
        <w:rPr>
          <w:rFonts w:ascii="Arial" w:cs="Arial" w:eastAsia="Arial" w:hAnsi="Arial"/>
          <w:sz w:val="17"/>
          <w:szCs w:val="17"/>
          <w:b w:val="1"/>
          <w:bCs w:val="1"/>
          <w:color w:val="003551"/>
        </w:rPr>
        <w:t>Exemption and release from lien</w:t>
      </w:r>
    </w:p>
    <w:p>
      <w:pPr>
        <w:spacing w:after="0" w:line="107" w:lineRule="exact"/>
        <w:rPr>
          <w:rFonts w:ascii="Arial" w:cs="Arial" w:eastAsia="Arial" w:hAnsi="Arial"/>
          <w:sz w:val="17"/>
          <w:szCs w:val="17"/>
          <w:b w:val="1"/>
          <w:bCs w:val="1"/>
          <w:color w:val="003551"/>
        </w:rPr>
      </w:pPr>
    </w:p>
    <w:p>
      <w:pPr>
        <w:jc w:val="both"/>
        <w:ind w:left="1640" w:right="399"/>
        <w:spacing w:after="0" w:line="262" w:lineRule="auto"/>
        <w:rPr>
          <w:rFonts w:ascii="Arial" w:cs="Arial" w:eastAsia="Arial" w:hAnsi="Arial"/>
          <w:sz w:val="17"/>
          <w:szCs w:val="17"/>
          <w:b w:val="1"/>
          <w:bCs w:val="1"/>
          <w:color w:val="003551"/>
        </w:rPr>
      </w:pPr>
      <w:r>
        <w:rPr>
          <w:rFonts w:ascii="Arial" w:cs="Arial" w:eastAsia="Arial" w:hAnsi="Arial"/>
          <w:sz w:val="17"/>
          <w:szCs w:val="17"/>
          <w:color w:val="003551"/>
        </w:rPr>
        <w:t xml:space="preserve">The directors may determine either generally or in any particular case to exempt a share from the provision of this </w:t>
      </w:r>
      <w:r>
        <w:rPr>
          <w:rFonts w:ascii="Arial" w:cs="Arial" w:eastAsia="Arial" w:hAnsi="Arial"/>
          <w:sz w:val="17"/>
          <w:szCs w:val="17"/>
          <w:u w:val="single" w:color="auto"/>
          <w:color w:val="003551"/>
        </w:rPr>
        <w:t>Schedule 4</w:t>
      </w:r>
      <w:r>
        <w:rPr>
          <w:rFonts w:ascii="Arial" w:cs="Arial" w:eastAsia="Arial" w:hAnsi="Arial"/>
          <w:sz w:val="17"/>
          <w:szCs w:val="17"/>
          <w:color w:val="003551"/>
        </w:rPr>
        <w:t>. The company’s lien on a share is released if a transfer of that share is registered without the company giving notice of the lien to the transferee.</w:t>
      </w:r>
    </w:p>
    <w:p>
      <w:pPr>
        <w:spacing w:after="0" w:line="52" w:lineRule="exact"/>
        <w:rPr>
          <w:rFonts w:ascii="Arial" w:cs="Arial" w:eastAsia="Arial" w:hAnsi="Arial"/>
          <w:sz w:val="17"/>
          <w:szCs w:val="17"/>
          <w:b w:val="1"/>
          <w:bCs w:val="1"/>
          <w:color w:val="003551"/>
        </w:rPr>
      </w:pPr>
    </w:p>
    <w:p>
      <w:pPr>
        <w:ind w:left="1640" w:hanging="703"/>
        <w:spacing w:after="0"/>
        <w:tabs>
          <w:tab w:leader="none" w:pos="1640" w:val="left"/>
        </w:tabs>
        <w:numPr>
          <w:ilvl w:val="0"/>
          <w:numId w:val="206"/>
        </w:numPr>
        <w:rPr>
          <w:rFonts w:ascii="Arial" w:cs="Arial" w:eastAsia="Arial" w:hAnsi="Arial"/>
          <w:sz w:val="17"/>
          <w:szCs w:val="17"/>
          <w:b w:val="1"/>
          <w:bCs w:val="1"/>
          <w:color w:val="003551"/>
        </w:rPr>
      </w:pPr>
      <w:r>
        <w:rPr>
          <w:rFonts w:ascii="Arial" w:cs="Arial" w:eastAsia="Arial" w:hAnsi="Arial"/>
          <w:sz w:val="17"/>
          <w:szCs w:val="17"/>
          <w:b w:val="1"/>
          <w:bCs w:val="1"/>
          <w:color w:val="003551"/>
        </w:rPr>
        <w:t>Protection of lien</w:t>
      </w:r>
    </w:p>
    <w:p>
      <w:pPr>
        <w:spacing w:after="0" w:line="107" w:lineRule="exact"/>
        <w:rPr>
          <w:rFonts w:ascii="Arial" w:cs="Arial" w:eastAsia="Arial" w:hAnsi="Arial"/>
          <w:sz w:val="17"/>
          <w:szCs w:val="17"/>
          <w:b w:val="1"/>
          <w:bCs w:val="1"/>
          <w:color w:val="003551"/>
        </w:rPr>
      </w:pPr>
    </w:p>
    <w:p>
      <w:pPr>
        <w:ind w:left="1640" w:right="419"/>
        <w:spacing w:after="0" w:line="269" w:lineRule="auto"/>
        <w:rPr>
          <w:rFonts w:ascii="Arial" w:cs="Arial" w:eastAsia="Arial" w:hAnsi="Arial"/>
          <w:sz w:val="17"/>
          <w:szCs w:val="17"/>
          <w:b w:val="1"/>
          <w:bCs w:val="1"/>
          <w:color w:val="003551"/>
        </w:rPr>
      </w:pPr>
      <w:r>
        <w:rPr>
          <w:rFonts w:ascii="Arial" w:cs="Arial" w:eastAsia="Arial" w:hAnsi="Arial"/>
          <w:sz w:val="17"/>
          <w:szCs w:val="17"/>
          <w:color w:val="003551"/>
        </w:rPr>
        <w:t>The board may do anything necessary or desirable (to the extent permitted by law) to protect any lien, charge or other right to which the company is entitled under this constitution or under any law.</w:t>
      </w:r>
    </w:p>
    <w:p>
      <w:pPr>
        <w:spacing w:after="0" w:line="254" w:lineRule="exact"/>
        <w:rPr>
          <w:rFonts w:ascii="Arial" w:cs="Arial" w:eastAsia="Arial" w:hAnsi="Arial"/>
          <w:sz w:val="17"/>
          <w:szCs w:val="17"/>
          <w:b w:val="1"/>
          <w:bCs w:val="1"/>
          <w:color w:val="003551"/>
        </w:rPr>
      </w:pPr>
    </w:p>
    <w:p>
      <w:pPr>
        <w:ind w:left="1640" w:hanging="703"/>
        <w:spacing w:after="0"/>
        <w:tabs>
          <w:tab w:leader="none" w:pos="1640" w:val="left"/>
        </w:tabs>
        <w:numPr>
          <w:ilvl w:val="0"/>
          <w:numId w:val="206"/>
        </w:numPr>
        <w:rPr>
          <w:rFonts w:ascii="Arial" w:cs="Arial" w:eastAsia="Arial" w:hAnsi="Arial"/>
          <w:sz w:val="17"/>
          <w:szCs w:val="17"/>
          <w:b w:val="1"/>
          <w:bCs w:val="1"/>
          <w:color w:val="003551"/>
        </w:rPr>
      </w:pPr>
      <w:r>
        <w:rPr>
          <w:rFonts w:ascii="Arial" w:cs="Arial" w:eastAsia="Arial" w:hAnsi="Arial"/>
          <w:sz w:val="17"/>
          <w:szCs w:val="17"/>
          <w:b w:val="1"/>
          <w:bCs w:val="1"/>
          <w:color w:val="003551"/>
        </w:rPr>
        <w:t>Enforcement of lien</w:t>
      </w:r>
    </w:p>
    <w:p>
      <w:pPr>
        <w:spacing w:after="0" w:line="107" w:lineRule="exact"/>
        <w:rPr>
          <w:rFonts w:ascii="Arial" w:cs="Arial" w:eastAsia="Arial" w:hAnsi="Arial"/>
          <w:sz w:val="17"/>
          <w:szCs w:val="17"/>
          <w:b w:val="1"/>
          <w:bCs w:val="1"/>
          <w:color w:val="003551"/>
        </w:rPr>
      </w:pPr>
    </w:p>
    <w:p>
      <w:pPr>
        <w:ind w:left="1640" w:right="459"/>
        <w:spacing w:after="0" w:line="283" w:lineRule="auto"/>
        <w:rPr>
          <w:rFonts w:ascii="Arial" w:cs="Arial" w:eastAsia="Arial" w:hAnsi="Arial"/>
          <w:sz w:val="17"/>
          <w:szCs w:val="17"/>
          <w:b w:val="1"/>
          <w:bCs w:val="1"/>
          <w:color w:val="003551"/>
        </w:rPr>
      </w:pPr>
      <w:r>
        <w:rPr>
          <w:rFonts w:ascii="Arial" w:cs="Arial" w:eastAsia="Arial" w:hAnsi="Arial"/>
          <w:sz w:val="17"/>
          <w:szCs w:val="17"/>
          <w:color w:val="003551"/>
        </w:rPr>
        <w:t>If an amount is due and payable by a member in respect of a share on which the company has a lien then:</w:t>
      </w:r>
    </w:p>
    <w:p>
      <w:pPr>
        <w:spacing w:after="0" w:line="36" w:lineRule="exact"/>
        <w:rPr>
          <w:rFonts w:ascii="Arial" w:cs="Arial" w:eastAsia="Arial" w:hAnsi="Arial"/>
          <w:sz w:val="17"/>
          <w:szCs w:val="17"/>
          <w:b w:val="1"/>
          <w:bCs w:val="1"/>
          <w:color w:val="003551"/>
        </w:rPr>
      </w:pPr>
    </w:p>
    <w:p>
      <w:pPr>
        <w:ind w:left="2320" w:right="479" w:hanging="335"/>
        <w:spacing w:after="0" w:line="262" w:lineRule="auto"/>
        <w:tabs>
          <w:tab w:leader="none" w:pos="2320" w:val="left"/>
        </w:tabs>
        <w:numPr>
          <w:ilvl w:val="1"/>
          <w:numId w:val="206"/>
        </w:numPr>
        <w:rPr>
          <w:rFonts w:ascii="Arial" w:cs="Arial" w:eastAsia="Arial" w:hAnsi="Arial"/>
          <w:sz w:val="17"/>
          <w:szCs w:val="17"/>
          <w:color w:val="003551"/>
        </w:rPr>
      </w:pPr>
      <w:r>
        <w:rPr>
          <w:rFonts w:ascii="Arial" w:cs="Arial" w:eastAsia="Arial" w:hAnsi="Arial"/>
          <w:sz w:val="17"/>
          <w:szCs w:val="17"/>
          <w:color w:val="003551"/>
        </w:rPr>
        <w:t>the company may give notice to the member (or any other person entitled to the share by reason of the death or bankruptcy of the member) demanding payment of that amount and giving notice of intention to sell the share if such payment is not made; and</w:t>
      </w:r>
    </w:p>
    <w:p>
      <w:pPr>
        <w:spacing w:after="0" w:line="54" w:lineRule="exact"/>
        <w:rPr>
          <w:rFonts w:ascii="Arial" w:cs="Arial" w:eastAsia="Arial" w:hAnsi="Arial"/>
          <w:sz w:val="17"/>
          <w:szCs w:val="17"/>
          <w:color w:val="003551"/>
        </w:rPr>
      </w:pPr>
    </w:p>
    <w:p>
      <w:pPr>
        <w:jc w:val="both"/>
        <w:ind w:left="2320" w:right="659" w:hanging="335"/>
        <w:spacing w:after="0" w:line="262" w:lineRule="auto"/>
        <w:tabs>
          <w:tab w:leader="none" w:pos="2320" w:val="left"/>
        </w:tabs>
        <w:numPr>
          <w:ilvl w:val="1"/>
          <w:numId w:val="206"/>
        </w:numPr>
        <w:rPr>
          <w:rFonts w:ascii="Arial" w:cs="Arial" w:eastAsia="Arial" w:hAnsi="Arial"/>
          <w:sz w:val="17"/>
          <w:szCs w:val="17"/>
          <w:color w:val="003551"/>
        </w:rPr>
      </w:pPr>
      <w:r>
        <w:rPr>
          <w:rFonts w:ascii="Arial" w:cs="Arial" w:eastAsia="Arial" w:hAnsi="Arial"/>
          <w:sz w:val="17"/>
          <w:szCs w:val="17"/>
          <w:color w:val="003551"/>
        </w:rPr>
        <w:t>if the amount set out in the notice is not paid within 10 Business Days after the notice has been given by the company, the company may sell the share to such person, on such terms and in such manner as the directors think fit.</w:t>
      </w:r>
    </w:p>
    <w:p>
      <w:pPr>
        <w:spacing w:after="0" w:line="15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127635</wp:posOffset>
            </wp:positionV>
            <wp:extent cx="6786880" cy="1651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640" w:hanging="703"/>
        <w:spacing w:after="0"/>
        <w:tabs>
          <w:tab w:leader="none" w:pos="1640" w:val="left"/>
        </w:tabs>
        <w:numPr>
          <w:ilvl w:val="0"/>
          <w:numId w:val="207"/>
        </w:numPr>
        <w:rPr>
          <w:rFonts w:ascii="Arial" w:cs="Arial" w:eastAsia="Arial" w:hAnsi="Arial"/>
          <w:sz w:val="17"/>
          <w:szCs w:val="17"/>
          <w:b w:val="1"/>
          <w:bCs w:val="1"/>
          <w:color w:val="003551"/>
        </w:rPr>
      </w:pPr>
      <w:r>
        <w:rPr>
          <w:rFonts w:ascii="Arial" w:cs="Arial" w:eastAsia="Arial" w:hAnsi="Arial"/>
          <w:sz w:val="17"/>
          <w:szCs w:val="17"/>
          <w:b w:val="1"/>
          <w:bCs w:val="1"/>
          <w:color w:val="003551"/>
        </w:rPr>
        <w:t>Completion of sale under lien</w:t>
      </w:r>
    </w:p>
    <w:p>
      <w:pPr>
        <w:spacing w:after="0" w:line="133" w:lineRule="exact"/>
        <w:rPr>
          <w:rFonts w:ascii="Arial" w:cs="Arial" w:eastAsia="Arial" w:hAnsi="Arial"/>
          <w:sz w:val="17"/>
          <w:szCs w:val="17"/>
          <w:b w:val="1"/>
          <w:bCs w:val="1"/>
          <w:color w:val="003551"/>
        </w:rPr>
      </w:pPr>
    </w:p>
    <w:p>
      <w:pPr>
        <w:ind w:left="1640"/>
        <w:spacing w:after="0"/>
        <w:rPr>
          <w:rFonts w:ascii="Arial" w:cs="Arial" w:eastAsia="Arial" w:hAnsi="Arial"/>
          <w:sz w:val="17"/>
          <w:szCs w:val="17"/>
          <w:b w:val="1"/>
          <w:bCs w:val="1"/>
          <w:color w:val="003551"/>
        </w:rPr>
      </w:pPr>
      <w:r>
        <w:rPr>
          <w:rFonts w:ascii="Arial" w:cs="Arial" w:eastAsia="Arial" w:hAnsi="Arial"/>
          <w:sz w:val="17"/>
          <w:szCs w:val="17"/>
          <w:color w:val="003551"/>
        </w:rPr>
        <w:t xml:space="preserve">To give effect to a sale of shares under </w:t>
      </w:r>
      <w:r>
        <w:rPr>
          <w:rFonts w:ascii="Arial" w:cs="Arial" w:eastAsia="Arial" w:hAnsi="Arial"/>
          <w:sz w:val="17"/>
          <w:szCs w:val="17"/>
          <w:u w:val="single" w:color="auto"/>
          <w:color w:val="003551"/>
        </w:rPr>
        <w:t>paragraph 6</w:t>
      </w:r>
      <w:r>
        <w:rPr>
          <w:rFonts w:ascii="Arial" w:cs="Arial" w:eastAsia="Arial" w:hAnsi="Arial"/>
          <w:sz w:val="17"/>
          <w:szCs w:val="17"/>
          <w:color w:val="003551"/>
        </w:rPr>
        <w:t>, the company may:</w:t>
      </w:r>
    </w:p>
    <w:p>
      <w:pPr>
        <w:spacing w:after="0" w:line="105" w:lineRule="exact"/>
        <w:rPr>
          <w:rFonts w:ascii="Arial" w:cs="Arial" w:eastAsia="Arial" w:hAnsi="Arial"/>
          <w:sz w:val="17"/>
          <w:szCs w:val="17"/>
          <w:b w:val="1"/>
          <w:bCs w:val="1"/>
          <w:color w:val="003551"/>
        </w:rPr>
      </w:pPr>
    </w:p>
    <w:p>
      <w:pPr>
        <w:ind w:left="2320" w:right="399" w:hanging="335"/>
        <w:spacing w:after="0" w:line="283" w:lineRule="auto"/>
        <w:tabs>
          <w:tab w:leader="none" w:pos="2320" w:val="left"/>
        </w:tabs>
        <w:numPr>
          <w:ilvl w:val="1"/>
          <w:numId w:val="207"/>
        </w:numPr>
        <w:rPr>
          <w:rFonts w:ascii="Arial" w:cs="Arial" w:eastAsia="Arial" w:hAnsi="Arial"/>
          <w:sz w:val="17"/>
          <w:szCs w:val="17"/>
          <w:color w:val="003551"/>
        </w:rPr>
      </w:pPr>
      <w:r>
        <w:rPr>
          <w:rFonts w:ascii="Arial" w:cs="Arial" w:eastAsia="Arial" w:hAnsi="Arial"/>
          <w:sz w:val="17"/>
          <w:szCs w:val="17"/>
          <w:color w:val="003551"/>
        </w:rPr>
        <w:t>take any action that may be required to move those shares from one part of the Register to another or to convert those shares from uncertificated form to certificated form; and</w:t>
      </w:r>
    </w:p>
    <w:p>
      <w:pPr>
        <w:spacing w:after="0" w:line="36" w:lineRule="exact"/>
        <w:rPr>
          <w:rFonts w:ascii="Arial" w:cs="Arial" w:eastAsia="Arial" w:hAnsi="Arial"/>
          <w:sz w:val="17"/>
          <w:szCs w:val="17"/>
          <w:color w:val="003551"/>
        </w:rPr>
      </w:pPr>
    </w:p>
    <w:p>
      <w:pPr>
        <w:ind w:left="2320" w:right="799" w:hanging="335"/>
        <w:spacing w:after="0" w:line="283" w:lineRule="auto"/>
        <w:tabs>
          <w:tab w:leader="none" w:pos="2320" w:val="left"/>
        </w:tabs>
        <w:numPr>
          <w:ilvl w:val="1"/>
          <w:numId w:val="207"/>
        </w:numPr>
        <w:rPr>
          <w:rFonts w:ascii="Arial" w:cs="Arial" w:eastAsia="Arial" w:hAnsi="Arial"/>
          <w:sz w:val="17"/>
          <w:szCs w:val="17"/>
          <w:color w:val="003551"/>
        </w:rPr>
      </w:pPr>
      <w:r>
        <w:rPr>
          <w:rFonts w:ascii="Arial" w:cs="Arial" w:eastAsia="Arial" w:hAnsi="Arial"/>
          <w:sz w:val="17"/>
          <w:szCs w:val="17"/>
          <w:color w:val="003551"/>
        </w:rPr>
        <w:t>execute a transfer of the shares and execute all other documents and take all other steps necessary or desirable to transfer the shares to the relevant buyer; and</w:t>
      </w:r>
    </w:p>
    <w:p>
      <w:pPr>
        <w:spacing w:after="0" w:line="36" w:lineRule="exact"/>
        <w:rPr>
          <w:rFonts w:ascii="Arial" w:cs="Arial" w:eastAsia="Arial" w:hAnsi="Arial"/>
          <w:sz w:val="17"/>
          <w:szCs w:val="17"/>
          <w:color w:val="003551"/>
        </w:rPr>
      </w:pPr>
    </w:p>
    <w:p>
      <w:pPr>
        <w:ind w:left="2320" w:hanging="335"/>
        <w:spacing w:after="0"/>
        <w:tabs>
          <w:tab w:leader="none" w:pos="2320" w:val="left"/>
        </w:tabs>
        <w:numPr>
          <w:ilvl w:val="1"/>
          <w:numId w:val="207"/>
        </w:numPr>
        <w:rPr>
          <w:rFonts w:ascii="Arial" w:cs="Arial" w:eastAsia="Arial" w:hAnsi="Arial"/>
          <w:sz w:val="17"/>
          <w:szCs w:val="17"/>
          <w:color w:val="003551"/>
        </w:rPr>
      </w:pPr>
      <w:r>
        <w:rPr>
          <w:rFonts w:ascii="Arial" w:cs="Arial" w:eastAsia="Arial" w:hAnsi="Arial"/>
          <w:sz w:val="17"/>
          <w:szCs w:val="17"/>
          <w:color w:val="003551"/>
        </w:rPr>
        <w:t>receive any consideration given for the shares sold.</w:t>
      </w:r>
    </w:p>
    <w:p>
      <w:pPr>
        <w:spacing w:after="0" w:line="106" w:lineRule="exact"/>
        <w:rPr>
          <w:sz w:val="20"/>
          <w:szCs w:val="20"/>
          <w:color w:val="auto"/>
        </w:rPr>
      </w:pPr>
    </w:p>
    <w:p>
      <w:pPr>
        <w:jc w:val="both"/>
        <w:ind w:left="1640" w:right="399"/>
        <w:spacing w:after="0" w:line="262" w:lineRule="auto"/>
        <w:rPr>
          <w:sz w:val="20"/>
          <w:szCs w:val="20"/>
          <w:color w:val="auto"/>
        </w:rPr>
      </w:pPr>
      <w:r>
        <w:rPr>
          <w:rFonts w:ascii="Arial" w:cs="Arial" w:eastAsia="Arial" w:hAnsi="Arial"/>
          <w:sz w:val="17"/>
          <w:szCs w:val="17"/>
          <w:color w:val="003551"/>
        </w:rPr>
        <w:t>The buyer is not bound to see to the application of any consideration provided for the shares nor will the buyer’s title to the shares be affected by any irregularity or invalidity in connection with the sale.</w:t>
      </w:r>
    </w:p>
    <w:p>
      <w:pPr>
        <w:spacing w:after="0" w:line="52" w:lineRule="exact"/>
        <w:rPr>
          <w:sz w:val="20"/>
          <w:szCs w:val="20"/>
          <w:color w:val="auto"/>
        </w:rPr>
      </w:pPr>
    </w:p>
    <w:p>
      <w:pPr>
        <w:ind w:left="1640" w:hanging="703"/>
        <w:spacing w:after="0"/>
        <w:tabs>
          <w:tab w:leader="none" w:pos="1640" w:val="left"/>
        </w:tabs>
        <w:numPr>
          <w:ilvl w:val="0"/>
          <w:numId w:val="208"/>
        </w:numPr>
        <w:rPr>
          <w:rFonts w:ascii="Arial" w:cs="Arial" w:eastAsia="Arial" w:hAnsi="Arial"/>
          <w:sz w:val="17"/>
          <w:szCs w:val="17"/>
          <w:b w:val="1"/>
          <w:bCs w:val="1"/>
          <w:color w:val="003551"/>
        </w:rPr>
      </w:pPr>
      <w:r>
        <w:rPr>
          <w:rFonts w:ascii="Arial" w:cs="Arial" w:eastAsia="Arial" w:hAnsi="Arial"/>
          <w:sz w:val="17"/>
          <w:szCs w:val="17"/>
          <w:b w:val="1"/>
          <w:bCs w:val="1"/>
          <w:color w:val="003551"/>
        </w:rPr>
        <w:t>Application of proceeds of sale</w:t>
      </w:r>
    </w:p>
    <w:p>
      <w:pPr>
        <w:spacing w:after="0" w:line="107" w:lineRule="exact"/>
        <w:rPr>
          <w:rFonts w:ascii="Arial" w:cs="Arial" w:eastAsia="Arial" w:hAnsi="Arial"/>
          <w:sz w:val="17"/>
          <w:szCs w:val="17"/>
          <w:b w:val="1"/>
          <w:bCs w:val="1"/>
          <w:color w:val="003551"/>
        </w:rPr>
      </w:pPr>
    </w:p>
    <w:p>
      <w:pPr>
        <w:ind w:left="1980" w:right="639" w:hanging="344"/>
        <w:spacing w:after="0" w:line="255" w:lineRule="auto"/>
        <w:tabs>
          <w:tab w:leader="none" w:pos="1980" w:val="left"/>
        </w:tabs>
        <w:numPr>
          <w:ilvl w:val="1"/>
          <w:numId w:val="208"/>
        </w:numPr>
        <w:rPr>
          <w:rFonts w:ascii="Arial" w:cs="Arial" w:eastAsia="Arial" w:hAnsi="Arial"/>
          <w:sz w:val="17"/>
          <w:szCs w:val="17"/>
          <w:color w:val="003551"/>
        </w:rPr>
      </w:pPr>
      <w:r>
        <w:rPr>
          <w:rFonts w:ascii="Arial" w:cs="Arial" w:eastAsia="Arial" w:hAnsi="Arial"/>
          <w:sz w:val="17"/>
          <w:szCs w:val="17"/>
          <w:color w:val="003551"/>
        </w:rPr>
        <w:t xml:space="preserve">The proceeds of a sale made under a lien must be applied by the company in payment of, first, the expenses of the sale, and, second, the amount due and payable in respect of the shares sold, and any residue must be paid to the person who was entitled to the shares immediately before the sale in accordance with the provisions of </w:t>
      </w:r>
      <w:r>
        <w:rPr>
          <w:rFonts w:ascii="Arial" w:cs="Arial" w:eastAsia="Arial" w:hAnsi="Arial"/>
          <w:sz w:val="17"/>
          <w:szCs w:val="17"/>
          <w:u w:val="single" w:color="auto"/>
          <w:color w:val="003551"/>
        </w:rPr>
        <w:t>rule 21</w:t>
      </w:r>
      <w:r>
        <w:rPr>
          <w:rFonts w:ascii="Arial" w:cs="Arial" w:eastAsia="Arial" w:hAnsi="Arial"/>
          <w:sz w:val="17"/>
          <w:szCs w:val="17"/>
          <w:color w:val="003551"/>
        </w:rPr>
        <w:t>.</w:t>
      </w:r>
    </w:p>
    <w:p>
      <w:pPr>
        <w:spacing w:after="0" w:line="59" w:lineRule="exact"/>
        <w:rPr>
          <w:rFonts w:ascii="Arial" w:cs="Arial" w:eastAsia="Arial" w:hAnsi="Arial"/>
          <w:sz w:val="17"/>
          <w:szCs w:val="17"/>
          <w:color w:val="003551"/>
        </w:rPr>
      </w:pPr>
    </w:p>
    <w:p>
      <w:pPr>
        <w:ind w:left="1980" w:right="479" w:hanging="344"/>
        <w:spacing w:after="0" w:line="262" w:lineRule="auto"/>
        <w:tabs>
          <w:tab w:leader="none" w:pos="1980" w:val="left"/>
        </w:tabs>
        <w:numPr>
          <w:ilvl w:val="1"/>
          <w:numId w:val="208"/>
        </w:numPr>
        <w:rPr>
          <w:rFonts w:ascii="Arial" w:cs="Arial" w:eastAsia="Arial" w:hAnsi="Arial"/>
          <w:sz w:val="17"/>
          <w:szCs w:val="17"/>
          <w:color w:val="003551"/>
        </w:rPr>
      </w:pPr>
      <w:r>
        <w:rPr>
          <w:rFonts w:ascii="Arial" w:cs="Arial" w:eastAsia="Arial" w:hAnsi="Arial"/>
          <w:sz w:val="17"/>
          <w:szCs w:val="17"/>
          <w:color w:val="003551"/>
        </w:rPr>
        <w:t>Until the proceeds of a sale of a share sold by the company are claimed or otherwise disposed of according to law, the board may invest or use the proceeds in any other way for the benefit of the company.</w:t>
      </w:r>
    </w:p>
    <w:p>
      <w:pPr>
        <w:spacing w:after="0" w:line="52" w:lineRule="exact"/>
        <w:rPr>
          <w:rFonts w:ascii="Arial" w:cs="Arial" w:eastAsia="Arial" w:hAnsi="Arial"/>
          <w:sz w:val="17"/>
          <w:szCs w:val="17"/>
          <w:color w:val="003551"/>
        </w:rPr>
      </w:pPr>
    </w:p>
    <w:p>
      <w:pPr>
        <w:ind w:left="1640" w:hanging="703"/>
        <w:spacing w:after="0"/>
        <w:tabs>
          <w:tab w:leader="none" w:pos="1640" w:val="left"/>
        </w:tabs>
        <w:numPr>
          <w:ilvl w:val="0"/>
          <w:numId w:val="208"/>
        </w:numPr>
        <w:rPr>
          <w:rFonts w:ascii="Arial" w:cs="Arial" w:eastAsia="Arial" w:hAnsi="Arial"/>
          <w:sz w:val="17"/>
          <w:szCs w:val="17"/>
          <w:b w:val="1"/>
          <w:bCs w:val="1"/>
          <w:color w:val="003551"/>
        </w:rPr>
      </w:pPr>
      <w:r>
        <w:rPr>
          <w:rFonts w:ascii="Arial" w:cs="Arial" w:eastAsia="Arial" w:hAnsi="Arial"/>
          <w:sz w:val="17"/>
          <w:szCs w:val="17"/>
          <w:b w:val="1"/>
          <w:bCs w:val="1"/>
          <w:color w:val="003551"/>
        </w:rPr>
        <w:t>Continuing liability</w:t>
      </w:r>
    </w:p>
    <w:p>
      <w:pPr>
        <w:spacing w:after="0" w:line="107" w:lineRule="exact"/>
        <w:rPr>
          <w:rFonts w:ascii="Arial" w:cs="Arial" w:eastAsia="Arial" w:hAnsi="Arial"/>
          <w:sz w:val="17"/>
          <w:szCs w:val="17"/>
          <w:b w:val="1"/>
          <w:bCs w:val="1"/>
          <w:color w:val="003551"/>
        </w:rPr>
      </w:pPr>
    </w:p>
    <w:p>
      <w:pPr>
        <w:ind w:left="1640" w:right="679"/>
        <w:spacing w:after="0" w:line="262" w:lineRule="auto"/>
        <w:rPr>
          <w:rFonts w:ascii="Arial" w:cs="Arial" w:eastAsia="Arial" w:hAnsi="Arial"/>
          <w:sz w:val="17"/>
          <w:szCs w:val="17"/>
          <w:b w:val="1"/>
          <w:bCs w:val="1"/>
          <w:color w:val="003551"/>
        </w:rPr>
      </w:pPr>
      <w:r>
        <w:rPr>
          <w:rFonts w:ascii="Arial" w:cs="Arial" w:eastAsia="Arial" w:hAnsi="Arial"/>
          <w:sz w:val="17"/>
          <w:szCs w:val="17"/>
          <w:color w:val="003551"/>
        </w:rPr>
        <w:t>If the net proceeds of a sale made under a lien are less than the sum of all amounts due and payable in respect of the shares sold, the person whose shares have been sold must pay that shortfall amount to the company.</w:t>
      </w:r>
    </w:p>
    <w:p>
      <w:pPr>
        <w:spacing w:after="0" w:line="52" w:lineRule="exact"/>
        <w:rPr>
          <w:rFonts w:ascii="Arial" w:cs="Arial" w:eastAsia="Arial" w:hAnsi="Arial"/>
          <w:sz w:val="17"/>
          <w:szCs w:val="17"/>
          <w:b w:val="1"/>
          <w:bCs w:val="1"/>
          <w:color w:val="003551"/>
        </w:rPr>
      </w:pPr>
    </w:p>
    <w:p>
      <w:pPr>
        <w:ind w:left="1640" w:hanging="703"/>
        <w:spacing w:after="0"/>
        <w:tabs>
          <w:tab w:leader="none" w:pos="1640" w:val="left"/>
        </w:tabs>
        <w:numPr>
          <w:ilvl w:val="0"/>
          <w:numId w:val="208"/>
        </w:numPr>
        <w:rPr>
          <w:rFonts w:ascii="Arial" w:cs="Arial" w:eastAsia="Arial" w:hAnsi="Arial"/>
          <w:sz w:val="17"/>
          <w:szCs w:val="17"/>
          <w:b w:val="1"/>
          <w:bCs w:val="1"/>
          <w:color w:val="003551"/>
        </w:rPr>
      </w:pPr>
      <w:r>
        <w:rPr>
          <w:rFonts w:ascii="Arial" w:cs="Arial" w:eastAsia="Arial" w:hAnsi="Arial"/>
          <w:sz w:val="17"/>
          <w:szCs w:val="17"/>
          <w:b w:val="1"/>
          <w:bCs w:val="1"/>
          <w:color w:val="003551"/>
        </w:rPr>
        <w:t>Remedy limited to damages</w:t>
      </w:r>
    </w:p>
    <w:p>
      <w:pPr>
        <w:spacing w:after="0" w:line="107" w:lineRule="exact"/>
        <w:rPr>
          <w:rFonts w:ascii="Arial" w:cs="Arial" w:eastAsia="Arial" w:hAnsi="Arial"/>
          <w:sz w:val="17"/>
          <w:szCs w:val="17"/>
          <w:b w:val="1"/>
          <w:bCs w:val="1"/>
          <w:color w:val="003551"/>
        </w:rPr>
      </w:pPr>
    </w:p>
    <w:p>
      <w:pPr>
        <w:ind w:left="1640" w:right="499"/>
        <w:spacing w:after="0" w:line="262" w:lineRule="auto"/>
        <w:rPr>
          <w:rFonts w:ascii="Arial" w:cs="Arial" w:eastAsia="Arial" w:hAnsi="Arial"/>
          <w:sz w:val="17"/>
          <w:szCs w:val="17"/>
          <w:b w:val="1"/>
          <w:bCs w:val="1"/>
          <w:color w:val="003551"/>
        </w:rPr>
      </w:pPr>
      <w:r>
        <w:rPr>
          <w:rFonts w:ascii="Arial" w:cs="Arial" w:eastAsia="Arial" w:hAnsi="Arial"/>
          <w:sz w:val="17"/>
          <w:szCs w:val="17"/>
          <w:color w:val="003551"/>
        </w:rPr>
        <w:t xml:space="preserve">The remedy of a member in respect of the sale of any shares under this </w:t>
      </w:r>
      <w:r>
        <w:rPr>
          <w:rFonts w:ascii="Arial" w:cs="Arial" w:eastAsia="Arial" w:hAnsi="Arial"/>
          <w:sz w:val="17"/>
          <w:szCs w:val="17"/>
          <w:u w:val="single" w:color="auto"/>
          <w:color w:val="003551"/>
        </w:rPr>
        <w:t>Schedule 4</w:t>
      </w:r>
      <w:r>
        <w:rPr>
          <w:rFonts w:ascii="Arial" w:cs="Arial" w:eastAsia="Arial" w:hAnsi="Arial"/>
          <w:sz w:val="17"/>
          <w:szCs w:val="17"/>
          <w:color w:val="003551"/>
        </w:rPr>
        <w:t xml:space="preserve"> is expressly limited to a right of action in damages against the company to the exclusion of any other right, remedy or relief against any other person.</w:t>
      </w:r>
    </w:p>
    <w:p>
      <w:pPr>
        <w:spacing w:after="0" w:line="15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127635</wp:posOffset>
            </wp:positionV>
            <wp:extent cx="6786880" cy="1651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580"/>
        <w:spacing w:after="0"/>
        <w:rPr>
          <w:sz w:val="20"/>
          <w:szCs w:val="20"/>
          <w:color w:val="auto"/>
        </w:rPr>
      </w:pPr>
      <w:r>
        <w:rPr>
          <w:rFonts w:ascii="Arial" w:cs="Arial" w:eastAsia="Arial" w:hAnsi="Arial"/>
          <w:sz w:val="17"/>
          <w:szCs w:val="17"/>
          <w:b w:val="1"/>
          <w:bCs w:val="1"/>
          <w:u w:val="single" w:color="auto"/>
          <w:color w:val="77C483"/>
        </w:rPr>
        <w:t>Schedule 5</w:t>
      </w:r>
    </w:p>
    <w:p>
      <w:pPr>
        <w:spacing w:after="0" w:line="19" w:lineRule="exact"/>
        <w:rPr>
          <w:sz w:val="20"/>
          <w:szCs w:val="20"/>
          <w:color w:val="auto"/>
        </w:rPr>
      </w:pPr>
    </w:p>
    <w:p>
      <w:pPr>
        <w:jc w:val="center"/>
        <w:ind w:right="-420"/>
        <w:spacing w:after="0"/>
        <w:rPr>
          <w:sz w:val="20"/>
          <w:szCs w:val="20"/>
          <w:color w:val="auto"/>
        </w:rPr>
      </w:pPr>
      <w:r>
        <w:rPr>
          <w:rFonts w:ascii="Arial" w:cs="Arial" w:eastAsia="Arial" w:hAnsi="Arial"/>
          <w:sz w:val="17"/>
          <w:szCs w:val="17"/>
          <w:b w:val="1"/>
          <w:bCs w:val="1"/>
          <w:color w:val="auto"/>
        </w:rPr>
        <w:t> </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7"/>
          <w:szCs w:val="17"/>
          <w:b w:val="1"/>
          <w:bCs w:val="1"/>
          <w:color w:val="FF0000"/>
          <w:strike w:val="1"/>
        </w:rPr>
        <w:t>FORFEITURE AND SURRENDER OF SHARES</w:t>
      </w:r>
      <w:r>
        <w:rPr>
          <w:rFonts w:ascii="Arial" w:cs="Arial" w:eastAsia="Arial" w:hAnsi="Arial"/>
          <w:sz w:val="17"/>
          <w:szCs w:val="17"/>
          <w:b w:val="1"/>
          <w:bCs w:val="1"/>
          <w:u w:val="single" w:color="auto"/>
          <w:color w:val="0000FF"/>
          <w:strike w:val="1"/>
        </w:rPr>
        <w:t>Forfeiture and Surrender of Shares</w:t>
      </w:r>
    </w:p>
    <w:p>
      <w:pPr>
        <w:spacing w:after="0" w:line="88" w:lineRule="exact"/>
        <w:rPr>
          <w:sz w:val="20"/>
          <w:szCs w:val="20"/>
          <w:color w:val="auto"/>
        </w:rPr>
      </w:pPr>
    </w:p>
    <w:p>
      <w:pPr>
        <w:ind w:left="1640" w:hanging="703"/>
        <w:spacing w:after="0"/>
        <w:tabs>
          <w:tab w:leader="none" w:pos="1640" w:val="left"/>
        </w:tabs>
        <w:numPr>
          <w:ilvl w:val="0"/>
          <w:numId w:val="209"/>
        </w:numPr>
        <w:rPr>
          <w:rFonts w:ascii="Arial" w:cs="Arial" w:eastAsia="Arial" w:hAnsi="Arial"/>
          <w:sz w:val="17"/>
          <w:szCs w:val="17"/>
          <w:b w:val="1"/>
          <w:bCs w:val="1"/>
          <w:color w:val="003551"/>
        </w:rPr>
      </w:pPr>
      <w:r>
        <w:rPr>
          <w:rFonts w:ascii="Arial" w:cs="Arial" w:eastAsia="Arial" w:hAnsi="Arial"/>
          <w:sz w:val="17"/>
          <w:szCs w:val="17"/>
          <w:b w:val="1"/>
          <w:bCs w:val="1"/>
          <w:color w:val="003551"/>
        </w:rPr>
        <w:t>Notice requiring payment of call</w:t>
      </w:r>
    </w:p>
    <w:p>
      <w:pPr>
        <w:spacing w:after="0" w:line="107" w:lineRule="exact"/>
        <w:rPr>
          <w:rFonts w:ascii="Arial" w:cs="Arial" w:eastAsia="Arial" w:hAnsi="Arial"/>
          <w:sz w:val="17"/>
          <w:szCs w:val="17"/>
          <w:b w:val="1"/>
          <w:bCs w:val="1"/>
          <w:color w:val="003551"/>
        </w:rPr>
      </w:pPr>
    </w:p>
    <w:p>
      <w:pPr>
        <w:ind w:left="1640" w:right="399"/>
        <w:spacing w:after="0" w:line="252" w:lineRule="auto"/>
        <w:rPr>
          <w:rFonts w:ascii="Arial" w:cs="Arial" w:eastAsia="Arial" w:hAnsi="Arial"/>
          <w:sz w:val="17"/>
          <w:szCs w:val="17"/>
          <w:b w:val="1"/>
          <w:bCs w:val="1"/>
          <w:color w:val="003551"/>
        </w:rPr>
      </w:pPr>
      <w:r>
        <w:rPr>
          <w:rFonts w:ascii="Arial" w:cs="Arial" w:eastAsia="Arial" w:hAnsi="Arial"/>
          <w:sz w:val="17"/>
          <w:szCs w:val="17"/>
          <w:color w:val="003551"/>
        </w:rPr>
        <w:t>If a member fails to pay a call or instalment of a call on or before the day appointed for payment, the board may, at any time while any part of the call or instalment remains unpaid, give notice to the member requiring payment of the unpaid amount, together with any accrued interest and all costs and expenses incurred by the company incurred as a result of the non-payment. The notice must:</w:t>
      </w:r>
    </w:p>
    <w:p>
      <w:pPr>
        <w:spacing w:after="0" w:line="266" w:lineRule="exact"/>
        <w:rPr>
          <w:rFonts w:ascii="Arial" w:cs="Arial" w:eastAsia="Arial" w:hAnsi="Arial"/>
          <w:sz w:val="17"/>
          <w:szCs w:val="17"/>
          <w:b w:val="1"/>
          <w:bCs w:val="1"/>
          <w:color w:val="003551"/>
        </w:rPr>
      </w:pPr>
    </w:p>
    <w:p>
      <w:pPr>
        <w:ind w:left="1980" w:right="519" w:hanging="344"/>
        <w:spacing w:after="0" w:line="283" w:lineRule="auto"/>
        <w:tabs>
          <w:tab w:leader="none" w:pos="1980" w:val="left"/>
        </w:tabs>
        <w:numPr>
          <w:ilvl w:val="1"/>
          <w:numId w:val="209"/>
        </w:numPr>
        <w:rPr>
          <w:rFonts w:ascii="Arial" w:cs="Arial" w:eastAsia="Arial" w:hAnsi="Arial"/>
          <w:sz w:val="17"/>
          <w:szCs w:val="17"/>
          <w:color w:val="003551"/>
        </w:rPr>
      </w:pPr>
      <w:r>
        <w:rPr>
          <w:rFonts w:ascii="Arial" w:cs="Arial" w:eastAsia="Arial" w:hAnsi="Arial"/>
          <w:sz w:val="17"/>
          <w:szCs w:val="17"/>
          <w:color w:val="003551"/>
        </w:rPr>
        <w:t>specify another day (being no earlier than 10 Business Days after the date of the notice) on or before which the payment required by the notice is to be made;</w:t>
      </w:r>
    </w:p>
    <w:p>
      <w:pPr>
        <w:spacing w:after="0" w:line="36" w:lineRule="exact"/>
        <w:rPr>
          <w:rFonts w:ascii="Arial" w:cs="Arial" w:eastAsia="Arial" w:hAnsi="Arial"/>
          <w:sz w:val="17"/>
          <w:szCs w:val="17"/>
          <w:color w:val="003551"/>
        </w:rPr>
      </w:pPr>
    </w:p>
    <w:p>
      <w:pPr>
        <w:ind w:left="1980" w:hanging="344"/>
        <w:spacing w:after="0"/>
        <w:tabs>
          <w:tab w:leader="none" w:pos="1980" w:val="left"/>
        </w:tabs>
        <w:numPr>
          <w:ilvl w:val="1"/>
          <w:numId w:val="209"/>
        </w:numPr>
        <w:rPr>
          <w:rFonts w:ascii="Arial" w:cs="Arial" w:eastAsia="Arial" w:hAnsi="Arial"/>
          <w:sz w:val="17"/>
          <w:szCs w:val="17"/>
          <w:color w:val="003551"/>
        </w:rPr>
      </w:pPr>
      <w:r>
        <w:rPr>
          <w:rFonts w:ascii="Arial" w:cs="Arial" w:eastAsia="Arial" w:hAnsi="Arial"/>
          <w:sz w:val="17"/>
          <w:szCs w:val="17"/>
          <w:color w:val="003551"/>
        </w:rPr>
        <w:t>specify the manner in which payment must be made; and</w:t>
      </w:r>
    </w:p>
    <w:p>
      <w:pPr>
        <w:spacing w:after="0" w:line="105" w:lineRule="exact"/>
        <w:rPr>
          <w:rFonts w:ascii="Arial" w:cs="Arial" w:eastAsia="Arial" w:hAnsi="Arial"/>
          <w:sz w:val="17"/>
          <w:szCs w:val="17"/>
          <w:color w:val="003551"/>
        </w:rPr>
      </w:pPr>
    </w:p>
    <w:p>
      <w:pPr>
        <w:ind w:left="1980" w:right="399" w:hanging="344"/>
        <w:spacing w:after="0" w:line="255" w:lineRule="auto"/>
        <w:tabs>
          <w:tab w:leader="none" w:pos="1980" w:val="left"/>
        </w:tabs>
        <w:numPr>
          <w:ilvl w:val="1"/>
          <w:numId w:val="209"/>
        </w:numPr>
        <w:rPr>
          <w:rFonts w:ascii="Arial" w:cs="Arial" w:eastAsia="Arial" w:hAnsi="Arial"/>
          <w:sz w:val="17"/>
          <w:szCs w:val="17"/>
          <w:color w:val="003551"/>
        </w:rPr>
      </w:pPr>
      <w:r>
        <w:rPr>
          <w:rFonts w:ascii="Arial" w:cs="Arial" w:eastAsia="Arial" w:hAnsi="Arial"/>
          <w:sz w:val="17"/>
          <w:szCs w:val="17"/>
          <w:color w:val="003551"/>
        </w:rPr>
        <w:t xml:space="preserve">state that, if payment is not made in the manner specified on or before the date specified, the shares in respect of which the call was made are liable to be forfeited, and, if the shares to which the call relates are officially quoted on an Exchange, must contain all other information required by the Listing Rules </w:t>
      </w:r>
      <w:r>
        <w:rPr>
          <w:rFonts w:ascii="Arial" w:cs="Arial" w:eastAsia="Arial" w:hAnsi="Arial"/>
          <w:sz w:val="17"/>
          <w:szCs w:val="17"/>
          <w:color w:val="0000FF"/>
        </w:rPr>
        <w:t>and the Securities Laws</w:t>
      </w:r>
      <w:r>
        <w:rPr>
          <w:rFonts w:ascii="Arial" w:cs="Arial" w:eastAsia="Arial" w:hAnsi="Arial"/>
          <w:sz w:val="17"/>
          <w:szCs w:val="17"/>
          <w:color w:val="000000"/>
        </w:rPr>
        <w:t>.</w:t>
      </w:r>
    </w:p>
    <w:p>
      <w:pPr>
        <w:spacing w:after="0" w:line="57" w:lineRule="exact"/>
        <w:rPr>
          <w:rFonts w:ascii="Arial" w:cs="Arial" w:eastAsia="Arial" w:hAnsi="Arial"/>
          <w:sz w:val="17"/>
          <w:szCs w:val="17"/>
          <w:color w:val="003551"/>
        </w:rPr>
      </w:pPr>
    </w:p>
    <w:p>
      <w:pPr>
        <w:ind w:left="1640" w:hanging="703"/>
        <w:spacing w:after="0"/>
        <w:tabs>
          <w:tab w:leader="none" w:pos="1640" w:val="left"/>
        </w:tabs>
        <w:numPr>
          <w:ilvl w:val="0"/>
          <w:numId w:val="209"/>
        </w:numPr>
        <w:rPr>
          <w:rFonts w:ascii="Arial" w:cs="Arial" w:eastAsia="Arial" w:hAnsi="Arial"/>
          <w:sz w:val="17"/>
          <w:szCs w:val="17"/>
          <w:b w:val="1"/>
          <w:bCs w:val="1"/>
          <w:color w:val="003551"/>
        </w:rPr>
      </w:pPr>
      <w:r>
        <w:rPr>
          <w:rFonts w:ascii="Arial" w:cs="Arial" w:eastAsia="Arial" w:hAnsi="Arial"/>
          <w:sz w:val="17"/>
          <w:szCs w:val="17"/>
          <w:b w:val="1"/>
          <w:bCs w:val="1"/>
          <w:color w:val="003551"/>
        </w:rPr>
        <w:t>Forfeiture of shares</w:t>
      </w:r>
    </w:p>
    <w:p>
      <w:pPr>
        <w:spacing w:after="0" w:line="107" w:lineRule="exact"/>
        <w:rPr>
          <w:rFonts w:ascii="Arial" w:cs="Arial" w:eastAsia="Arial" w:hAnsi="Arial"/>
          <w:sz w:val="17"/>
          <w:szCs w:val="17"/>
          <w:b w:val="1"/>
          <w:bCs w:val="1"/>
          <w:color w:val="003551"/>
        </w:rPr>
      </w:pPr>
    </w:p>
    <w:p>
      <w:pPr>
        <w:ind w:left="1640" w:right="439"/>
        <w:spacing w:after="0" w:line="255" w:lineRule="auto"/>
        <w:rPr>
          <w:rFonts w:ascii="Arial" w:cs="Arial" w:eastAsia="Arial" w:hAnsi="Arial"/>
          <w:sz w:val="17"/>
          <w:szCs w:val="17"/>
          <w:b w:val="1"/>
          <w:bCs w:val="1"/>
          <w:color w:val="003551"/>
        </w:rPr>
      </w:pPr>
      <w:r>
        <w:rPr>
          <w:rFonts w:ascii="Arial" w:cs="Arial" w:eastAsia="Arial" w:hAnsi="Arial"/>
          <w:sz w:val="17"/>
          <w:szCs w:val="17"/>
          <w:color w:val="003551"/>
        </w:rPr>
        <w:t xml:space="preserve">If the requirements of a notice served under </w:t>
      </w:r>
      <w:r>
        <w:rPr>
          <w:rFonts w:ascii="Arial" w:cs="Arial" w:eastAsia="Arial" w:hAnsi="Arial"/>
          <w:sz w:val="17"/>
          <w:szCs w:val="17"/>
          <w:u w:val="single" w:color="auto"/>
          <w:color w:val="003551"/>
        </w:rPr>
        <w:t>paragraph 1</w:t>
      </w:r>
      <w:r>
        <w:rPr>
          <w:rFonts w:ascii="Arial" w:cs="Arial" w:eastAsia="Arial" w:hAnsi="Arial"/>
          <w:sz w:val="17"/>
          <w:szCs w:val="17"/>
          <w:color w:val="003551"/>
        </w:rPr>
        <w:t xml:space="preserve"> have not been complied with in respect of any share then the board may at any time before the payment required by the notice has been made pass a resolution forfeiting that share together with all dividends and other distributions declared on that share but not paid or distributed before the forfeiture.</w:t>
      </w:r>
    </w:p>
    <w:p>
      <w:pPr>
        <w:spacing w:after="0" w:line="57" w:lineRule="exact"/>
        <w:rPr>
          <w:rFonts w:ascii="Arial" w:cs="Arial" w:eastAsia="Arial" w:hAnsi="Arial"/>
          <w:sz w:val="17"/>
          <w:szCs w:val="17"/>
          <w:b w:val="1"/>
          <w:bCs w:val="1"/>
          <w:color w:val="003551"/>
        </w:rPr>
      </w:pPr>
    </w:p>
    <w:p>
      <w:pPr>
        <w:ind w:left="1640" w:hanging="703"/>
        <w:spacing w:after="0"/>
        <w:tabs>
          <w:tab w:leader="none" w:pos="1640" w:val="left"/>
        </w:tabs>
        <w:numPr>
          <w:ilvl w:val="0"/>
          <w:numId w:val="209"/>
        </w:numPr>
        <w:rPr>
          <w:rFonts w:ascii="Arial" w:cs="Arial" w:eastAsia="Arial" w:hAnsi="Arial"/>
          <w:sz w:val="17"/>
          <w:szCs w:val="17"/>
          <w:b w:val="1"/>
          <w:bCs w:val="1"/>
          <w:color w:val="003551"/>
        </w:rPr>
      </w:pPr>
      <w:r>
        <w:rPr>
          <w:rFonts w:ascii="Arial" w:cs="Arial" w:eastAsia="Arial" w:hAnsi="Arial"/>
          <w:sz w:val="17"/>
          <w:szCs w:val="17"/>
          <w:b w:val="1"/>
          <w:bCs w:val="1"/>
          <w:color w:val="003551"/>
        </w:rPr>
        <w:t>Notice of forfeiture</w:t>
      </w:r>
    </w:p>
    <w:p>
      <w:pPr>
        <w:spacing w:after="0" w:line="107" w:lineRule="exact"/>
        <w:rPr>
          <w:rFonts w:ascii="Arial" w:cs="Arial" w:eastAsia="Arial" w:hAnsi="Arial"/>
          <w:sz w:val="17"/>
          <w:szCs w:val="17"/>
          <w:b w:val="1"/>
          <w:bCs w:val="1"/>
          <w:color w:val="003551"/>
        </w:rPr>
      </w:pPr>
    </w:p>
    <w:p>
      <w:pPr>
        <w:ind w:left="1640" w:right="519"/>
        <w:spacing w:after="0" w:line="255" w:lineRule="auto"/>
        <w:rPr>
          <w:rFonts w:ascii="Arial" w:cs="Arial" w:eastAsia="Arial" w:hAnsi="Arial"/>
          <w:sz w:val="17"/>
          <w:szCs w:val="17"/>
          <w:b w:val="1"/>
          <w:bCs w:val="1"/>
          <w:color w:val="003551"/>
        </w:rPr>
      </w:pPr>
      <w:r>
        <w:rPr>
          <w:rFonts w:ascii="Arial" w:cs="Arial" w:eastAsia="Arial" w:hAnsi="Arial"/>
          <w:sz w:val="17"/>
          <w:szCs w:val="17"/>
          <w:color w:val="003551"/>
        </w:rPr>
        <w:t>If any share is forfeited, notice of the forfeiture must be given to the member in whose name the share was registered immediately before the forfeiture and the fact of the forfeiture and the date of forfeiture must be entered immediately in the Register. Failure by the company to give such notice or to enter the forfeiture on the Register does not invalidate the forfeiture.</w:t>
      </w:r>
    </w:p>
    <w:p>
      <w:pPr>
        <w:spacing w:after="0" w:line="57" w:lineRule="exact"/>
        <w:rPr>
          <w:rFonts w:ascii="Arial" w:cs="Arial" w:eastAsia="Arial" w:hAnsi="Arial"/>
          <w:sz w:val="17"/>
          <w:szCs w:val="17"/>
          <w:b w:val="1"/>
          <w:bCs w:val="1"/>
          <w:color w:val="003551"/>
        </w:rPr>
      </w:pPr>
    </w:p>
    <w:p>
      <w:pPr>
        <w:ind w:left="1640" w:hanging="703"/>
        <w:spacing w:after="0"/>
        <w:tabs>
          <w:tab w:leader="none" w:pos="1640" w:val="left"/>
        </w:tabs>
        <w:numPr>
          <w:ilvl w:val="0"/>
          <w:numId w:val="209"/>
        </w:numPr>
        <w:rPr>
          <w:rFonts w:ascii="Arial" w:cs="Arial" w:eastAsia="Arial" w:hAnsi="Arial"/>
          <w:sz w:val="17"/>
          <w:szCs w:val="17"/>
          <w:b w:val="1"/>
          <w:bCs w:val="1"/>
          <w:color w:val="003551"/>
        </w:rPr>
      </w:pPr>
      <w:r>
        <w:rPr>
          <w:rFonts w:ascii="Arial" w:cs="Arial" w:eastAsia="Arial" w:hAnsi="Arial"/>
          <w:sz w:val="17"/>
          <w:szCs w:val="17"/>
          <w:b w:val="1"/>
          <w:bCs w:val="1"/>
          <w:color w:val="003551"/>
        </w:rPr>
        <w:t>Consequences of forfeiture</w:t>
      </w:r>
    </w:p>
    <w:p>
      <w:pPr>
        <w:spacing w:after="0" w:line="133" w:lineRule="exact"/>
        <w:rPr>
          <w:rFonts w:ascii="Arial" w:cs="Arial" w:eastAsia="Arial" w:hAnsi="Arial"/>
          <w:sz w:val="17"/>
          <w:szCs w:val="17"/>
          <w:b w:val="1"/>
          <w:bCs w:val="1"/>
          <w:color w:val="003551"/>
        </w:rPr>
      </w:pPr>
    </w:p>
    <w:p>
      <w:pPr>
        <w:ind w:left="1640"/>
        <w:spacing w:after="0"/>
        <w:rPr>
          <w:rFonts w:ascii="Arial" w:cs="Arial" w:eastAsia="Arial" w:hAnsi="Arial"/>
          <w:sz w:val="17"/>
          <w:szCs w:val="17"/>
          <w:b w:val="1"/>
          <w:bCs w:val="1"/>
          <w:color w:val="003551"/>
        </w:rPr>
      </w:pPr>
      <w:r>
        <w:rPr>
          <w:rFonts w:ascii="Arial" w:cs="Arial" w:eastAsia="Arial" w:hAnsi="Arial"/>
          <w:sz w:val="17"/>
          <w:szCs w:val="17"/>
          <w:color w:val="003551"/>
        </w:rPr>
        <w:t>A person whose shares have been forfeited:</w:t>
      </w:r>
    </w:p>
    <w:p>
      <w:pPr>
        <w:spacing w:after="0" w:line="105" w:lineRule="exact"/>
        <w:rPr>
          <w:rFonts w:ascii="Arial" w:cs="Arial" w:eastAsia="Arial" w:hAnsi="Arial"/>
          <w:sz w:val="17"/>
          <w:szCs w:val="17"/>
          <w:b w:val="1"/>
          <w:bCs w:val="1"/>
          <w:color w:val="003551"/>
        </w:rPr>
      </w:pPr>
    </w:p>
    <w:p>
      <w:pPr>
        <w:ind w:left="2320" w:right="519" w:hanging="335"/>
        <w:spacing w:after="0" w:line="262" w:lineRule="auto"/>
        <w:tabs>
          <w:tab w:leader="none" w:pos="2320" w:val="left"/>
        </w:tabs>
        <w:numPr>
          <w:ilvl w:val="2"/>
          <w:numId w:val="209"/>
        </w:numPr>
        <w:rPr>
          <w:rFonts w:ascii="Arial" w:cs="Arial" w:eastAsia="Arial" w:hAnsi="Arial"/>
          <w:sz w:val="17"/>
          <w:szCs w:val="17"/>
          <w:color w:val="003551"/>
        </w:rPr>
      </w:pPr>
      <w:r>
        <w:rPr>
          <w:rFonts w:ascii="Arial" w:cs="Arial" w:eastAsia="Arial" w:hAnsi="Arial"/>
          <w:sz w:val="17"/>
          <w:szCs w:val="17"/>
          <w:color w:val="003551"/>
        </w:rPr>
        <w:t>ceases to be a member in respect of the forfeited shares at the time and on the date of the passing of the board resolution approving the forfeiture and has no claims or demands against the company in respect of those shares;</w:t>
      </w:r>
    </w:p>
    <w:p>
      <w:pPr>
        <w:spacing w:after="0" w:line="54" w:lineRule="exact"/>
        <w:rPr>
          <w:rFonts w:ascii="Arial" w:cs="Arial" w:eastAsia="Arial" w:hAnsi="Arial"/>
          <w:sz w:val="17"/>
          <w:szCs w:val="17"/>
          <w:color w:val="003551"/>
        </w:rPr>
      </w:pPr>
    </w:p>
    <w:p>
      <w:pPr>
        <w:ind w:left="2320" w:right="919" w:hanging="335"/>
        <w:spacing w:after="0" w:line="283" w:lineRule="auto"/>
        <w:tabs>
          <w:tab w:leader="none" w:pos="2320" w:val="left"/>
        </w:tabs>
        <w:numPr>
          <w:ilvl w:val="2"/>
          <w:numId w:val="209"/>
        </w:numPr>
        <w:rPr>
          <w:rFonts w:ascii="Arial" w:cs="Arial" w:eastAsia="Arial" w:hAnsi="Arial"/>
          <w:sz w:val="17"/>
          <w:szCs w:val="17"/>
          <w:color w:val="003551"/>
        </w:rPr>
      </w:pPr>
      <w:r>
        <w:rPr>
          <w:rFonts w:ascii="Arial" w:cs="Arial" w:eastAsia="Arial" w:hAnsi="Arial"/>
          <w:sz w:val="17"/>
          <w:szCs w:val="17"/>
          <w:color w:val="003551"/>
        </w:rPr>
        <w:t>loses all rights and entitlements to dividends and other distributions on the shares except as provided in this constitution; and</w:t>
      </w:r>
    </w:p>
    <w:p>
      <w:pPr>
        <w:spacing w:after="0" w:line="36" w:lineRule="exact"/>
        <w:rPr>
          <w:rFonts w:ascii="Arial" w:cs="Arial" w:eastAsia="Arial" w:hAnsi="Arial"/>
          <w:sz w:val="17"/>
          <w:szCs w:val="17"/>
          <w:color w:val="003551"/>
        </w:rPr>
      </w:pPr>
    </w:p>
    <w:p>
      <w:pPr>
        <w:ind w:left="2320" w:right="559" w:hanging="335"/>
        <w:spacing w:after="0" w:line="251" w:lineRule="auto"/>
        <w:tabs>
          <w:tab w:leader="none" w:pos="2320" w:val="left"/>
        </w:tabs>
        <w:numPr>
          <w:ilvl w:val="2"/>
          <w:numId w:val="209"/>
        </w:numPr>
        <w:rPr>
          <w:rFonts w:ascii="Arial" w:cs="Arial" w:eastAsia="Arial" w:hAnsi="Arial"/>
          <w:sz w:val="17"/>
          <w:szCs w:val="17"/>
          <w:color w:val="003551"/>
        </w:rPr>
      </w:pPr>
      <w:r>
        <w:rPr>
          <w:rFonts w:ascii="Arial" w:cs="Arial" w:eastAsia="Arial" w:hAnsi="Arial"/>
          <w:sz w:val="17"/>
          <w:szCs w:val="17"/>
          <w:color w:val="003551"/>
        </w:rPr>
        <w:t>remains liable to pay to the company all money that, at the date of forfeiture, was payable by that person to the company in respect of the forfeited shares and must pay interest on the amount unpaid at the rate of 5% above the Reference Rate, or such lower rate as may be fixed by the board, from the date of forfeiture to the date of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2658110</wp:posOffset>
            </wp:positionH>
            <wp:positionV relativeFrom="paragraph">
              <wp:posOffset>-3374390</wp:posOffset>
            </wp:positionV>
            <wp:extent cx="120586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05865" cy="8255"/>
                    </a:xfrm>
                    <a:prstGeom prst="rect">
                      <a:avLst/>
                    </a:prstGeom>
                    <a:noFill/>
                  </pic:spPr>
                </pic:pic>
              </a:graphicData>
            </a:graphic>
          </wp:anchor>
        </w:drawing>
        <w:drawing>
          <wp:anchor simplePos="0" relativeHeight="251657728" behindDoc="1" locked="0" layoutInCell="0" allowOverlap="1">
            <wp:simplePos x="0" y="0"/>
            <wp:positionH relativeFrom="column">
              <wp:posOffset>2660015</wp:posOffset>
            </wp:positionH>
            <wp:positionV relativeFrom="paragraph">
              <wp:posOffset>-3390900</wp:posOffset>
            </wp:positionV>
            <wp:extent cx="120777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07770" cy="8255"/>
                    </a:xfrm>
                    <a:prstGeom prst="rect">
                      <a:avLst/>
                    </a:prstGeom>
                    <a:noFill/>
                  </pic:spPr>
                </pic:pic>
              </a:graphicData>
            </a:graphic>
          </wp:anchor>
        </w:drawing>
      </w:r>
    </w:p>
    <w:p>
      <w:pPr>
        <w:spacing w:after="0" w:line="150"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127635</wp:posOffset>
            </wp:positionV>
            <wp:extent cx="6786880" cy="1651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640" w:hanging="703"/>
        <w:spacing w:after="0"/>
        <w:tabs>
          <w:tab w:leader="none" w:pos="1640" w:val="left"/>
        </w:tabs>
        <w:numPr>
          <w:ilvl w:val="0"/>
          <w:numId w:val="210"/>
        </w:numPr>
        <w:rPr>
          <w:rFonts w:ascii="Arial" w:cs="Arial" w:eastAsia="Arial" w:hAnsi="Arial"/>
          <w:sz w:val="17"/>
          <w:szCs w:val="17"/>
          <w:b w:val="1"/>
          <w:bCs w:val="1"/>
          <w:color w:val="003551"/>
        </w:rPr>
      </w:pPr>
      <w:r>
        <w:rPr>
          <w:rFonts w:ascii="Arial" w:cs="Arial" w:eastAsia="Arial" w:hAnsi="Arial"/>
          <w:sz w:val="17"/>
          <w:szCs w:val="17"/>
          <w:b w:val="1"/>
          <w:bCs w:val="1"/>
          <w:color w:val="003551"/>
        </w:rPr>
        <w:t>Company’s power to deal with forfeited shares</w:t>
      </w:r>
    </w:p>
    <w:p>
      <w:pPr>
        <w:spacing w:after="0" w:line="107" w:lineRule="exact"/>
        <w:rPr>
          <w:rFonts w:ascii="Arial" w:cs="Arial" w:eastAsia="Arial" w:hAnsi="Arial"/>
          <w:sz w:val="17"/>
          <w:szCs w:val="17"/>
          <w:b w:val="1"/>
          <w:bCs w:val="1"/>
          <w:color w:val="003551"/>
        </w:rPr>
      </w:pPr>
    </w:p>
    <w:p>
      <w:pPr>
        <w:ind w:left="1640" w:right="499"/>
        <w:spacing w:after="0" w:line="283" w:lineRule="auto"/>
        <w:rPr>
          <w:rFonts w:ascii="Arial" w:cs="Arial" w:eastAsia="Arial" w:hAnsi="Arial"/>
          <w:sz w:val="17"/>
          <w:szCs w:val="17"/>
          <w:b w:val="1"/>
          <w:bCs w:val="1"/>
          <w:color w:val="003551"/>
        </w:rPr>
      </w:pPr>
      <w:r>
        <w:rPr>
          <w:rFonts w:ascii="Arial" w:cs="Arial" w:eastAsia="Arial" w:hAnsi="Arial"/>
          <w:sz w:val="17"/>
          <w:szCs w:val="17"/>
          <w:color w:val="003551"/>
        </w:rPr>
        <w:t xml:space="preserve">Subject to the Corporations Act </w:t>
      </w:r>
      <w:r>
        <w:rPr>
          <w:rFonts w:ascii="Arial" w:cs="Arial" w:eastAsia="Arial" w:hAnsi="Arial"/>
          <w:sz w:val="17"/>
          <w:szCs w:val="17"/>
          <w:color w:val="FF0000"/>
        </w:rPr>
        <w:t>and</w:t>
      </w:r>
      <w:r>
        <w:rPr>
          <w:rFonts w:ascii="Arial" w:cs="Arial" w:eastAsia="Arial" w:hAnsi="Arial"/>
          <w:sz w:val="17"/>
          <w:szCs w:val="17"/>
          <w:u w:val="single" w:color="auto"/>
          <w:color w:val="0000FF"/>
        </w:rPr>
        <w:t>,</w:t>
      </w:r>
      <w:r>
        <w:rPr>
          <w:rFonts w:ascii="Arial" w:cs="Arial" w:eastAsia="Arial" w:hAnsi="Arial"/>
          <w:sz w:val="17"/>
          <w:szCs w:val="17"/>
          <w:color w:val="003551"/>
        </w:rPr>
        <w:t xml:space="preserve"> </w:t>
      </w:r>
      <w:r>
        <w:rPr>
          <w:rFonts w:ascii="Arial" w:cs="Arial" w:eastAsia="Arial" w:hAnsi="Arial"/>
          <w:sz w:val="17"/>
          <w:szCs w:val="17"/>
          <w:color w:val="000000"/>
        </w:rPr>
        <w:t>the Listing Rules</w:t>
      </w:r>
      <w:r>
        <w:rPr>
          <w:rFonts w:ascii="Arial" w:cs="Arial" w:eastAsia="Arial" w:hAnsi="Arial"/>
          <w:sz w:val="17"/>
          <w:szCs w:val="17"/>
          <w:color w:val="003551"/>
        </w:rPr>
        <w:t xml:space="preserve"> </w:t>
      </w:r>
      <w:r>
        <w:rPr>
          <w:rFonts w:ascii="Arial" w:cs="Arial" w:eastAsia="Arial" w:hAnsi="Arial"/>
          <w:sz w:val="17"/>
          <w:szCs w:val="17"/>
          <w:color w:val="0000FF"/>
        </w:rPr>
        <w:t>and the Securities Laws</w:t>
      </w:r>
      <w:r>
        <w:rPr>
          <w:rFonts w:ascii="Arial" w:cs="Arial" w:eastAsia="Arial" w:hAnsi="Arial"/>
          <w:sz w:val="17"/>
          <w:szCs w:val="17"/>
          <w:color w:val="000000"/>
        </w:rPr>
        <w:t>, a forfeited share</w:t>
      </w:r>
      <w:r>
        <w:rPr>
          <w:rFonts w:ascii="Arial" w:cs="Arial" w:eastAsia="Arial" w:hAnsi="Arial"/>
          <w:sz w:val="17"/>
          <w:szCs w:val="17"/>
          <w:color w:val="003551"/>
        </w:rPr>
        <w:t xml:space="preserve"> </w:t>
      </w:r>
      <w:r>
        <w:rPr>
          <w:rFonts w:ascii="Arial" w:cs="Arial" w:eastAsia="Arial" w:hAnsi="Arial"/>
          <w:sz w:val="17"/>
          <w:szCs w:val="17"/>
          <w:color w:val="000000"/>
        </w:rPr>
        <w:t>becomes the property of the company and the board may:</w:t>
      </w:r>
    </w:p>
    <w:p>
      <w:pPr>
        <w:spacing w:after="0" w:line="36" w:lineRule="exact"/>
        <w:rPr>
          <w:rFonts w:ascii="Arial" w:cs="Arial" w:eastAsia="Arial" w:hAnsi="Arial"/>
          <w:sz w:val="17"/>
          <w:szCs w:val="17"/>
          <w:b w:val="1"/>
          <w:bCs w:val="1"/>
          <w:color w:val="003551"/>
        </w:rPr>
      </w:pPr>
    </w:p>
    <w:p>
      <w:pPr>
        <w:ind w:left="2320" w:right="699" w:hanging="335"/>
        <w:spacing w:after="0" w:line="283" w:lineRule="auto"/>
        <w:tabs>
          <w:tab w:leader="none" w:pos="2320" w:val="left"/>
        </w:tabs>
        <w:numPr>
          <w:ilvl w:val="1"/>
          <w:numId w:val="210"/>
        </w:numPr>
        <w:rPr>
          <w:rFonts w:ascii="Arial" w:cs="Arial" w:eastAsia="Arial" w:hAnsi="Arial"/>
          <w:sz w:val="17"/>
          <w:szCs w:val="17"/>
          <w:color w:val="003551"/>
        </w:rPr>
      </w:pPr>
      <w:r>
        <w:rPr>
          <w:rFonts w:ascii="Arial" w:cs="Arial" w:eastAsia="Arial" w:hAnsi="Arial"/>
          <w:sz w:val="17"/>
          <w:szCs w:val="17"/>
          <w:color w:val="003551"/>
        </w:rPr>
        <w:t>sell, re-issue or otherwise dispose of a forfeited share to such person, on such terms and in such manner as the directors think fit; or</w:t>
      </w:r>
    </w:p>
    <w:p>
      <w:pPr>
        <w:spacing w:after="0" w:line="36" w:lineRule="exact"/>
        <w:rPr>
          <w:rFonts w:ascii="Arial" w:cs="Arial" w:eastAsia="Arial" w:hAnsi="Arial"/>
          <w:sz w:val="17"/>
          <w:szCs w:val="17"/>
          <w:color w:val="003551"/>
        </w:rPr>
      </w:pPr>
    </w:p>
    <w:p>
      <w:pPr>
        <w:ind w:left="2320" w:right="559" w:hanging="335"/>
        <w:spacing w:after="0" w:line="283" w:lineRule="auto"/>
        <w:tabs>
          <w:tab w:leader="none" w:pos="2320" w:val="left"/>
        </w:tabs>
        <w:numPr>
          <w:ilvl w:val="1"/>
          <w:numId w:val="210"/>
        </w:numPr>
        <w:rPr>
          <w:rFonts w:ascii="Arial" w:cs="Arial" w:eastAsia="Arial" w:hAnsi="Arial"/>
          <w:sz w:val="17"/>
          <w:szCs w:val="17"/>
          <w:color w:val="003551"/>
        </w:rPr>
      </w:pPr>
      <w:r>
        <w:rPr>
          <w:rFonts w:ascii="Arial" w:cs="Arial" w:eastAsia="Arial" w:hAnsi="Arial"/>
          <w:sz w:val="17"/>
          <w:szCs w:val="17"/>
          <w:color w:val="003551"/>
        </w:rPr>
        <w:t xml:space="preserve">cancel a forfeited share in accordance with the provisions of the Corporations Act </w:t>
      </w:r>
      <w:r>
        <w:rPr>
          <w:rFonts w:ascii="Arial" w:cs="Arial" w:eastAsia="Arial" w:hAnsi="Arial"/>
          <w:sz w:val="17"/>
          <w:szCs w:val="17"/>
          <w:color w:val="FF0000"/>
        </w:rPr>
        <w:t>and</w:t>
      </w:r>
      <w:r>
        <w:rPr>
          <w:rFonts w:ascii="Arial" w:cs="Arial" w:eastAsia="Arial" w:hAnsi="Arial"/>
          <w:sz w:val="17"/>
          <w:szCs w:val="17"/>
          <w:u w:val="single" w:color="auto"/>
          <w:color w:val="0000FF"/>
        </w:rPr>
        <w:t>,</w:t>
      </w:r>
      <w:r>
        <w:rPr>
          <w:rFonts w:ascii="Arial" w:cs="Arial" w:eastAsia="Arial" w:hAnsi="Arial"/>
          <w:sz w:val="17"/>
          <w:szCs w:val="17"/>
          <w:color w:val="003551"/>
        </w:rPr>
        <w:t xml:space="preserve"> </w:t>
      </w:r>
      <w:r>
        <w:rPr>
          <w:rFonts w:ascii="Arial" w:cs="Arial" w:eastAsia="Arial" w:hAnsi="Arial"/>
          <w:sz w:val="17"/>
          <w:szCs w:val="17"/>
          <w:color w:val="000000"/>
        </w:rPr>
        <w:t xml:space="preserve">the Listing Rules </w:t>
      </w:r>
      <w:r>
        <w:rPr>
          <w:rFonts w:ascii="Arial" w:cs="Arial" w:eastAsia="Arial" w:hAnsi="Arial"/>
          <w:sz w:val="17"/>
          <w:szCs w:val="17"/>
          <w:u w:val="single" w:color="auto"/>
          <w:color w:val="0000FF"/>
        </w:rPr>
        <w:t>and the Securities Laws</w:t>
      </w:r>
      <w:r>
        <w:rPr>
          <w:rFonts w:ascii="Arial" w:cs="Arial" w:eastAsia="Arial" w:hAnsi="Arial"/>
          <w:sz w:val="17"/>
          <w:szCs w:val="17"/>
          <w:color w:val="000000"/>
        </w:rPr>
        <w:t>.</w:t>
      </w:r>
    </w:p>
    <w:p>
      <w:pPr>
        <w:spacing w:after="0" w:line="34" w:lineRule="exact"/>
        <w:rPr>
          <w:rFonts w:ascii="Arial" w:cs="Arial" w:eastAsia="Arial" w:hAnsi="Arial"/>
          <w:sz w:val="17"/>
          <w:szCs w:val="17"/>
          <w:color w:val="003551"/>
        </w:rPr>
      </w:pPr>
    </w:p>
    <w:p>
      <w:pPr>
        <w:ind w:left="1640" w:hanging="703"/>
        <w:spacing w:after="0"/>
        <w:tabs>
          <w:tab w:leader="none" w:pos="1640" w:val="left"/>
        </w:tabs>
        <w:numPr>
          <w:ilvl w:val="0"/>
          <w:numId w:val="210"/>
        </w:numPr>
        <w:rPr>
          <w:rFonts w:ascii="Arial" w:cs="Arial" w:eastAsia="Arial" w:hAnsi="Arial"/>
          <w:sz w:val="17"/>
          <w:szCs w:val="17"/>
          <w:b w:val="1"/>
          <w:bCs w:val="1"/>
          <w:color w:val="003551"/>
        </w:rPr>
      </w:pPr>
      <w:r>
        <w:rPr>
          <w:rFonts w:ascii="Arial" w:cs="Arial" w:eastAsia="Arial" w:hAnsi="Arial"/>
          <w:sz w:val="17"/>
          <w:szCs w:val="17"/>
          <w:b w:val="1"/>
          <w:bCs w:val="1"/>
          <w:color w:val="003551"/>
        </w:rPr>
        <w:t>Completion of sale, reissue or other disposal after forfeiture</w:t>
      </w:r>
    </w:p>
    <w:p>
      <w:pPr>
        <w:spacing w:after="0" w:line="133" w:lineRule="exact"/>
        <w:rPr>
          <w:rFonts w:ascii="Arial" w:cs="Arial" w:eastAsia="Arial" w:hAnsi="Arial"/>
          <w:sz w:val="17"/>
          <w:szCs w:val="17"/>
          <w:b w:val="1"/>
          <w:bCs w:val="1"/>
          <w:color w:val="003551"/>
        </w:rPr>
      </w:pPr>
    </w:p>
    <w:p>
      <w:pPr>
        <w:ind w:left="1640"/>
        <w:spacing w:after="0"/>
        <w:rPr>
          <w:rFonts w:ascii="Arial" w:cs="Arial" w:eastAsia="Arial" w:hAnsi="Arial"/>
          <w:sz w:val="17"/>
          <w:szCs w:val="17"/>
          <w:b w:val="1"/>
          <w:bCs w:val="1"/>
          <w:color w:val="003551"/>
        </w:rPr>
      </w:pPr>
      <w:r>
        <w:rPr>
          <w:rFonts w:ascii="Arial" w:cs="Arial" w:eastAsia="Arial" w:hAnsi="Arial"/>
          <w:sz w:val="17"/>
          <w:szCs w:val="17"/>
          <w:color w:val="003551"/>
        </w:rPr>
        <w:t xml:space="preserve">To give effect to a sale, reissue or other disposal of shares under </w:t>
      </w:r>
      <w:r>
        <w:rPr>
          <w:rFonts w:ascii="Arial" w:cs="Arial" w:eastAsia="Arial" w:hAnsi="Arial"/>
          <w:sz w:val="17"/>
          <w:szCs w:val="17"/>
          <w:u w:val="single" w:color="auto"/>
          <w:color w:val="003551"/>
        </w:rPr>
        <w:t>paragraph 5</w:t>
      </w:r>
      <w:r>
        <w:rPr>
          <w:rFonts w:ascii="Arial" w:cs="Arial" w:eastAsia="Arial" w:hAnsi="Arial"/>
          <w:sz w:val="17"/>
          <w:szCs w:val="17"/>
          <w:color w:val="003551"/>
        </w:rPr>
        <w:t xml:space="preserve"> the company may:</w:t>
      </w:r>
    </w:p>
    <w:p>
      <w:pPr>
        <w:spacing w:after="0" w:line="105" w:lineRule="exact"/>
        <w:rPr>
          <w:rFonts w:ascii="Arial" w:cs="Arial" w:eastAsia="Arial" w:hAnsi="Arial"/>
          <w:sz w:val="17"/>
          <w:szCs w:val="17"/>
          <w:b w:val="1"/>
          <w:bCs w:val="1"/>
          <w:color w:val="003551"/>
        </w:rPr>
      </w:pPr>
    </w:p>
    <w:p>
      <w:pPr>
        <w:ind w:left="2320" w:right="399" w:hanging="335"/>
        <w:spacing w:after="0" w:line="283" w:lineRule="auto"/>
        <w:tabs>
          <w:tab w:leader="none" w:pos="2320" w:val="left"/>
        </w:tabs>
        <w:numPr>
          <w:ilvl w:val="1"/>
          <w:numId w:val="210"/>
        </w:numPr>
        <w:rPr>
          <w:rFonts w:ascii="Arial" w:cs="Arial" w:eastAsia="Arial" w:hAnsi="Arial"/>
          <w:sz w:val="17"/>
          <w:szCs w:val="17"/>
          <w:color w:val="003551"/>
        </w:rPr>
      </w:pPr>
      <w:r>
        <w:rPr>
          <w:rFonts w:ascii="Arial" w:cs="Arial" w:eastAsia="Arial" w:hAnsi="Arial"/>
          <w:sz w:val="17"/>
          <w:szCs w:val="17"/>
          <w:color w:val="003551"/>
        </w:rPr>
        <w:t>take any action that may be required to move those shares from one part of the Register to another or to convert those shares from uncertificated form to certificated form;</w:t>
      </w:r>
    </w:p>
    <w:p>
      <w:pPr>
        <w:spacing w:after="0" w:line="36" w:lineRule="exact"/>
        <w:rPr>
          <w:rFonts w:ascii="Arial" w:cs="Arial" w:eastAsia="Arial" w:hAnsi="Arial"/>
          <w:sz w:val="17"/>
          <w:szCs w:val="17"/>
          <w:color w:val="003551"/>
        </w:rPr>
      </w:pPr>
    </w:p>
    <w:p>
      <w:pPr>
        <w:ind w:left="2320" w:right="799" w:hanging="335"/>
        <w:spacing w:after="0" w:line="262" w:lineRule="auto"/>
        <w:tabs>
          <w:tab w:leader="none" w:pos="2320" w:val="left"/>
        </w:tabs>
        <w:numPr>
          <w:ilvl w:val="1"/>
          <w:numId w:val="210"/>
        </w:numPr>
        <w:rPr>
          <w:rFonts w:ascii="Arial" w:cs="Arial" w:eastAsia="Arial" w:hAnsi="Arial"/>
          <w:sz w:val="17"/>
          <w:szCs w:val="17"/>
          <w:color w:val="003551"/>
        </w:rPr>
      </w:pPr>
      <w:r>
        <w:rPr>
          <w:rFonts w:ascii="Arial" w:cs="Arial" w:eastAsia="Arial" w:hAnsi="Arial"/>
          <w:sz w:val="17"/>
          <w:szCs w:val="17"/>
          <w:color w:val="003551"/>
        </w:rPr>
        <w:t>execute a transfer of the shares and execute all other documents and take all other steps necessary or desirable to transfer or dispose of those shares to the relevant transferee; and</w:t>
      </w:r>
    </w:p>
    <w:p>
      <w:pPr>
        <w:spacing w:after="0" w:line="54" w:lineRule="exact"/>
        <w:rPr>
          <w:rFonts w:ascii="Arial" w:cs="Arial" w:eastAsia="Arial" w:hAnsi="Arial"/>
          <w:sz w:val="17"/>
          <w:szCs w:val="17"/>
          <w:color w:val="003551"/>
        </w:rPr>
      </w:pPr>
    </w:p>
    <w:p>
      <w:pPr>
        <w:ind w:left="2320" w:hanging="335"/>
        <w:spacing w:after="0"/>
        <w:tabs>
          <w:tab w:leader="none" w:pos="2320" w:val="left"/>
        </w:tabs>
        <w:numPr>
          <w:ilvl w:val="1"/>
          <w:numId w:val="210"/>
        </w:numPr>
        <w:rPr>
          <w:rFonts w:ascii="Arial" w:cs="Arial" w:eastAsia="Arial" w:hAnsi="Arial"/>
          <w:sz w:val="17"/>
          <w:szCs w:val="17"/>
          <w:color w:val="003551"/>
        </w:rPr>
      </w:pPr>
      <w:r>
        <w:rPr>
          <w:rFonts w:ascii="Arial" w:cs="Arial" w:eastAsia="Arial" w:hAnsi="Arial"/>
          <w:sz w:val="17"/>
          <w:szCs w:val="17"/>
          <w:color w:val="003551"/>
        </w:rPr>
        <w:t>receive any consideration given for the shares sold or disposed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2573020</wp:posOffset>
            </wp:positionH>
            <wp:positionV relativeFrom="paragraph">
              <wp:posOffset>-2159000</wp:posOffset>
            </wp:positionV>
            <wp:extent cx="21590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215900" cy="8255"/>
                    </a:xfrm>
                    <a:prstGeom prst="rect">
                      <a:avLst/>
                    </a:prstGeom>
                    <a:noFill/>
                  </pic:spPr>
                </pic:pic>
              </a:graphicData>
            </a:graphic>
          </wp:anchor>
        </w:drawing>
        <w:drawing>
          <wp:anchor simplePos="0" relativeHeight="251657728" behindDoc="1" locked="0" layoutInCell="0" allowOverlap="1">
            <wp:simplePos x="0" y="0"/>
            <wp:positionH relativeFrom="column">
              <wp:posOffset>3672840</wp:posOffset>
            </wp:positionH>
            <wp:positionV relativeFrom="paragraph">
              <wp:posOffset>-2092325</wp:posOffset>
            </wp:positionV>
            <wp:extent cx="120586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05865" cy="8255"/>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-2108835</wp:posOffset>
            </wp:positionV>
            <wp:extent cx="120777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0777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-1526540</wp:posOffset>
            </wp:positionV>
            <wp:extent cx="21590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215900" cy="8255"/>
                    </a:xfrm>
                    <a:prstGeom prst="rect">
                      <a:avLst/>
                    </a:prstGeom>
                    <a:noFill/>
                  </pic:spPr>
                </pic:pic>
              </a:graphicData>
            </a:graphic>
          </wp:anchor>
        </w:drawing>
        <w:drawing>
          <wp:anchor simplePos="0" relativeHeight="251657728" behindDoc="1" locked="0" layoutInCell="0" allowOverlap="1">
            <wp:simplePos x="0" y="0"/>
            <wp:positionH relativeFrom="column">
              <wp:posOffset>2296160</wp:posOffset>
            </wp:positionH>
            <wp:positionV relativeFrom="paragraph">
              <wp:posOffset>-1351915</wp:posOffset>
            </wp:positionV>
            <wp:extent cx="120777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07770" cy="8255"/>
                    </a:xfrm>
                    <a:prstGeom prst="rect">
                      <a:avLst/>
                    </a:prstGeom>
                    <a:noFill/>
                  </pic:spPr>
                </pic:pic>
              </a:graphicData>
            </a:graphic>
          </wp:anchor>
        </w:drawing>
      </w:r>
    </w:p>
    <w:p>
      <w:pPr>
        <w:spacing w:after="0" w:line="86" w:lineRule="exact"/>
        <w:rPr>
          <w:sz w:val="20"/>
          <w:szCs w:val="20"/>
          <w:color w:val="auto"/>
        </w:rPr>
      </w:pPr>
    </w:p>
    <w:p>
      <w:pPr>
        <w:ind w:left="1640" w:right="479"/>
        <w:spacing w:after="0" w:line="262" w:lineRule="auto"/>
        <w:rPr>
          <w:sz w:val="20"/>
          <w:szCs w:val="20"/>
          <w:color w:val="auto"/>
        </w:rPr>
      </w:pPr>
      <w:r>
        <w:rPr>
          <w:rFonts w:ascii="Arial" w:cs="Arial" w:eastAsia="Arial" w:hAnsi="Arial"/>
          <w:sz w:val="17"/>
          <w:szCs w:val="17"/>
          <w:color w:val="003551"/>
        </w:rPr>
        <w:t>The transferee of the shares is not bound to see to the application of any consideration provided for the shares nor will the transferee’s title to the shares be affected by any irregularity or invalidity in connection with the forfeiture, sale or disposal of the shares.</w:t>
      </w:r>
    </w:p>
    <w:p>
      <w:pPr>
        <w:spacing w:after="0" w:line="52" w:lineRule="exact"/>
        <w:rPr>
          <w:sz w:val="20"/>
          <w:szCs w:val="20"/>
          <w:color w:val="auto"/>
        </w:rPr>
      </w:pPr>
    </w:p>
    <w:p>
      <w:pPr>
        <w:ind w:left="1640" w:hanging="703"/>
        <w:spacing w:after="0"/>
        <w:tabs>
          <w:tab w:leader="none" w:pos="1640" w:val="left"/>
        </w:tabs>
        <w:numPr>
          <w:ilvl w:val="0"/>
          <w:numId w:val="211"/>
        </w:numPr>
        <w:rPr>
          <w:rFonts w:ascii="Arial" w:cs="Arial" w:eastAsia="Arial" w:hAnsi="Arial"/>
          <w:sz w:val="17"/>
          <w:szCs w:val="17"/>
          <w:b w:val="1"/>
          <w:bCs w:val="1"/>
          <w:color w:val="003551"/>
        </w:rPr>
      </w:pPr>
      <w:r>
        <w:rPr>
          <w:rFonts w:ascii="Arial" w:cs="Arial" w:eastAsia="Arial" w:hAnsi="Arial"/>
          <w:sz w:val="17"/>
          <w:szCs w:val="17"/>
          <w:b w:val="1"/>
          <w:bCs w:val="1"/>
          <w:color w:val="003551"/>
        </w:rPr>
        <w:t>Application of proceeds of sale, reissue or other disposal</w:t>
      </w:r>
    </w:p>
    <w:p>
      <w:pPr>
        <w:spacing w:after="0" w:line="107" w:lineRule="exact"/>
        <w:rPr>
          <w:rFonts w:ascii="Arial" w:cs="Arial" w:eastAsia="Arial" w:hAnsi="Arial"/>
          <w:sz w:val="17"/>
          <w:szCs w:val="17"/>
          <w:b w:val="1"/>
          <w:bCs w:val="1"/>
          <w:color w:val="003551"/>
        </w:rPr>
      </w:pPr>
    </w:p>
    <w:p>
      <w:pPr>
        <w:ind w:left="1640" w:right="419"/>
        <w:spacing w:after="0" w:line="251" w:lineRule="auto"/>
        <w:rPr>
          <w:rFonts w:ascii="Arial" w:cs="Arial" w:eastAsia="Arial" w:hAnsi="Arial"/>
          <w:sz w:val="17"/>
          <w:szCs w:val="17"/>
          <w:b w:val="1"/>
          <w:bCs w:val="1"/>
          <w:color w:val="003551"/>
        </w:rPr>
      </w:pPr>
      <w:r>
        <w:rPr>
          <w:rFonts w:ascii="Arial" w:cs="Arial" w:eastAsia="Arial" w:hAnsi="Arial"/>
          <w:sz w:val="17"/>
          <w:szCs w:val="17"/>
          <w:color w:val="003551"/>
        </w:rPr>
        <w:t xml:space="preserve">The proceeds of a sale, reissue or other disposal made after forfeiture must be applied by the company in payment of, first, the expenses of the sale, reissue or other disposal, and, second, the satisfaction of any liability to the company in respect of the forfeited shares, and any residue must be paid to the person entitled to the shares immediately before forfeiture in accordance with the provisions of </w:t>
      </w:r>
      <w:r>
        <w:rPr>
          <w:rFonts w:ascii="Arial" w:cs="Arial" w:eastAsia="Arial" w:hAnsi="Arial"/>
          <w:sz w:val="17"/>
          <w:szCs w:val="17"/>
          <w:u w:val="single" w:color="auto"/>
          <w:color w:val="003551"/>
        </w:rPr>
        <w:t>rule 21</w:t>
      </w:r>
      <w:r>
        <w:rPr>
          <w:rFonts w:ascii="Arial" w:cs="Arial" w:eastAsia="Arial" w:hAnsi="Arial"/>
          <w:sz w:val="17"/>
          <w:szCs w:val="17"/>
          <w:color w:val="003551"/>
        </w:rPr>
        <w:t>.</w:t>
      </w:r>
    </w:p>
    <w:p>
      <w:pPr>
        <w:spacing w:after="0" w:line="63" w:lineRule="exact"/>
        <w:rPr>
          <w:rFonts w:ascii="Arial" w:cs="Arial" w:eastAsia="Arial" w:hAnsi="Arial"/>
          <w:sz w:val="17"/>
          <w:szCs w:val="17"/>
          <w:b w:val="1"/>
          <w:bCs w:val="1"/>
          <w:color w:val="003551"/>
        </w:rPr>
      </w:pPr>
    </w:p>
    <w:p>
      <w:pPr>
        <w:ind w:left="1640" w:hanging="703"/>
        <w:spacing w:after="0"/>
        <w:tabs>
          <w:tab w:leader="none" w:pos="1640" w:val="left"/>
        </w:tabs>
        <w:numPr>
          <w:ilvl w:val="0"/>
          <w:numId w:val="211"/>
        </w:numPr>
        <w:rPr>
          <w:rFonts w:ascii="Arial" w:cs="Arial" w:eastAsia="Arial" w:hAnsi="Arial"/>
          <w:sz w:val="17"/>
          <w:szCs w:val="17"/>
          <w:b w:val="1"/>
          <w:bCs w:val="1"/>
          <w:color w:val="003551"/>
        </w:rPr>
      </w:pPr>
      <w:r>
        <w:rPr>
          <w:rFonts w:ascii="Arial" w:cs="Arial" w:eastAsia="Arial" w:hAnsi="Arial"/>
          <w:sz w:val="17"/>
          <w:szCs w:val="17"/>
          <w:b w:val="1"/>
          <w:bCs w:val="1"/>
          <w:color w:val="003551"/>
        </w:rPr>
        <w:t>Revival of rights</w:t>
      </w:r>
    </w:p>
    <w:p>
      <w:pPr>
        <w:spacing w:after="0" w:line="107" w:lineRule="exact"/>
        <w:rPr>
          <w:rFonts w:ascii="Arial" w:cs="Arial" w:eastAsia="Arial" w:hAnsi="Arial"/>
          <w:sz w:val="17"/>
          <w:szCs w:val="17"/>
          <w:b w:val="1"/>
          <w:bCs w:val="1"/>
          <w:color w:val="003551"/>
        </w:rPr>
      </w:pPr>
    </w:p>
    <w:p>
      <w:pPr>
        <w:ind w:left="1640" w:right="499"/>
        <w:spacing w:after="0" w:line="283" w:lineRule="auto"/>
        <w:rPr>
          <w:rFonts w:ascii="Arial" w:cs="Arial" w:eastAsia="Arial" w:hAnsi="Arial"/>
          <w:sz w:val="17"/>
          <w:szCs w:val="17"/>
          <w:b w:val="1"/>
          <w:bCs w:val="1"/>
          <w:color w:val="003551"/>
        </w:rPr>
      </w:pPr>
      <w:r>
        <w:rPr>
          <w:rFonts w:ascii="Arial" w:cs="Arial" w:eastAsia="Arial" w:hAnsi="Arial"/>
          <w:sz w:val="17"/>
          <w:szCs w:val="17"/>
          <w:color w:val="003551"/>
        </w:rPr>
        <w:t xml:space="preserve">On completion of a sale, reissue or other disposal of shares under </w:t>
      </w:r>
      <w:r>
        <w:rPr>
          <w:rFonts w:ascii="Arial" w:cs="Arial" w:eastAsia="Arial" w:hAnsi="Arial"/>
          <w:sz w:val="17"/>
          <w:szCs w:val="17"/>
          <w:u w:val="single" w:color="auto"/>
          <w:color w:val="003551"/>
        </w:rPr>
        <w:t>paragraph 6</w:t>
      </w:r>
      <w:r>
        <w:rPr>
          <w:rFonts w:ascii="Arial" w:cs="Arial" w:eastAsia="Arial" w:hAnsi="Arial"/>
          <w:sz w:val="17"/>
          <w:szCs w:val="17"/>
          <w:color w:val="003551"/>
        </w:rPr>
        <w:t xml:space="preserve">, the rights which attach to the share which were extinguished under </w:t>
      </w:r>
      <w:r>
        <w:rPr>
          <w:rFonts w:ascii="Arial" w:cs="Arial" w:eastAsia="Arial" w:hAnsi="Arial"/>
          <w:sz w:val="17"/>
          <w:szCs w:val="17"/>
          <w:u w:val="single" w:color="auto"/>
          <w:color w:val="003551"/>
        </w:rPr>
        <w:t>paragraph 4</w:t>
      </w:r>
      <w:r>
        <w:rPr>
          <w:rFonts w:ascii="Arial" w:cs="Arial" w:eastAsia="Arial" w:hAnsi="Arial"/>
          <w:sz w:val="17"/>
          <w:szCs w:val="17"/>
          <w:color w:val="003551"/>
        </w:rPr>
        <w:t xml:space="preserve"> revive.</w:t>
      </w:r>
    </w:p>
    <w:p>
      <w:pPr>
        <w:spacing w:after="0" w:line="34" w:lineRule="exact"/>
        <w:rPr>
          <w:rFonts w:ascii="Arial" w:cs="Arial" w:eastAsia="Arial" w:hAnsi="Arial"/>
          <w:sz w:val="17"/>
          <w:szCs w:val="17"/>
          <w:b w:val="1"/>
          <w:bCs w:val="1"/>
          <w:color w:val="003551"/>
        </w:rPr>
      </w:pPr>
    </w:p>
    <w:p>
      <w:pPr>
        <w:ind w:left="1640" w:hanging="703"/>
        <w:spacing w:after="0"/>
        <w:tabs>
          <w:tab w:leader="none" w:pos="1640" w:val="left"/>
        </w:tabs>
        <w:numPr>
          <w:ilvl w:val="0"/>
          <w:numId w:val="211"/>
        </w:numPr>
        <w:rPr>
          <w:rFonts w:ascii="Arial" w:cs="Arial" w:eastAsia="Arial" w:hAnsi="Arial"/>
          <w:sz w:val="17"/>
          <w:szCs w:val="17"/>
          <w:b w:val="1"/>
          <w:bCs w:val="1"/>
          <w:color w:val="003551"/>
        </w:rPr>
      </w:pPr>
      <w:r>
        <w:rPr>
          <w:rFonts w:ascii="Arial" w:cs="Arial" w:eastAsia="Arial" w:hAnsi="Arial"/>
          <w:sz w:val="17"/>
          <w:szCs w:val="17"/>
          <w:b w:val="1"/>
          <w:bCs w:val="1"/>
          <w:color w:val="003551"/>
        </w:rPr>
        <w:t>Evidence of forfeiture</w:t>
      </w:r>
    </w:p>
    <w:p>
      <w:pPr>
        <w:spacing w:after="0" w:line="107" w:lineRule="exact"/>
        <w:rPr>
          <w:rFonts w:ascii="Arial" w:cs="Arial" w:eastAsia="Arial" w:hAnsi="Arial"/>
          <w:sz w:val="17"/>
          <w:szCs w:val="17"/>
          <w:b w:val="1"/>
          <w:bCs w:val="1"/>
          <w:color w:val="003551"/>
        </w:rPr>
      </w:pPr>
    </w:p>
    <w:p>
      <w:pPr>
        <w:ind w:left="1640" w:right="499"/>
        <w:spacing w:after="0" w:line="283" w:lineRule="auto"/>
        <w:rPr>
          <w:rFonts w:ascii="Arial" w:cs="Arial" w:eastAsia="Arial" w:hAnsi="Arial"/>
          <w:sz w:val="17"/>
          <w:szCs w:val="17"/>
          <w:b w:val="1"/>
          <w:bCs w:val="1"/>
          <w:color w:val="003551"/>
        </w:rPr>
      </w:pPr>
      <w:r>
        <w:rPr>
          <w:rFonts w:ascii="Arial" w:cs="Arial" w:eastAsia="Arial" w:hAnsi="Arial"/>
          <w:sz w:val="17"/>
          <w:szCs w:val="17"/>
          <w:color w:val="003551"/>
        </w:rPr>
        <w:t>A written statement by a director or a secretary of the company that a share in the company has been:</w:t>
      </w:r>
    </w:p>
    <w:p>
      <w:pPr>
        <w:spacing w:after="0" w:line="36" w:lineRule="exact"/>
        <w:rPr>
          <w:rFonts w:ascii="Arial" w:cs="Arial" w:eastAsia="Arial" w:hAnsi="Arial"/>
          <w:sz w:val="17"/>
          <w:szCs w:val="17"/>
          <w:b w:val="1"/>
          <w:bCs w:val="1"/>
          <w:color w:val="003551"/>
        </w:rPr>
      </w:pPr>
    </w:p>
    <w:p>
      <w:pPr>
        <w:ind w:left="2320" w:hanging="335"/>
        <w:spacing w:after="0"/>
        <w:tabs>
          <w:tab w:leader="none" w:pos="2320" w:val="left"/>
        </w:tabs>
        <w:numPr>
          <w:ilvl w:val="1"/>
          <w:numId w:val="211"/>
        </w:numPr>
        <w:rPr>
          <w:rFonts w:ascii="Arial" w:cs="Arial" w:eastAsia="Arial" w:hAnsi="Arial"/>
          <w:sz w:val="17"/>
          <w:szCs w:val="17"/>
          <w:color w:val="003551"/>
        </w:rPr>
      </w:pPr>
      <w:r>
        <w:rPr>
          <w:rFonts w:ascii="Arial" w:cs="Arial" w:eastAsia="Arial" w:hAnsi="Arial"/>
          <w:sz w:val="17"/>
          <w:szCs w:val="17"/>
          <w:color w:val="003551"/>
        </w:rPr>
        <w:t xml:space="preserve">duly forfeited under </w:t>
      </w:r>
      <w:r>
        <w:rPr>
          <w:rFonts w:ascii="Arial" w:cs="Arial" w:eastAsia="Arial" w:hAnsi="Arial"/>
          <w:sz w:val="17"/>
          <w:szCs w:val="17"/>
          <w:u w:val="single" w:color="auto"/>
          <w:color w:val="003551"/>
        </w:rPr>
        <w:t>paragraph 2</w:t>
      </w:r>
      <w:r>
        <w:rPr>
          <w:rFonts w:ascii="Arial" w:cs="Arial" w:eastAsia="Arial" w:hAnsi="Arial"/>
          <w:sz w:val="17"/>
          <w:szCs w:val="17"/>
          <w:color w:val="003551"/>
        </w:rPr>
        <w:t>; or</w:t>
      </w:r>
    </w:p>
    <w:p>
      <w:pPr>
        <w:spacing w:after="0" w:line="105" w:lineRule="exact"/>
        <w:rPr>
          <w:rFonts w:ascii="Arial" w:cs="Arial" w:eastAsia="Arial" w:hAnsi="Arial"/>
          <w:sz w:val="17"/>
          <w:szCs w:val="17"/>
          <w:color w:val="003551"/>
        </w:rPr>
      </w:pPr>
    </w:p>
    <w:p>
      <w:pPr>
        <w:ind w:left="2320" w:right="519" w:hanging="335"/>
        <w:spacing w:after="0" w:line="255" w:lineRule="auto"/>
        <w:tabs>
          <w:tab w:leader="none" w:pos="2320" w:val="left"/>
        </w:tabs>
        <w:numPr>
          <w:ilvl w:val="1"/>
          <w:numId w:val="211"/>
        </w:numPr>
        <w:rPr>
          <w:rFonts w:ascii="Arial" w:cs="Arial" w:eastAsia="Arial" w:hAnsi="Arial"/>
          <w:sz w:val="17"/>
          <w:szCs w:val="17"/>
          <w:color w:val="003551"/>
        </w:rPr>
      </w:pPr>
      <w:r>
        <w:rPr>
          <w:rFonts w:ascii="Arial" w:cs="Arial" w:eastAsia="Arial" w:hAnsi="Arial"/>
          <w:sz w:val="17"/>
          <w:szCs w:val="17"/>
          <w:color w:val="003551"/>
        </w:rPr>
        <w:t xml:space="preserve">duly sold, reissued or otherwise disposed of under </w:t>
      </w:r>
      <w:r>
        <w:rPr>
          <w:rFonts w:ascii="Arial" w:cs="Arial" w:eastAsia="Arial" w:hAnsi="Arial"/>
          <w:sz w:val="17"/>
          <w:szCs w:val="17"/>
          <w:u w:val="single" w:color="auto"/>
          <w:color w:val="003551"/>
        </w:rPr>
        <w:t>paragraph 5(a)</w:t>
      </w:r>
      <w:r>
        <w:rPr>
          <w:rFonts w:ascii="Arial" w:cs="Arial" w:eastAsia="Arial" w:hAnsi="Arial"/>
          <w:sz w:val="17"/>
          <w:szCs w:val="17"/>
          <w:color w:val="003551"/>
        </w:rPr>
        <w:t xml:space="preserve"> on a date stated in the statement is conclusive evidence of the facts stated as against all persons claiming to be entitled to the share, and of the right of the company to forfeit, sell, reissue or otherwise dispose of the share.</w:t>
      </w:r>
    </w:p>
    <w:p>
      <w:pPr>
        <w:spacing w:after="0" w:line="165"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127635</wp:posOffset>
            </wp:positionV>
            <wp:extent cx="6786880" cy="1651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640" w:hanging="703"/>
        <w:spacing w:after="0"/>
        <w:tabs>
          <w:tab w:leader="none" w:pos="1640" w:val="left"/>
        </w:tabs>
        <w:numPr>
          <w:ilvl w:val="0"/>
          <w:numId w:val="212"/>
        </w:numPr>
        <w:rPr>
          <w:rFonts w:ascii="Arial" w:cs="Arial" w:eastAsia="Arial" w:hAnsi="Arial"/>
          <w:sz w:val="17"/>
          <w:szCs w:val="17"/>
          <w:b w:val="1"/>
          <w:bCs w:val="1"/>
          <w:color w:val="003551"/>
        </w:rPr>
      </w:pPr>
      <w:r>
        <w:rPr>
          <w:rFonts w:ascii="Arial" w:cs="Arial" w:eastAsia="Arial" w:hAnsi="Arial"/>
          <w:sz w:val="17"/>
          <w:szCs w:val="17"/>
          <w:b w:val="1"/>
          <w:bCs w:val="1"/>
          <w:color w:val="003551"/>
        </w:rPr>
        <w:t>Surrender of shares</w:t>
      </w:r>
    </w:p>
    <w:p>
      <w:pPr>
        <w:spacing w:after="0" w:line="107" w:lineRule="exact"/>
        <w:rPr>
          <w:rFonts w:ascii="Arial" w:cs="Arial" w:eastAsia="Arial" w:hAnsi="Arial"/>
          <w:sz w:val="17"/>
          <w:szCs w:val="17"/>
          <w:b w:val="1"/>
          <w:bCs w:val="1"/>
          <w:color w:val="003551"/>
        </w:rPr>
      </w:pPr>
    </w:p>
    <w:p>
      <w:pPr>
        <w:ind w:left="1640" w:right="539"/>
        <w:spacing w:after="0" w:line="262" w:lineRule="auto"/>
        <w:rPr>
          <w:rFonts w:ascii="Arial" w:cs="Arial" w:eastAsia="Arial" w:hAnsi="Arial"/>
          <w:sz w:val="17"/>
          <w:szCs w:val="17"/>
          <w:b w:val="1"/>
          <w:bCs w:val="1"/>
          <w:color w:val="003551"/>
        </w:rPr>
      </w:pPr>
      <w:r>
        <w:rPr>
          <w:rFonts w:ascii="Arial" w:cs="Arial" w:eastAsia="Arial" w:hAnsi="Arial"/>
          <w:sz w:val="17"/>
          <w:szCs w:val="17"/>
          <w:color w:val="003551"/>
        </w:rPr>
        <w:t>The board may accept the surrender of any share which they are entitled to forfeit on any terms that they think fit and any share so surrendered may be dealt with in the same manner as a forfeited share.</w:t>
      </w:r>
    </w:p>
    <w:p>
      <w:pPr>
        <w:spacing w:after="0" w:line="52" w:lineRule="exact"/>
        <w:rPr>
          <w:rFonts w:ascii="Arial" w:cs="Arial" w:eastAsia="Arial" w:hAnsi="Arial"/>
          <w:sz w:val="17"/>
          <w:szCs w:val="17"/>
          <w:b w:val="1"/>
          <w:bCs w:val="1"/>
          <w:color w:val="003551"/>
        </w:rPr>
      </w:pPr>
    </w:p>
    <w:p>
      <w:pPr>
        <w:ind w:left="1640" w:right="6519" w:hanging="703"/>
        <w:spacing w:after="0" w:line="387" w:lineRule="auto"/>
        <w:tabs>
          <w:tab w:leader="none" w:pos="1636" w:val="left"/>
        </w:tabs>
        <w:numPr>
          <w:ilvl w:val="0"/>
          <w:numId w:val="212"/>
        </w:numPr>
        <w:rPr>
          <w:rFonts w:ascii="Arial" w:cs="Arial" w:eastAsia="Arial" w:hAnsi="Arial"/>
          <w:sz w:val="17"/>
          <w:szCs w:val="17"/>
          <w:b w:val="1"/>
          <w:bCs w:val="1"/>
          <w:color w:val="003551"/>
        </w:rPr>
      </w:pPr>
      <w:r>
        <w:rPr>
          <w:rFonts w:ascii="Arial" w:cs="Arial" w:eastAsia="Arial" w:hAnsi="Arial"/>
          <w:sz w:val="17"/>
          <w:szCs w:val="17"/>
          <w:b w:val="1"/>
          <w:bCs w:val="1"/>
          <w:color w:val="003551"/>
        </w:rPr>
        <w:t xml:space="preserve">Board discretion </w:t>
      </w:r>
      <w:r>
        <w:rPr>
          <w:rFonts w:ascii="Arial" w:cs="Arial" w:eastAsia="Arial" w:hAnsi="Arial"/>
          <w:sz w:val="17"/>
          <w:szCs w:val="17"/>
          <w:color w:val="003551"/>
        </w:rPr>
        <w:t>The board may:</w:t>
      </w:r>
    </w:p>
    <w:p>
      <w:pPr>
        <w:ind w:left="2320" w:hanging="335"/>
        <w:spacing w:after="0"/>
        <w:tabs>
          <w:tab w:leader="none" w:pos="2320" w:val="left"/>
        </w:tabs>
        <w:numPr>
          <w:ilvl w:val="1"/>
          <w:numId w:val="212"/>
        </w:numPr>
        <w:rPr>
          <w:rFonts w:ascii="Arial" w:cs="Arial" w:eastAsia="Arial" w:hAnsi="Arial"/>
          <w:sz w:val="17"/>
          <w:szCs w:val="17"/>
          <w:color w:val="003551"/>
        </w:rPr>
      </w:pPr>
      <w:r>
        <w:rPr>
          <w:rFonts w:ascii="Arial" w:cs="Arial" w:eastAsia="Arial" w:hAnsi="Arial"/>
          <w:sz w:val="17"/>
          <w:szCs w:val="17"/>
          <w:color w:val="003551"/>
        </w:rPr>
        <w:t xml:space="preserve">exempt a share from all or part of this </w:t>
      </w:r>
      <w:r>
        <w:rPr>
          <w:rFonts w:ascii="Arial" w:cs="Arial" w:eastAsia="Arial" w:hAnsi="Arial"/>
          <w:sz w:val="17"/>
          <w:szCs w:val="17"/>
          <w:u w:val="single" w:color="auto"/>
          <w:color w:val="003551"/>
        </w:rPr>
        <w:t>Schedule 5</w:t>
      </w:r>
      <w:r>
        <w:rPr>
          <w:rFonts w:ascii="Arial" w:cs="Arial" w:eastAsia="Arial" w:hAnsi="Arial"/>
          <w:sz w:val="17"/>
          <w:szCs w:val="17"/>
          <w:color w:val="003551"/>
        </w:rPr>
        <w:t>;</w:t>
      </w:r>
    </w:p>
    <w:p>
      <w:pPr>
        <w:spacing w:after="0" w:line="105" w:lineRule="exact"/>
        <w:rPr>
          <w:rFonts w:ascii="Arial" w:cs="Arial" w:eastAsia="Arial" w:hAnsi="Arial"/>
          <w:sz w:val="17"/>
          <w:szCs w:val="17"/>
          <w:color w:val="003551"/>
        </w:rPr>
      </w:pPr>
    </w:p>
    <w:p>
      <w:pPr>
        <w:ind w:left="2320" w:right="499" w:hanging="335"/>
        <w:spacing w:after="0" w:line="283" w:lineRule="auto"/>
        <w:tabs>
          <w:tab w:leader="none" w:pos="2320" w:val="left"/>
        </w:tabs>
        <w:numPr>
          <w:ilvl w:val="1"/>
          <w:numId w:val="212"/>
        </w:numPr>
        <w:rPr>
          <w:rFonts w:ascii="Arial" w:cs="Arial" w:eastAsia="Arial" w:hAnsi="Arial"/>
          <w:sz w:val="17"/>
          <w:szCs w:val="17"/>
          <w:color w:val="003551"/>
        </w:rPr>
      </w:pPr>
      <w:r>
        <w:rPr>
          <w:rFonts w:ascii="Arial" w:cs="Arial" w:eastAsia="Arial" w:hAnsi="Arial"/>
          <w:sz w:val="17"/>
          <w:szCs w:val="17"/>
          <w:color w:val="003551"/>
        </w:rPr>
        <w:t xml:space="preserve">subject to the Listing Rules </w:t>
      </w:r>
      <w:r>
        <w:rPr>
          <w:rFonts w:ascii="Arial" w:cs="Arial" w:eastAsia="Arial" w:hAnsi="Arial"/>
          <w:sz w:val="17"/>
          <w:szCs w:val="17"/>
          <w:color w:val="0000FF"/>
        </w:rPr>
        <w:t>and the Securities Laws</w:t>
      </w:r>
      <w:r>
        <w:rPr>
          <w:rFonts w:ascii="Arial" w:cs="Arial" w:eastAsia="Arial" w:hAnsi="Arial"/>
          <w:sz w:val="17"/>
          <w:szCs w:val="17"/>
          <w:color w:val="000000"/>
        </w:rPr>
        <w:t>, waive or compromise all or part of</w:t>
      </w:r>
      <w:r>
        <w:rPr>
          <w:rFonts w:ascii="Arial" w:cs="Arial" w:eastAsia="Arial" w:hAnsi="Arial"/>
          <w:sz w:val="17"/>
          <w:szCs w:val="17"/>
          <w:color w:val="003551"/>
        </w:rPr>
        <w:t xml:space="preserve"> </w:t>
      </w:r>
      <w:r>
        <w:rPr>
          <w:rFonts w:ascii="Arial" w:cs="Arial" w:eastAsia="Arial" w:hAnsi="Arial"/>
          <w:sz w:val="17"/>
          <w:szCs w:val="17"/>
          <w:color w:val="000000"/>
        </w:rPr>
        <w:t xml:space="preserve">any payment due to the company under this </w:t>
      </w:r>
      <w:r>
        <w:rPr>
          <w:rFonts w:ascii="Arial" w:cs="Arial" w:eastAsia="Arial" w:hAnsi="Arial"/>
          <w:sz w:val="17"/>
          <w:szCs w:val="17"/>
          <w:u w:val="single" w:color="auto"/>
          <w:color w:val="000000"/>
        </w:rPr>
        <w:t>Schedule 5; or</w:t>
      </w:r>
    </w:p>
    <w:p>
      <w:pPr>
        <w:spacing w:after="0" w:line="36" w:lineRule="exact"/>
        <w:rPr>
          <w:rFonts w:ascii="Arial" w:cs="Arial" w:eastAsia="Arial" w:hAnsi="Arial"/>
          <w:sz w:val="17"/>
          <w:szCs w:val="17"/>
          <w:color w:val="003551"/>
        </w:rPr>
      </w:pPr>
    </w:p>
    <w:p>
      <w:pPr>
        <w:ind w:left="2320" w:right="679" w:hanging="335"/>
        <w:spacing w:after="0" w:line="283" w:lineRule="auto"/>
        <w:tabs>
          <w:tab w:leader="none" w:pos="2320" w:val="left"/>
        </w:tabs>
        <w:numPr>
          <w:ilvl w:val="1"/>
          <w:numId w:val="212"/>
        </w:numPr>
        <w:rPr>
          <w:rFonts w:ascii="Arial" w:cs="Arial" w:eastAsia="Arial" w:hAnsi="Arial"/>
          <w:sz w:val="17"/>
          <w:szCs w:val="17"/>
          <w:color w:val="003551"/>
        </w:rPr>
      </w:pPr>
      <w:r>
        <w:rPr>
          <w:rFonts w:ascii="Arial" w:cs="Arial" w:eastAsia="Arial" w:hAnsi="Arial"/>
          <w:sz w:val="17"/>
          <w:szCs w:val="17"/>
          <w:color w:val="003551"/>
        </w:rPr>
        <w:t>before a forfeited share has been sold, reissued or otherwise disposed of, cancel the forfeiture on the conditions it decides.</w:t>
      </w:r>
    </w:p>
    <w:p>
      <w:pPr>
        <w:spacing w:after="0" w:line="34" w:lineRule="exact"/>
        <w:rPr>
          <w:rFonts w:ascii="Arial" w:cs="Arial" w:eastAsia="Arial" w:hAnsi="Arial"/>
          <w:sz w:val="17"/>
          <w:szCs w:val="17"/>
          <w:color w:val="003551"/>
        </w:rPr>
      </w:pPr>
    </w:p>
    <w:p>
      <w:pPr>
        <w:ind w:left="1640" w:hanging="703"/>
        <w:spacing w:after="0"/>
        <w:tabs>
          <w:tab w:leader="none" w:pos="1640" w:val="left"/>
        </w:tabs>
        <w:numPr>
          <w:ilvl w:val="0"/>
          <w:numId w:val="212"/>
        </w:numPr>
        <w:rPr>
          <w:rFonts w:ascii="Arial" w:cs="Arial" w:eastAsia="Arial" w:hAnsi="Arial"/>
          <w:sz w:val="17"/>
          <w:szCs w:val="17"/>
          <w:b w:val="1"/>
          <w:bCs w:val="1"/>
          <w:color w:val="003551"/>
        </w:rPr>
      </w:pPr>
      <w:r>
        <w:rPr>
          <w:rFonts w:ascii="Arial" w:cs="Arial" w:eastAsia="Arial" w:hAnsi="Arial"/>
          <w:sz w:val="17"/>
          <w:szCs w:val="17"/>
          <w:b w:val="1"/>
          <w:bCs w:val="1"/>
          <w:color w:val="003551"/>
        </w:rPr>
        <w:t>Remedy limited to damages</w:t>
      </w:r>
    </w:p>
    <w:p>
      <w:pPr>
        <w:spacing w:after="0" w:line="107" w:lineRule="exact"/>
        <w:rPr>
          <w:rFonts w:ascii="Arial" w:cs="Arial" w:eastAsia="Arial" w:hAnsi="Arial"/>
          <w:sz w:val="17"/>
          <w:szCs w:val="17"/>
          <w:b w:val="1"/>
          <w:bCs w:val="1"/>
          <w:color w:val="003551"/>
        </w:rPr>
      </w:pPr>
    </w:p>
    <w:p>
      <w:pPr>
        <w:ind w:left="1640" w:right="499"/>
        <w:spacing w:after="0" w:line="262" w:lineRule="auto"/>
        <w:rPr>
          <w:rFonts w:ascii="Arial" w:cs="Arial" w:eastAsia="Arial" w:hAnsi="Arial"/>
          <w:sz w:val="17"/>
          <w:szCs w:val="17"/>
          <w:b w:val="1"/>
          <w:bCs w:val="1"/>
          <w:color w:val="003551"/>
        </w:rPr>
      </w:pPr>
      <w:r>
        <w:rPr>
          <w:rFonts w:ascii="Arial" w:cs="Arial" w:eastAsia="Arial" w:hAnsi="Arial"/>
          <w:sz w:val="17"/>
          <w:szCs w:val="17"/>
          <w:color w:val="003551"/>
        </w:rPr>
        <w:t>The remedy of a member in respect of the sale of any shares under this Schedule 5 is expressly limited to a right of action in damages against the company to the exclusion of any other right, remedy or relief against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2799080</wp:posOffset>
            </wp:positionH>
            <wp:positionV relativeFrom="paragraph">
              <wp:posOffset>-1094105</wp:posOffset>
            </wp:positionV>
            <wp:extent cx="120586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05865" cy="8255"/>
                    </a:xfrm>
                    <a:prstGeom prst="rect">
                      <a:avLst/>
                    </a:prstGeom>
                    <a:noFill/>
                  </pic:spPr>
                </pic:pic>
              </a:graphicData>
            </a:graphic>
          </wp:anchor>
        </w:drawing>
        <w:drawing>
          <wp:anchor simplePos="0" relativeHeight="251657728" behindDoc="1" locked="0" layoutInCell="0" allowOverlap="1">
            <wp:simplePos x="0" y="0"/>
            <wp:positionH relativeFrom="column">
              <wp:posOffset>2801620</wp:posOffset>
            </wp:positionH>
            <wp:positionV relativeFrom="paragraph">
              <wp:posOffset>-1110615</wp:posOffset>
            </wp:positionV>
            <wp:extent cx="120777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07770" cy="8255"/>
                    </a:xfrm>
                    <a:prstGeom prst="rect">
                      <a:avLst/>
                    </a:prstGeom>
                    <a:noFill/>
                  </pic:spPr>
                </pic:pic>
              </a:graphicData>
            </a:graphic>
          </wp:anchor>
        </w:drawing>
      </w:r>
    </w:p>
    <w:p>
      <w:pPr>
        <w:spacing w:after="0" w:line="13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127635</wp:posOffset>
            </wp:positionV>
            <wp:extent cx="6786880" cy="1651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6" w:right="1440"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580"/>
        <w:spacing w:after="0"/>
        <w:rPr>
          <w:sz w:val="20"/>
          <w:szCs w:val="20"/>
          <w:color w:val="auto"/>
        </w:rPr>
      </w:pPr>
      <w:r>
        <w:rPr>
          <w:rFonts w:ascii="Arial" w:cs="Arial" w:eastAsia="Arial" w:hAnsi="Arial"/>
          <w:sz w:val="17"/>
          <w:szCs w:val="17"/>
          <w:b w:val="1"/>
          <w:bCs w:val="1"/>
          <w:color w:val="77C483"/>
        </w:rPr>
        <w:t>Schedule 6</w:t>
      </w:r>
    </w:p>
    <w:p>
      <w:pPr>
        <w:spacing w:after="0" w:line="19" w:lineRule="exact"/>
        <w:rPr>
          <w:sz w:val="20"/>
          <w:szCs w:val="20"/>
          <w:color w:val="auto"/>
        </w:rPr>
      </w:pPr>
    </w:p>
    <w:p>
      <w:pPr>
        <w:ind w:left="4940"/>
        <w:spacing w:after="0"/>
        <w:rPr>
          <w:sz w:val="20"/>
          <w:szCs w:val="20"/>
          <w:color w:val="auto"/>
        </w:rPr>
      </w:pPr>
      <w:r>
        <w:rPr>
          <w:rFonts w:ascii="Arial" w:cs="Arial" w:eastAsia="Arial" w:hAnsi="Arial"/>
          <w:sz w:val="17"/>
          <w:szCs w:val="17"/>
          <w:b w:val="1"/>
          <w:bCs w:val="1"/>
          <w:color w:val="77C483"/>
        </w:rPr>
        <w:t> </w:t>
      </w:r>
    </w:p>
    <w:p>
      <w:pPr>
        <w:spacing w:after="0" w:line="1" w:lineRule="exact"/>
        <w:rPr>
          <w:sz w:val="20"/>
          <w:szCs w:val="20"/>
          <w:color w:val="auto"/>
        </w:rPr>
      </w:pPr>
    </w:p>
    <w:p>
      <w:pPr>
        <w:ind w:left="2480"/>
        <w:spacing w:after="0"/>
        <w:rPr>
          <w:sz w:val="20"/>
          <w:szCs w:val="20"/>
          <w:color w:val="auto"/>
        </w:rPr>
      </w:pPr>
      <w:r>
        <w:rPr>
          <w:rFonts w:ascii="Arial" w:cs="Arial" w:eastAsia="Arial" w:hAnsi="Arial"/>
          <w:sz w:val="17"/>
          <w:szCs w:val="17"/>
          <w:b w:val="1"/>
          <w:bCs w:val="1"/>
          <w:color w:val="FF0000"/>
          <w:strike w:val="1"/>
        </w:rPr>
        <w:t>PROPORTIONAL TAKEOVER BIDS</w:t>
      </w:r>
      <w:r>
        <w:rPr>
          <w:rFonts w:ascii="Arial" w:cs="Arial" w:eastAsia="Arial" w:hAnsi="Arial"/>
          <w:sz w:val="17"/>
          <w:szCs w:val="17"/>
          <w:b w:val="1"/>
          <w:bCs w:val="1"/>
          <w:u w:val="single" w:color="auto"/>
          <w:color w:val="0000FF"/>
          <w:strike w:val="1"/>
        </w:rPr>
        <w:t>Proportional Takeover Bids</w:t>
      </w:r>
    </w:p>
    <w:p>
      <w:pPr>
        <w:spacing w:after="0" w:line="88" w:lineRule="exact"/>
        <w:rPr>
          <w:sz w:val="20"/>
          <w:szCs w:val="20"/>
          <w:color w:val="auto"/>
        </w:rPr>
      </w:pPr>
    </w:p>
    <w:p>
      <w:pPr>
        <w:ind w:left="1640" w:hanging="703"/>
        <w:spacing w:after="0"/>
        <w:tabs>
          <w:tab w:leader="none" w:pos="1640" w:val="left"/>
        </w:tabs>
        <w:numPr>
          <w:ilvl w:val="0"/>
          <w:numId w:val="213"/>
        </w:numPr>
        <w:rPr>
          <w:rFonts w:ascii="Arial" w:cs="Arial" w:eastAsia="Arial" w:hAnsi="Arial"/>
          <w:sz w:val="17"/>
          <w:szCs w:val="17"/>
          <w:b w:val="1"/>
          <w:bCs w:val="1"/>
          <w:color w:val="003551"/>
        </w:rPr>
      </w:pPr>
      <w:r>
        <w:rPr>
          <w:rFonts w:ascii="Arial" w:cs="Arial" w:eastAsia="Arial" w:hAnsi="Arial"/>
          <w:sz w:val="17"/>
          <w:szCs w:val="17"/>
          <w:b w:val="1"/>
          <w:bCs w:val="1"/>
          <w:color w:val="003551"/>
        </w:rPr>
        <w:t>Resolution required for transfer under proportional takeover bid</w:t>
      </w:r>
    </w:p>
    <w:p>
      <w:pPr>
        <w:spacing w:after="0" w:line="107" w:lineRule="exact"/>
        <w:rPr>
          <w:rFonts w:ascii="Arial" w:cs="Arial" w:eastAsia="Arial" w:hAnsi="Arial"/>
          <w:sz w:val="17"/>
          <w:szCs w:val="17"/>
          <w:b w:val="1"/>
          <w:bCs w:val="1"/>
          <w:color w:val="003551"/>
        </w:rPr>
      </w:pPr>
    </w:p>
    <w:p>
      <w:pPr>
        <w:ind w:left="1640" w:right="459"/>
        <w:spacing w:after="0" w:line="255" w:lineRule="auto"/>
        <w:rPr>
          <w:rFonts w:ascii="Arial" w:cs="Arial" w:eastAsia="Arial" w:hAnsi="Arial"/>
          <w:sz w:val="17"/>
          <w:szCs w:val="17"/>
          <w:b w:val="1"/>
          <w:bCs w:val="1"/>
          <w:color w:val="003551"/>
        </w:rPr>
      </w:pPr>
      <w:r>
        <w:rPr>
          <w:rFonts w:ascii="Arial" w:cs="Arial" w:eastAsia="Arial" w:hAnsi="Arial"/>
          <w:sz w:val="17"/>
          <w:szCs w:val="17"/>
          <w:color w:val="003551"/>
        </w:rPr>
        <w:t xml:space="preserve">Subject to </w:t>
      </w:r>
      <w:r>
        <w:rPr>
          <w:rFonts w:ascii="Arial" w:cs="Arial" w:eastAsia="Arial" w:hAnsi="Arial"/>
          <w:sz w:val="17"/>
          <w:szCs w:val="17"/>
          <w:u w:val="single" w:color="auto"/>
          <w:color w:val="003551"/>
        </w:rPr>
        <w:t>paragraph 7</w:t>
      </w:r>
      <w:r>
        <w:rPr>
          <w:rFonts w:ascii="Arial" w:cs="Arial" w:eastAsia="Arial" w:hAnsi="Arial"/>
          <w:sz w:val="17"/>
          <w:szCs w:val="17"/>
          <w:color w:val="003551"/>
        </w:rPr>
        <w:t xml:space="preserve"> but despite any other provision of this constitution, a transfer of shares or other securities in the company giving effect to a contract resulting from acceptance of an offer made under a proportional takeover bid must not be registered unless and until a resolution approving the bid is passed or taken to be passed in accordance with </w:t>
      </w:r>
      <w:r>
        <w:rPr>
          <w:rFonts w:ascii="Arial" w:cs="Arial" w:eastAsia="Arial" w:hAnsi="Arial"/>
          <w:sz w:val="17"/>
          <w:szCs w:val="17"/>
          <w:u w:val="single" w:color="auto"/>
          <w:color w:val="003551"/>
        </w:rPr>
        <w:t>paragraph 6</w:t>
      </w:r>
      <w:r>
        <w:rPr>
          <w:rFonts w:ascii="Arial" w:cs="Arial" w:eastAsia="Arial" w:hAnsi="Arial"/>
          <w:sz w:val="17"/>
          <w:szCs w:val="17"/>
          <w:color w:val="003551"/>
        </w:rPr>
        <w:t>.</w:t>
      </w:r>
    </w:p>
    <w:p>
      <w:pPr>
        <w:spacing w:after="0" w:line="57" w:lineRule="exact"/>
        <w:rPr>
          <w:rFonts w:ascii="Arial" w:cs="Arial" w:eastAsia="Arial" w:hAnsi="Arial"/>
          <w:sz w:val="17"/>
          <w:szCs w:val="17"/>
          <w:b w:val="1"/>
          <w:bCs w:val="1"/>
          <w:color w:val="003551"/>
        </w:rPr>
      </w:pPr>
    </w:p>
    <w:p>
      <w:pPr>
        <w:ind w:left="1640" w:hanging="703"/>
        <w:spacing w:after="0"/>
        <w:tabs>
          <w:tab w:leader="none" w:pos="1640" w:val="left"/>
        </w:tabs>
        <w:numPr>
          <w:ilvl w:val="0"/>
          <w:numId w:val="213"/>
        </w:numPr>
        <w:rPr>
          <w:rFonts w:ascii="Arial" w:cs="Arial" w:eastAsia="Arial" w:hAnsi="Arial"/>
          <w:sz w:val="17"/>
          <w:szCs w:val="17"/>
          <w:b w:val="1"/>
          <w:bCs w:val="1"/>
          <w:color w:val="003551"/>
        </w:rPr>
      </w:pPr>
      <w:r>
        <w:rPr>
          <w:rFonts w:ascii="Arial" w:cs="Arial" w:eastAsia="Arial" w:hAnsi="Arial"/>
          <w:sz w:val="17"/>
          <w:szCs w:val="17"/>
          <w:b w:val="1"/>
          <w:bCs w:val="1"/>
          <w:color w:val="003551"/>
        </w:rPr>
        <w:t>Board’s obligations where offers made under proportional takeover bid</w:t>
      </w:r>
    </w:p>
    <w:p>
      <w:pPr>
        <w:spacing w:after="0" w:line="107" w:lineRule="exact"/>
        <w:rPr>
          <w:rFonts w:ascii="Arial" w:cs="Arial" w:eastAsia="Arial" w:hAnsi="Arial"/>
          <w:sz w:val="17"/>
          <w:szCs w:val="17"/>
          <w:b w:val="1"/>
          <w:bCs w:val="1"/>
          <w:color w:val="003551"/>
        </w:rPr>
      </w:pPr>
    </w:p>
    <w:p>
      <w:pPr>
        <w:ind w:left="1640" w:right="519"/>
        <w:spacing w:after="0" w:line="283" w:lineRule="auto"/>
        <w:rPr>
          <w:rFonts w:ascii="Arial" w:cs="Arial" w:eastAsia="Arial" w:hAnsi="Arial"/>
          <w:sz w:val="17"/>
          <w:szCs w:val="17"/>
          <w:b w:val="1"/>
          <w:bCs w:val="1"/>
          <w:color w:val="003551"/>
        </w:rPr>
      </w:pPr>
      <w:r>
        <w:rPr>
          <w:rFonts w:ascii="Arial" w:cs="Arial" w:eastAsia="Arial" w:hAnsi="Arial"/>
          <w:sz w:val="17"/>
          <w:szCs w:val="17"/>
          <w:color w:val="003551"/>
        </w:rPr>
        <w:t>If offers are made under a proportional takeover bid for any class of shares or other securities in the company, the board must:</w:t>
      </w:r>
    </w:p>
    <w:p>
      <w:pPr>
        <w:spacing w:after="0" w:line="36" w:lineRule="exact"/>
        <w:rPr>
          <w:rFonts w:ascii="Arial" w:cs="Arial" w:eastAsia="Arial" w:hAnsi="Arial"/>
          <w:sz w:val="17"/>
          <w:szCs w:val="17"/>
          <w:b w:val="1"/>
          <w:bCs w:val="1"/>
          <w:color w:val="003551"/>
        </w:rPr>
      </w:pPr>
    </w:p>
    <w:p>
      <w:pPr>
        <w:ind w:left="2320" w:right="459" w:hanging="335"/>
        <w:spacing w:after="0" w:line="262" w:lineRule="auto"/>
        <w:tabs>
          <w:tab w:leader="none" w:pos="2320" w:val="left"/>
        </w:tabs>
        <w:numPr>
          <w:ilvl w:val="1"/>
          <w:numId w:val="213"/>
        </w:numPr>
        <w:rPr>
          <w:rFonts w:ascii="Arial" w:cs="Arial" w:eastAsia="Arial" w:hAnsi="Arial"/>
          <w:sz w:val="17"/>
          <w:szCs w:val="17"/>
          <w:color w:val="003551"/>
        </w:rPr>
      </w:pPr>
      <w:r>
        <w:rPr>
          <w:rFonts w:ascii="Arial" w:cs="Arial" w:eastAsia="Arial" w:hAnsi="Arial"/>
          <w:sz w:val="17"/>
          <w:szCs w:val="17"/>
          <w:color w:val="003551"/>
        </w:rPr>
        <w:t xml:space="preserve">either convene a meeting of the persons entitled to vote on the approving resolution in accordance with </w:t>
      </w:r>
      <w:r>
        <w:rPr>
          <w:rFonts w:ascii="Arial" w:cs="Arial" w:eastAsia="Arial" w:hAnsi="Arial"/>
          <w:sz w:val="17"/>
          <w:szCs w:val="17"/>
          <w:u w:val="single" w:color="auto"/>
          <w:color w:val="003551"/>
        </w:rPr>
        <w:t>paragraph 4</w:t>
      </w:r>
      <w:r>
        <w:rPr>
          <w:rFonts w:ascii="Arial" w:cs="Arial" w:eastAsia="Arial" w:hAnsi="Arial"/>
          <w:sz w:val="17"/>
          <w:szCs w:val="17"/>
          <w:color w:val="003551"/>
        </w:rPr>
        <w:t xml:space="preserve"> or conduct a postal ballot of all persons entitled to vote on the approving resolution in accordance with </w:t>
      </w:r>
      <w:r>
        <w:rPr>
          <w:rFonts w:ascii="Arial" w:cs="Arial" w:eastAsia="Arial" w:hAnsi="Arial"/>
          <w:sz w:val="17"/>
          <w:szCs w:val="17"/>
          <w:u w:val="single" w:color="auto"/>
          <w:color w:val="003551"/>
        </w:rPr>
        <w:t>paragraph 5</w:t>
      </w:r>
      <w:r>
        <w:rPr>
          <w:rFonts w:ascii="Arial" w:cs="Arial" w:eastAsia="Arial" w:hAnsi="Arial"/>
          <w:sz w:val="17"/>
          <w:szCs w:val="17"/>
          <w:color w:val="003551"/>
        </w:rPr>
        <w:t>; and</w:t>
      </w:r>
    </w:p>
    <w:p>
      <w:pPr>
        <w:spacing w:after="0" w:line="54" w:lineRule="exact"/>
        <w:rPr>
          <w:rFonts w:ascii="Arial" w:cs="Arial" w:eastAsia="Arial" w:hAnsi="Arial"/>
          <w:sz w:val="17"/>
          <w:szCs w:val="17"/>
          <w:color w:val="003551"/>
        </w:rPr>
      </w:pPr>
    </w:p>
    <w:p>
      <w:pPr>
        <w:ind w:left="2320" w:right="779" w:hanging="335"/>
        <w:spacing w:after="0" w:line="283" w:lineRule="auto"/>
        <w:tabs>
          <w:tab w:leader="none" w:pos="2320" w:val="left"/>
        </w:tabs>
        <w:numPr>
          <w:ilvl w:val="1"/>
          <w:numId w:val="213"/>
        </w:numPr>
        <w:rPr>
          <w:rFonts w:ascii="Arial" w:cs="Arial" w:eastAsia="Arial" w:hAnsi="Arial"/>
          <w:sz w:val="17"/>
          <w:szCs w:val="17"/>
          <w:color w:val="003551"/>
        </w:rPr>
      </w:pPr>
      <w:r>
        <w:rPr>
          <w:rFonts w:ascii="Arial" w:cs="Arial" w:eastAsia="Arial" w:hAnsi="Arial"/>
          <w:sz w:val="17"/>
          <w:szCs w:val="17"/>
          <w:color w:val="003551"/>
        </w:rPr>
        <w:t>ensure that the approving resolution is voted on at that meeting or by means of that ballot before the day that is 14 days before the last day of the bid period.</w:t>
      </w:r>
    </w:p>
    <w:p>
      <w:pPr>
        <w:spacing w:after="0" w:line="34" w:lineRule="exact"/>
        <w:rPr>
          <w:rFonts w:ascii="Arial" w:cs="Arial" w:eastAsia="Arial" w:hAnsi="Arial"/>
          <w:sz w:val="17"/>
          <w:szCs w:val="17"/>
          <w:color w:val="003551"/>
        </w:rPr>
      </w:pPr>
    </w:p>
    <w:p>
      <w:pPr>
        <w:ind w:left="1640" w:hanging="703"/>
        <w:spacing w:after="0"/>
        <w:tabs>
          <w:tab w:leader="none" w:pos="1640" w:val="left"/>
        </w:tabs>
        <w:numPr>
          <w:ilvl w:val="0"/>
          <w:numId w:val="213"/>
        </w:numPr>
        <w:rPr>
          <w:rFonts w:ascii="Arial" w:cs="Arial" w:eastAsia="Arial" w:hAnsi="Arial"/>
          <w:sz w:val="17"/>
          <w:szCs w:val="17"/>
          <w:b w:val="1"/>
          <w:bCs w:val="1"/>
          <w:color w:val="003551"/>
        </w:rPr>
      </w:pPr>
      <w:r>
        <w:rPr>
          <w:rFonts w:ascii="Arial" w:cs="Arial" w:eastAsia="Arial" w:hAnsi="Arial"/>
          <w:sz w:val="17"/>
          <w:szCs w:val="17"/>
          <w:b w:val="1"/>
          <w:bCs w:val="1"/>
          <w:color w:val="003551"/>
        </w:rPr>
        <w:t>Persons entitled to vote</w:t>
      </w:r>
    </w:p>
    <w:p>
      <w:pPr>
        <w:spacing w:after="0" w:line="107" w:lineRule="exact"/>
        <w:rPr>
          <w:rFonts w:ascii="Arial" w:cs="Arial" w:eastAsia="Arial" w:hAnsi="Arial"/>
          <w:sz w:val="17"/>
          <w:szCs w:val="17"/>
          <w:b w:val="1"/>
          <w:bCs w:val="1"/>
          <w:color w:val="003551"/>
        </w:rPr>
      </w:pPr>
    </w:p>
    <w:p>
      <w:pPr>
        <w:ind w:left="1640" w:right="419"/>
        <w:spacing w:after="0" w:line="251" w:lineRule="auto"/>
        <w:rPr>
          <w:rFonts w:ascii="Arial" w:cs="Arial" w:eastAsia="Arial" w:hAnsi="Arial"/>
          <w:sz w:val="17"/>
          <w:szCs w:val="17"/>
          <w:b w:val="1"/>
          <w:bCs w:val="1"/>
          <w:color w:val="003551"/>
        </w:rPr>
      </w:pPr>
      <w:r>
        <w:rPr>
          <w:rFonts w:ascii="Arial" w:cs="Arial" w:eastAsia="Arial" w:hAnsi="Arial"/>
          <w:sz w:val="17"/>
          <w:szCs w:val="17"/>
          <w:color w:val="003551"/>
        </w:rPr>
        <w:t>The only persons entitled to vote on the approving resolution are those persons (other than the bidder or any associate of the bidder) who, as of the end of the day on which the first offer under the proportional takeover bid was made, held shares or other securities of the company in the bid class. Each person who is entitled to vote is entitled to one vote for each share or other security in the bid class held by that person at that time.</w:t>
      </w:r>
    </w:p>
    <w:p>
      <w:pPr>
        <w:spacing w:after="0" w:line="63" w:lineRule="exact"/>
        <w:rPr>
          <w:rFonts w:ascii="Arial" w:cs="Arial" w:eastAsia="Arial" w:hAnsi="Arial"/>
          <w:sz w:val="17"/>
          <w:szCs w:val="17"/>
          <w:b w:val="1"/>
          <w:bCs w:val="1"/>
          <w:color w:val="003551"/>
        </w:rPr>
      </w:pPr>
    </w:p>
    <w:p>
      <w:pPr>
        <w:ind w:left="1640" w:hanging="703"/>
        <w:spacing w:after="0"/>
        <w:tabs>
          <w:tab w:leader="none" w:pos="1640" w:val="left"/>
        </w:tabs>
        <w:numPr>
          <w:ilvl w:val="0"/>
          <w:numId w:val="213"/>
        </w:numPr>
        <w:rPr>
          <w:rFonts w:ascii="Arial" w:cs="Arial" w:eastAsia="Arial" w:hAnsi="Arial"/>
          <w:sz w:val="17"/>
          <w:szCs w:val="17"/>
          <w:b w:val="1"/>
          <w:bCs w:val="1"/>
          <w:color w:val="003551"/>
        </w:rPr>
      </w:pPr>
      <w:r>
        <w:rPr>
          <w:rFonts w:ascii="Arial" w:cs="Arial" w:eastAsia="Arial" w:hAnsi="Arial"/>
          <w:sz w:val="17"/>
          <w:szCs w:val="17"/>
          <w:b w:val="1"/>
          <w:bCs w:val="1"/>
          <w:color w:val="003551"/>
        </w:rPr>
        <w:t>Procedure for meeting</w:t>
      </w:r>
    </w:p>
    <w:p>
      <w:pPr>
        <w:spacing w:after="0" w:line="107" w:lineRule="exact"/>
        <w:rPr>
          <w:rFonts w:ascii="Arial" w:cs="Arial" w:eastAsia="Arial" w:hAnsi="Arial"/>
          <w:sz w:val="17"/>
          <w:szCs w:val="17"/>
          <w:b w:val="1"/>
          <w:bCs w:val="1"/>
          <w:color w:val="003551"/>
        </w:rPr>
      </w:pPr>
    </w:p>
    <w:p>
      <w:pPr>
        <w:ind w:left="1640" w:right="399"/>
        <w:spacing w:after="0" w:line="251" w:lineRule="auto"/>
        <w:rPr>
          <w:rFonts w:ascii="Arial" w:cs="Arial" w:eastAsia="Arial" w:hAnsi="Arial"/>
          <w:sz w:val="17"/>
          <w:szCs w:val="17"/>
          <w:b w:val="1"/>
          <w:bCs w:val="1"/>
          <w:color w:val="003551"/>
        </w:rPr>
      </w:pPr>
      <w:r>
        <w:rPr>
          <w:rFonts w:ascii="Arial" w:cs="Arial" w:eastAsia="Arial" w:hAnsi="Arial"/>
          <w:sz w:val="17"/>
          <w:szCs w:val="17"/>
          <w:color w:val="003551"/>
        </w:rPr>
        <w:t xml:space="preserve">If the board determines under </w:t>
      </w:r>
      <w:r>
        <w:rPr>
          <w:rFonts w:ascii="Arial" w:cs="Arial" w:eastAsia="Arial" w:hAnsi="Arial"/>
          <w:sz w:val="17"/>
          <w:szCs w:val="17"/>
          <w:u w:val="single" w:color="auto"/>
          <w:color w:val="003551"/>
        </w:rPr>
        <w:t>paragraph 2(a)</w:t>
      </w:r>
      <w:r>
        <w:rPr>
          <w:rFonts w:ascii="Arial" w:cs="Arial" w:eastAsia="Arial" w:hAnsi="Arial"/>
          <w:sz w:val="17"/>
          <w:szCs w:val="17"/>
          <w:color w:val="003551"/>
        </w:rPr>
        <w:t xml:space="preserve"> to convene a meeting of persons entitled to vote on the approving resolution, then, subject to </w:t>
      </w:r>
      <w:r>
        <w:rPr>
          <w:rFonts w:ascii="Arial" w:cs="Arial" w:eastAsia="Arial" w:hAnsi="Arial"/>
          <w:sz w:val="17"/>
          <w:szCs w:val="17"/>
          <w:u w:val="single" w:color="auto"/>
          <w:color w:val="003551"/>
        </w:rPr>
        <w:t>paragraph 3</w:t>
      </w:r>
      <w:r>
        <w:rPr>
          <w:rFonts w:ascii="Arial" w:cs="Arial" w:eastAsia="Arial" w:hAnsi="Arial"/>
          <w:sz w:val="17"/>
          <w:szCs w:val="17"/>
          <w:color w:val="003551"/>
        </w:rPr>
        <w:t>, that meeting must be convened and conducted, as if it were a general meeting of the company convened and conducted in accordance with this constitution and the Corporations Act with such modifications as the board determines are required in the circumstances.</w:t>
      </w:r>
    </w:p>
    <w:p>
      <w:pPr>
        <w:spacing w:after="0" w:line="63" w:lineRule="exact"/>
        <w:rPr>
          <w:rFonts w:ascii="Arial" w:cs="Arial" w:eastAsia="Arial" w:hAnsi="Arial"/>
          <w:sz w:val="17"/>
          <w:szCs w:val="17"/>
          <w:b w:val="1"/>
          <w:bCs w:val="1"/>
          <w:color w:val="003551"/>
        </w:rPr>
      </w:pPr>
    </w:p>
    <w:p>
      <w:pPr>
        <w:ind w:left="1640" w:hanging="703"/>
        <w:spacing w:after="0"/>
        <w:tabs>
          <w:tab w:leader="none" w:pos="1640" w:val="left"/>
        </w:tabs>
        <w:numPr>
          <w:ilvl w:val="0"/>
          <w:numId w:val="213"/>
        </w:numPr>
        <w:rPr>
          <w:rFonts w:ascii="Arial" w:cs="Arial" w:eastAsia="Arial" w:hAnsi="Arial"/>
          <w:sz w:val="17"/>
          <w:szCs w:val="17"/>
          <w:b w:val="1"/>
          <w:bCs w:val="1"/>
          <w:color w:val="003551"/>
        </w:rPr>
      </w:pPr>
      <w:r>
        <w:rPr>
          <w:rFonts w:ascii="Arial" w:cs="Arial" w:eastAsia="Arial" w:hAnsi="Arial"/>
          <w:sz w:val="17"/>
          <w:szCs w:val="17"/>
          <w:b w:val="1"/>
          <w:bCs w:val="1"/>
          <w:color w:val="003551"/>
        </w:rPr>
        <w:t>Procedure for ballot</w:t>
      </w:r>
    </w:p>
    <w:p>
      <w:pPr>
        <w:spacing w:after="0" w:line="107" w:lineRule="exact"/>
        <w:rPr>
          <w:rFonts w:ascii="Arial" w:cs="Arial" w:eastAsia="Arial" w:hAnsi="Arial"/>
          <w:sz w:val="17"/>
          <w:szCs w:val="17"/>
          <w:b w:val="1"/>
          <w:bCs w:val="1"/>
          <w:color w:val="003551"/>
        </w:rPr>
      </w:pPr>
    </w:p>
    <w:p>
      <w:pPr>
        <w:ind w:left="1640" w:right="379"/>
        <w:spacing w:after="0" w:line="283" w:lineRule="auto"/>
        <w:rPr>
          <w:rFonts w:ascii="Arial" w:cs="Arial" w:eastAsia="Arial" w:hAnsi="Arial"/>
          <w:sz w:val="17"/>
          <w:szCs w:val="17"/>
          <w:b w:val="1"/>
          <w:bCs w:val="1"/>
          <w:color w:val="003551"/>
        </w:rPr>
      </w:pPr>
      <w:r>
        <w:rPr>
          <w:rFonts w:ascii="Arial" w:cs="Arial" w:eastAsia="Arial" w:hAnsi="Arial"/>
          <w:sz w:val="17"/>
          <w:szCs w:val="17"/>
          <w:color w:val="003551"/>
        </w:rPr>
        <w:t xml:space="preserve">If the board determines under </w:t>
      </w:r>
      <w:r>
        <w:rPr>
          <w:rFonts w:ascii="Arial" w:cs="Arial" w:eastAsia="Arial" w:hAnsi="Arial"/>
          <w:sz w:val="17"/>
          <w:szCs w:val="17"/>
          <w:u w:val="single" w:color="auto"/>
          <w:color w:val="003551"/>
        </w:rPr>
        <w:t>paragraph 2(a)</w:t>
      </w:r>
      <w:r>
        <w:rPr>
          <w:rFonts w:ascii="Arial" w:cs="Arial" w:eastAsia="Arial" w:hAnsi="Arial"/>
          <w:sz w:val="17"/>
          <w:szCs w:val="17"/>
          <w:color w:val="003551"/>
        </w:rPr>
        <w:t xml:space="preserve"> to conduct a postal ballot of persons entitled to vote on the approving resolution, then:</w:t>
      </w:r>
    </w:p>
    <w:p>
      <w:pPr>
        <w:spacing w:after="0" w:line="36" w:lineRule="exact"/>
        <w:rPr>
          <w:rFonts w:ascii="Arial" w:cs="Arial" w:eastAsia="Arial" w:hAnsi="Arial"/>
          <w:sz w:val="17"/>
          <w:szCs w:val="17"/>
          <w:b w:val="1"/>
          <w:bCs w:val="1"/>
          <w:color w:val="003551"/>
        </w:rPr>
      </w:pPr>
    </w:p>
    <w:p>
      <w:pPr>
        <w:ind w:left="2320" w:right="539" w:hanging="335"/>
        <w:spacing w:after="0" w:line="255" w:lineRule="auto"/>
        <w:tabs>
          <w:tab w:leader="none" w:pos="2320" w:val="left"/>
        </w:tabs>
        <w:numPr>
          <w:ilvl w:val="1"/>
          <w:numId w:val="213"/>
        </w:numPr>
        <w:rPr>
          <w:rFonts w:ascii="Arial" w:cs="Arial" w:eastAsia="Arial" w:hAnsi="Arial"/>
          <w:sz w:val="17"/>
          <w:szCs w:val="17"/>
          <w:color w:val="003551"/>
        </w:rPr>
      </w:pPr>
      <w:r>
        <w:rPr>
          <w:rFonts w:ascii="Arial" w:cs="Arial" w:eastAsia="Arial" w:hAnsi="Arial"/>
          <w:sz w:val="17"/>
          <w:szCs w:val="17"/>
          <w:color w:val="003551"/>
        </w:rPr>
        <w:t>notice of the postal ballot and a personalised ballot paper specifying the name of the person entitled to vote must be sent to all persons entitled to vote on the resolution not less than 14 days before the date specified in the notice for closing of the postal ballot, or such lesser period as the board determines;</w:t>
      </w:r>
    </w:p>
    <w:p>
      <w:pPr>
        <w:spacing w:after="0" w:line="165"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119380</wp:posOffset>
            </wp:positionV>
            <wp:extent cx="6786880" cy="1651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6" w:right="1440"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320" w:right="639" w:hanging="335"/>
        <w:spacing w:after="0" w:line="255" w:lineRule="auto"/>
        <w:tabs>
          <w:tab w:leader="none" w:pos="2320" w:val="left"/>
        </w:tabs>
        <w:numPr>
          <w:ilvl w:val="1"/>
          <w:numId w:val="214"/>
        </w:numPr>
        <w:rPr>
          <w:rFonts w:ascii="Arial" w:cs="Arial" w:eastAsia="Arial" w:hAnsi="Arial"/>
          <w:sz w:val="17"/>
          <w:szCs w:val="17"/>
          <w:color w:val="003551"/>
        </w:rPr>
      </w:pPr>
      <w:r>
        <w:rPr>
          <w:rFonts w:ascii="Arial" w:cs="Arial" w:eastAsia="Arial" w:hAnsi="Arial"/>
          <w:sz w:val="17"/>
          <w:szCs w:val="17"/>
          <w:color w:val="003551"/>
        </w:rPr>
        <w:t>the notice must contain the text of the approving resolution and specify the date for closing of the ballot, may specify circumstances in which and the process by which a postal ballot may be revoked and may contain such other information as the directors think fit;</w:t>
      </w:r>
    </w:p>
    <w:p>
      <w:pPr>
        <w:spacing w:after="0" w:line="59" w:lineRule="exact"/>
        <w:rPr>
          <w:rFonts w:ascii="Arial" w:cs="Arial" w:eastAsia="Arial" w:hAnsi="Arial"/>
          <w:sz w:val="17"/>
          <w:szCs w:val="17"/>
          <w:color w:val="003551"/>
        </w:rPr>
      </w:pPr>
    </w:p>
    <w:p>
      <w:pPr>
        <w:ind w:left="2320" w:hanging="335"/>
        <w:spacing w:after="0"/>
        <w:tabs>
          <w:tab w:leader="none" w:pos="2320" w:val="left"/>
        </w:tabs>
        <w:numPr>
          <w:ilvl w:val="1"/>
          <w:numId w:val="214"/>
        </w:numPr>
        <w:rPr>
          <w:rFonts w:ascii="Arial" w:cs="Arial" w:eastAsia="Arial" w:hAnsi="Arial"/>
          <w:sz w:val="17"/>
          <w:szCs w:val="17"/>
          <w:color w:val="003551"/>
        </w:rPr>
      </w:pPr>
      <w:r>
        <w:rPr>
          <w:rFonts w:ascii="Arial" w:cs="Arial" w:eastAsia="Arial" w:hAnsi="Arial"/>
          <w:sz w:val="17"/>
          <w:szCs w:val="17"/>
          <w:color w:val="003551"/>
        </w:rPr>
        <w:t>a postal ballot is only valid if the ballot paper is duly completed and:</w:t>
      </w:r>
    </w:p>
    <w:p>
      <w:pPr>
        <w:spacing w:after="0" w:line="105" w:lineRule="exact"/>
        <w:rPr>
          <w:rFonts w:ascii="Arial" w:cs="Arial" w:eastAsia="Arial" w:hAnsi="Arial"/>
          <w:sz w:val="17"/>
          <w:szCs w:val="17"/>
          <w:color w:val="003551"/>
        </w:rPr>
      </w:pPr>
    </w:p>
    <w:p>
      <w:pPr>
        <w:ind w:left="2680" w:right="899" w:hanging="346"/>
        <w:spacing w:after="0" w:line="283" w:lineRule="auto"/>
        <w:tabs>
          <w:tab w:leader="none" w:pos="2680" w:val="left"/>
        </w:tabs>
        <w:numPr>
          <w:ilvl w:val="2"/>
          <w:numId w:val="214"/>
        </w:numPr>
        <w:rPr>
          <w:rFonts w:ascii="Arial" w:cs="Arial" w:eastAsia="Arial" w:hAnsi="Arial"/>
          <w:sz w:val="17"/>
          <w:szCs w:val="17"/>
          <w:color w:val="003551"/>
        </w:rPr>
      </w:pPr>
      <w:r>
        <w:rPr>
          <w:rFonts w:ascii="Arial" w:cs="Arial" w:eastAsia="Arial" w:hAnsi="Arial"/>
          <w:sz w:val="17"/>
          <w:szCs w:val="17"/>
          <w:color w:val="003551"/>
        </w:rPr>
        <w:t>if the person entitled to vote is an individual, signed by the individual or a duly authorised attorney; or</w:t>
      </w:r>
    </w:p>
    <w:p>
      <w:pPr>
        <w:spacing w:after="0" w:line="36" w:lineRule="exact"/>
        <w:rPr>
          <w:rFonts w:ascii="Arial" w:cs="Arial" w:eastAsia="Arial" w:hAnsi="Arial"/>
          <w:sz w:val="17"/>
          <w:szCs w:val="17"/>
          <w:color w:val="003551"/>
        </w:rPr>
      </w:pPr>
    </w:p>
    <w:p>
      <w:pPr>
        <w:jc w:val="both"/>
        <w:ind w:left="2680" w:right="539" w:hanging="346"/>
        <w:spacing w:after="0" w:line="283" w:lineRule="auto"/>
        <w:tabs>
          <w:tab w:leader="none" w:pos="2680" w:val="left"/>
        </w:tabs>
        <w:numPr>
          <w:ilvl w:val="2"/>
          <w:numId w:val="214"/>
        </w:numPr>
        <w:rPr>
          <w:rFonts w:ascii="Arial" w:cs="Arial" w:eastAsia="Arial" w:hAnsi="Arial"/>
          <w:sz w:val="17"/>
          <w:szCs w:val="17"/>
          <w:color w:val="003551"/>
        </w:rPr>
      </w:pPr>
      <w:r>
        <w:rPr>
          <w:rFonts w:ascii="Arial" w:cs="Arial" w:eastAsia="Arial" w:hAnsi="Arial"/>
          <w:sz w:val="17"/>
          <w:szCs w:val="17"/>
          <w:color w:val="003551"/>
        </w:rPr>
        <w:t>if the person entitled to vote is a corporation, executed under seal or as permitted by the Corporations Act or by a duly authorised officer or duly authorised attorney;</w:t>
      </w:r>
    </w:p>
    <w:p>
      <w:pPr>
        <w:spacing w:after="0" w:line="36" w:lineRule="exact"/>
        <w:rPr>
          <w:rFonts w:ascii="Arial" w:cs="Arial" w:eastAsia="Arial" w:hAnsi="Arial"/>
          <w:sz w:val="17"/>
          <w:szCs w:val="17"/>
          <w:color w:val="003551"/>
        </w:rPr>
      </w:pPr>
    </w:p>
    <w:p>
      <w:pPr>
        <w:ind w:left="2320" w:right="539" w:hanging="335"/>
        <w:spacing w:after="0" w:line="249" w:lineRule="auto"/>
        <w:tabs>
          <w:tab w:leader="none" w:pos="2320" w:val="left"/>
        </w:tabs>
        <w:numPr>
          <w:ilvl w:val="1"/>
          <w:numId w:val="214"/>
        </w:numPr>
        <w:rPr>
          <w:rFonts w:ascii="Arial" w:cs="Arial" w:eastAsia="Arial" w:hAnsi="Arial"/>
          <w:sz w:val="17"/>
          <w:szCs w:val="17"/>
          <w:color w:val="003551"/>
        </w:rPr>
      </w:pPr>
      <w:r>
        <w:rPr>
          <w:rFonts w:ascii="Arial" w:cs="Arial" w:eastAsia="Arial" w:hAnsi="Arial"/>
          <w:sz w:val="17"/>
          <w:szCs w:val="17"/>
          <w:color w:val="003551"/>
        </w:rPr>
        <w:t>a postal ballot is only valid if the ballot paper and the power of attorney or other authority, if any, under which the ballot paper is signed or a certified copy of that power or authority is or are received by the company before close of business on the date specified in the notice of postal ballot for closing of the postal ballot at the company’s registered office or at such other place as is specified for that purpose in the notice of postal ballot; and</w:t>
      </w:r>
    </w:p>
    <w:p>
      <w:pPr>
        <w:spacing w:after="0" w:line="66" w:lineRule="exact"/>
        <w:rPr>
          <w:rFonts w:ascii="Arial" w:cs="Arial" w:eastAsia="Arial" w:hAnsi="Arial"/>
          <w:sz w:val="17"/>
          <w:szCs w:val="17"/>
          <w:color w:val="003551"/>
        </w:rPr>
      </w:pPr>
    </w:p>
    <w:p>
      <w:pPr>
        <w:ind w:left="2320" w:right="439" w:hanging="335"/>
        <w:spacing w:after="0" w:line="262" w:lineRule="auto"/>
        <w:tabs>
          <w:tab w:leader="none" w:pos="2320" w:val="left"/>
        </w:tabs>
        <w:numPr>
          <w:ilvl w:val="1"/>
          <w:numId w:val="214"/>
        </w:numPr>
        <w:rPr>
          <w:rFonts w:ascii="Arial" w:cs="Arial" w:eastAsia="Arial" w:hAnsi="Arial"/>
          <w:sz w:val="17"/>
          <w:szCs w:val="17"/>
          <w:color w:val="003551"/>
        </w:rPr>
      </w:pPr>
      <w:r>
        <w:rPr>
          <w:rFonts w:ascii="Arial" w:cs="Arial" w:eastAsia="Arial" w:hAnsi="Arial"/>
          <w:sz w:val="17"/>
          <w:szCs w:val="17"/>
          <w:color w:val="003551"/>
        </w:rPr>
        <w:t>the non-receipt of a notice of postal ballot or ballot paper by, or the accidental omission to give a notice of postal ballot or ballot paper to, a person entitled to receive them does not invalidate the postal ballot or any resolution passed under the postal ballot.</w:t>
      </w:r>
    </w:p>
    <w:p>
      <w:pPr>
        <w:spacing w:after="0" w:line="52" w:lineRule="exact"/>
        <w:rPr>
          <w:rFonts w:ascii="Arial" w:cs="Arial" w:eastAsia="Arial" w:hAnsi="Arial"/>
          <w:sz w:val="17"/>
          <w:szCs w:val="17"/>
          <w:color w:val="003551"/>
        </w:rPr>
      </w:pPr>
    </w:p>
    <w:p>
      <w:pPr>
        <w:ind w:left="1640" w:hanging="703"/>
        <w:spacing w:after="0"/>
        <w:tabs>
          <w:tab w:leader="none" w:pos="1640" w:val="left"/>
        </w:tabs>
        <w:numPr>
          <w:ilvl w:val="0"/>
          <w:numId w:val="215"/>
        </w:numPr>
        <w:rPr>
          <w:rFonts w:ascii="Arial" w:cs="Arial" w:eastAsia="Arial" w:hAnsi="Arial"/>
          <w:sz w:val="17"/>
          <w:szCs w:val="17"/>
          <w:b w:val="1"/>
          <w:bCs w:val="1"/>
          <w:color w:val="003551"/>
        </w:rPr>
      </w:pPr>
      <w:r>
        <w:rPr>
          <w:rFonts w:ascii="Arial" w:cs="Arial" w:eastAsia="Arial" w:hAnsi="Arial"/>
          <w:sz w:val="17"/>
          <w:szCs w:val="17"/>
          <w:b w:val="1"/>
          <w:bCs w:val="1"/>
          <w:color w:val="003551"/>
        </w:rPr>
        <w:t>When approving resolution passed or rejected</w:t>
      </w:r>
    </w:p>
    <w:p>
      <w:pPr>
        <w:spacing w:after="0" w:line="107" w:lineRule="exact"/>
        <w:rPr>
          <w:rFonts w:ascii="Arial" w:cs="Arial" w:eastAsia="Arial" w:hAnsi="Arial"/>
          <w:sz w:val="17"/>
          <w:szCs w:val="17"/>
          <w:b w:val="1"/>
          <w:bCs w:val="1"/>
          <w:color w:val="003551"/>
        </w:rPr>
      </w:pPr>
    </w:p>
    <w:p>
      <w:pPr>
        <w:ind w:left="1640" w:right="399"/>
        <w:spacing w:after="0" w:line="251" w:lineRule="auto"/>
        <w:rPr>
          <w:rFonts w:ascii="Arial" w:cs="Arial" w:eastAsia="Arial" w:hAnsi="Arial"/>
          <w:sz w:val="17"/>
          <w:szCs w:val="17"/>
          <w:b w:val="1"/>
          <w:bCs w:val="1"/>
          <w:color w:val="003551"/>
        </w:rPr>
      </w:pPr>
      <w:r>
        <w:rPr>
          <w:rFonts w:ascii="Arial" w:cs="Arial" w:eastAsia="Arial" w:hAnsi="Arial"/>
          <w:sz w:val="17"/>
          <w:szCs w:val="17"/>
          <w:color w:val="003551"/>
        </w:rPr>
        <w:t xml:space="preserve">If an approving resolution is voted on in accordance with this </w:t>
      </w:r>
      <w:r>
        <w:rPr>
          <w:rFonts w:ascii="Arial" w:cs="Arial" w:eastAsia="Arial" w:hAnsi="Arial"/>
          <w:sz w:val="17"/>
          <w:szCs w:val="17"/>
          <w:u w:val="single" w:color="auto"/>
          <w:color w:val="003551"/>
        </w:rPr>
        <w:t>Schedule 6</w:t>
      </w:r>
      <w:r>
        <w:rPr>
          <w:rFonts w:ascii="Arial" w:cs="Arial" w:eastAsia="Arial" w:hAnsi="Arial"/>
          <w:sz w:val="17"/>
          <w:szCs w:val="17"/>
          <w:color w:val="003551"/>
        </w:rPr>
        <w:t xml:space="preserve"> then it is to be taken to have been passed if more than 50% of the votes cast on it are in favour of it and otherwise is taken to have been rejected. If an approving resolution has not been voted on in accordance with this </w:t>
      </w:r>
      <w:r>
        <w:rPr>
          <w:rFonts w:ascii="Arial" w:cs="Arial" w:eastAsia="Arial" w:hAnsi="Arial"/>
          <w:sz w:val="17"/>
          <w:szCs w:val="17"/>
          <w:u w:val="single" w:color="auto"/>
          <w:color w:val="003551"/>
        </w:rPr>
        <w:t>Schedule 6</w:t>
      </w:r>
      <w:r>
        <w:rPr>
          <w:rFonts w:ascii="Arial" w:cs="Arial" w:eastAsia="Arial" w:hAnsi="Arial"/>
          <w:sz w:val="17"/>
          <w:szCs w:val="17"/>
          <w:color w:val="003551"/>
        </w:rPr>
        <w:t xml:space="preserve"> by the end of the day that is 15 days before the last day of the bid period, then an approving resolution is taken to have been passed.</w:t>
      </w:r>
    </w:p>
    <w:p>
      <w:pPr>
        <w:spacing w:after="0" w:line="63" w:lineRule="exact"/>
        <w:rPr>
          <w:rFonts w:ascii="Arial" w:cs="Arial" w:eastAsia="Arial" w:hAnsi="Arial"/>
          <w:sz w:val="17"/>
          <w:szCs w:val="17"/>
          <w:b w:val="1"/>
          <w:bCs w:val="1"/>
          <w:color w:val="003551"/>
        </w:rPr>
      </w:pPr>
    </w:p>
    <w:p>
      <w:pPr>
        <w:ind w:left="1640" w:right="3419" w:hanging="703"/>
        <w:spacing w:after="0" w:line="387" w:lineRule="auto"/>
        <w:tabs>
          <w:tab w:leader="none" w:pos="1636" w:val="left"/>
        </w:tabs>
        <w:numPr>
          <w:ilvl w:val="0"/>
          <w:numId w:val="215"/>
        </w:numPr>
        <w:rPr>
          <w:rFonts w:ascii="Arial" w:cs="Arial" w:eastAsia="Arial" w:hAnsi="Arial"/>
          <w:sz w:val="17"/>
          <w:szCs w:val="17"/>
          <w:b w:val="1"/>
          <w:bCs w:val="1"/>
          <w:color w:val="003551"/>
        </w:rPr>
      </w:pPr>
      <w:r>
        <w:rPr>
          <w:rFonts w:ascii="Arial" w:cs="Arial" w:eastAsia="Arial" w:hAnsi="Arial"/>
          <w:sz w:val="17"/>
          <w:szCs w:val="17"/>
          <w:b w:val="1"/>
          <w:bCs w:val="1"/>
          <w:color w:val="003551"/>
        </w:rPr>
        <w:t xml:space="preserve">When proportional takeover rules cease to have effect </w:t>
      </w:r>
      <w:r>
        <w:rPr>
          <w:rFonts w:ascii="Arial" w:cs="Arial" w:eastAsia="Arial" w:hAnsi="Arial"/>
          <w:sz w:val="17"/>
          <w:szCs w:val="17"/>
          <w:color w:val="003551"/>
        </w:rPr>
        <w:t xml:space="preserve">The provisions of this </w:t>
      </w:r>
      <w:r>
        <w:rPr>
          <w:rFonts w:ascii="Arial" w:cs="Arial" w:eastAsia="Arial" w:hAnsi="Arial"/>
          <w:sz w:val="17"/>
          <w:szCs w:val="17"/>
          <w:u w:val="single" w:color="auto"/>
          <w:color w:val="003551"/>
        </w:rPr>
        <w:t>Schedule 6</w:t>
      </w:r>
      <w:r>
        <w:rPr>
          <w:rFonts w:ascii="Arial" w:cs="Arial" w:eastAsia="Arial" w:hAnsi="Arial"/>
          <w:sz w:val="17"/>
          <w:szCs w:val="17"/>
          <w:color w:val="003551"/>
        </w:rPr>
        <w:t xml:space="preserve"> cease to have effect if:</w:t>
      </w:r>
    </w:p>
    <w:p>
      <w:pPr>
        <w:ind w:left="2320" w:right="579" w:hanging="335"/>
        <w:spacing w:after="0" w:line="262" w:lineRule="auto"/>
        <w:tabs>
          <w:tab w:leader="none" w:pos="2320" w:val="left"/>
        </w:tabs>
        <w:numPr>
          <w:ilvl w:val="1"/>
          <w:numId w:val="215"/>
        </w:numPr>
        <w:rPr>
          <w:rFonts w:ascii="Arial" w:cs="Arial" w:eastAsia="Arial" w:hAnsi="Arial"/>
          <w:sz w:val="17"/>
          <w:szCs w:val="17"/>
          <w:color w:val="003551"/>
        </w:rPr>
      </w:pPr>
      <w:r>
        <w:rPr>
          <w:rFonts w:ascii="Arial" w:cs="Arial" w:eastAsia="Arial" w:hAnsi="Arial"/>
          <w:sz w:val="17"/>
          <w:szCs w:val="17"/>
          <w:color w:val="003551"/>
        </w:rPr>
        <w:t xml:space="preserve">the provisions in this </w:t>
      </w:r>
      <w:r>
        <w:rPr>
          <w:rFonts w:ascii="Arial" w:cs="Arial" w:eastAsia="Arial" w:hAnsi="Arial"/>
          <w:sz w:val="17"/>
          <w:szCs w:val="17"/>
          <w:u w:val="single" w:color="auto"/>
          <w:color w:val="003551"/>
        </w:rPr>
        <w:t>Schedule 6</w:t>
      </w:r>
      <w:r>
        <w:rPr>
          <w:rFonts w:ascii="Arial" w:cs="Arial" w:eastAsia="Arial" w:hAnsi="Arial"/>
          <w:sz w:val="17"/>
          <w:szCs w:val="17"/>
          <w:color w:val="003551"/>
        </w:rPr>
        <w:t xml:space="preserve"> have not been renewed in accordance with the Corporations Act, on the day which is 3 years after the date on which those provisions were adopted by the company; and</w:t>
      </w:r>
    </w:p>
    <w:p>
      <w:pPr>
        <w:spacing w:after="0" w:line="54" w:lineRule="exact"/>
        <w:rPr>
          <w:rFonts w:ascii="Arial" w:cs="Arial" w:eastAsia="Arial" w:hAnsi="Arial"/>
          <w:sz w:val="17"/>
          <w:szCs w:val="17"/>
          <w:color w:val="003551"/>
        </w:rPr>
      </w:pPr>
    </w:p>
    <w:p>
      <w:pPr>
        <w:ind w:left="2320" w:right="519" w:hanging="335"/>
        <w:spacing w:after="0" w:line="283" w:lineRule="auto"/>
        <w:tabs>
          <w:tab w:leader="none" w:pos="2320" w:val="left"/>
        </w:tabs>
        <w:numPr>
          <w:ilvl w:val="1"/>
          <w:numId w:val="215"/>
        </w:numPr>
        <w:rPr>
          <w:rFonts w:ascii="Arial" w:cs="Arial" w:eastAsia="Arial" w:hAnsi="Arial"/>
          <w:sz w:val="17"/>
          <w:szCs w:val="17"/>
          <w:color w:val="003551"/>
        </w:rPr>
      </w:pPr>
      <w:r>
        <w:rPr>
          <w:rFonts w:ascii="Arial" w:cs="Arial" w:eastAsia="Arial" w:hAnsi="Arial"/>
          <w:sz w:val="17"/>
          <w:szCs w:val="17"/>
          <w:color w:val="003551"/>
        </w:rPr>
        <w:t>if those provisions have been renewed in accordance with the Corporations Act, on the day which is 3 years after the date on which those rules were last renewed.</w:t>
      </w:r>
    </w:p>
    <w:p>
      <w:pPr>
        <w:spacing w:after="0" w:line="142"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127635</wp:posOffset>
            </wp:positionV>
            <wp:extent cx="6786880" cy="1651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6" w:right="1440"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940"/>
        <w:spacing w:after="0"/>
        <w:rPr>
          <w:sz w:val="20"/>
          <w:szCs w:val="20"/>
          <w:color w:val="auto"/>
        </w:rPr>
      </w:pPr>
      <w:r>
        <w:rPr>
          <w:rFonts w:ascii="Arial" w:cs="Arial" w:eastAsia="Arial" w:hAnsi="Arial"/>
          <w:sz w:val="35"/>
          <w:szCs w:val="35"/>
          <w:color w:val="77C483"/>
        </w:rPr>
        <w:t>Appendix C: Omnibus Incentive Plan</w:t>
      </w:r>
    </w:p>
    <w:p>
      <w:pPr>
        <w:spacing w:after="0" w:line="252" w:lineRule="exact"/>
        <w:rPr>
          <w:sz w:val="20"/>
          <w:szCs w:val="20"/>
          <w:color w:val="auto"/>
        </w:rPr>
      </w:pPr>
    </w:p>
    <w:p>
      <w:pPr>
        <w:ind w:left="940"/>
        <w:spacing w:after="0"/>
        <w:rPr>
          <w:sz w:val="20"/>
          <w:szCs w:val="20"/>
          <w:color w:val="auto"/>
        </w:rPr>
      </w:pPr>
      <w:r>
        <w:rPr>
          <w:rFonts w:ascii="Arial" w:cs="Arial" w:eastAsia="Arial" w:hAnsi="Arial"/>
          <w:sz w:val="35"/>
          <w:szCs w:val="35"/>
          <w:color w:val="77C483"/>
        </w:rPr>
        <w:t>IREN Limited</w:t>
      </w:r>
    </w:p>
    <w:p>
      <w:pPr>
        <w:spacing w:after="0" w:line="252" w:lineRule="exact"/>
        <w:rPr>
          <w:sz w:val="20"/>
          <w:szCs w:val="20"/>
          <w:color w:val="auto"/>
        </w:rPr>
      </w:pPr>
    </w:p>
    <w:p>
      <w:pPr>
        <w:ind w:left="940"/>
        <w:spacing w:after="0"/>
        <w:rPr>
          <w:sz w:val="20"/>
          <w:szCs w:val="20"/>
          <w:color w:val="auto"/>
        </w:rPr>
      </w:pPr>
      <w:r>
        <w:rPr>
          <w:rFonts w:ascii="Arial" w:cs="Arial" w:eastAsia="Arial" w:hAnsi="Arial"/>
          <w:sz w:val="35"/>
          <w:szCs w:val="35"/>
          <w:color w:val="77C483"/>
        </w:rPr>
        <w:t>2025 Omnibus Incentive Plan</w:t>
      </w:r>
    </w:p>
    <w:p>
      <w:pPr>
        <w:spacing w:after="0" w:line="38" w:lineRule="exact"/>
        <w:rPr>
          <w:sz w:val="20"/>
          <w:szCs w:val="20"/>
          <w:color w:val="auto"/>
        </w:rPr>
      </w:pPr>
    </w:p>
    <w:p>
      <w:pPr>
        <w:ind w:left="940" w:right="479"/>
        <w:spacing w:after="0" w:line="249" w:lineRule="auto"/>
        <w:rPr>
          <w:sz w:val="20"/>
          <w:szCs w:val="20"/>
          <w:color w:val="auto"/>
        </w:rPr>
      </w:pPr>
      <w:r>
        <w:rPr>
          <w:rFonts w:ascii="Arial" w:cs="Arial" w:eastAsia="Arial" w:hAnsi="Arial"/>
          <w:sz w:val="17"/>
          <w:szCs w:val="17"/>
          <w:b w:val="1"/>
          <w:bCs w:val="1"/>
          <w:color w:val="003551"/>
        </w:rPr>
        <w:t>Section 1.  Purpose</w:t>
      </w:r>
      <w:r>
        <w:rPr>
          <w:rFonts w:ascii="Arial" w:cs="Arial" w:eastAsia="Arial" w:hAnsi="Arial"/>
          <w:sz w:val="17"/>
          <w:szCs w:val="17"/>
          <w:color w:val="003551"/>
        </w:rPr>
        <w:t>. The purpose of the IREN Limited 2025 Omnibus Incentive Plan (as amended from</w:t>
      </w:r>
      <w:r>
        <w:rPr>
          <w:rFonts w:ascii="Arial" w:cs="Arial" w:eastAsia="Arial" w:hAnsi="Arial"/>
          <w:sz w:val="17"/>
          <w:szCs w:val="17"/>
          <w:b w:val="1"/>
          <w:bCs w:val="1"/>
          <w:color w:val="003551"/>
        </w:rPr>
        <w:t xml:space="preserve"> </w:t>
      </w:r>
      <w:r>
        <w:rPr>
          <w:rFonts w:ascii="Arial" w:cs="Arial" w:eastAsia="Arial" w:hAnsi="Arial"/>
          <w:sz w:val="17"/>
          <w:szCs w:val="17"/>
          <w:color w:val="003551"/>
        </w:rPr>
        <w:t>time to time, the “</w:t>
      </w:r>
      <w:r>
        <w:rPr>
          <w:rFonts w:ascii="Arial" w:cs="Arial" w:eastAsia="Arial" w:hAnsi="Arial"/>
          <w:sz w:val="17"/>
          <w:szCs w:val="17"/>
          <w:b w:val="1"/>
          <w:bCs w:val="1"/>
          <w:color w:val="003551"/>
        </w:rPr>
        <w:t>Plan</w:t>
      </w:r>
      <w:r>
        <w:rPr>
          <w:rFonts w:ascii="Arial" w:cs="Arial" w:eastAsia="Arial" w:hAnsi="Arial"/>
          <w:sz w:val="17"/>
          <w:szCs w:val="17"/>
          <w:color w:val="003551"/>
        </w:rPr>
        <w:t>”) is (i) to motivate and reward the performance of employees and other individuals for generating shareholder value over the long term, (ii) to encourage participation by employees and other service providers in the growth and success of IREN Limited (the “</w:t>
      </w:r>
      <w:r>
        <w:rPr>
          <w:rFonts w:ascii="Arial" w:cs="Arial" w:eastAsia="Arial" w:hAnsi="Arial"/>
          <w:sz w:val="17"/>
          <w:szCs w:val="17"/>
          <w:b w:val="1"/>
          <w:bCs w:val="1"/>
          <w:color w:val="003551"/>
        </w:rPr>
        <w:t>Company</w:t>
      </w:r>
      <w:r>
        <w:rPr>
          <w:rFonts w:ascii="Arial" w:cs="Arial" w:eastAsia="Arial" w:hAnsi="Arial"/>
          <w:sz w:val="17"/>
          <w:szCs w:val="17"/>
          <w:color w:val="003551"/>
        </w:rPr>
        <w:t>”) and its Subsidiaries (together, the “</w:t>
      </w:r>
      <w:r>
        <w:rPr>
          <w:rFonts w:ascii="Arial" w:cs="Arial" w:eastAsia="Arial" w:hAnsi="Arial"/>
          <w:sz w:val="17"/>
          <w:szCs w:val="17"/>
          <w:b w:val="1"/>
          <w:bCs w:val="1"/>
          <w:color w:val="003551"/>
        </w:rPr>
        <w:t>Group</w:t>
      </w:r>
      <w:r>
        <w:rPr>
          <w:rFonts w:ascii="Arial" w:cs="Arial" w:eastAsia="Arial" w:hAnsi="Arial"/>
          <w:sz w:val="17"/>
          <w:szCs w:val="17"/>
          <w:color w:val="003551"/>
        </w:rPr>
        <w:t>”) and (iii) to retain key talent, thereby furthering the best interests of shareholders.</w:t>
      </w:r>
    </w:p>
    <w:p>
      <w:pPr>
        <w:spacing w:after="0" w:line="94" w:lineRule="exact"/>
        <w:rPr>
          <w:sz w:val="20"/>
          <w:szCs w:val="20"/>
          <w:color w:val="auto"/>
        </w:rPr>
      </w:pPr>
    </w:p>
    <w:p>
      <w:pPr>
        <w:ind w:left="940" w:right="899"/>
        <w:spacing w:after="0" w:line="286" w:lineRule="auto"/>
        <w:rPr>
          <w:sz w:val="20"/>
          <w:szCs w:val="20"/>
          <w:color w:val="auto"/>
        </w:rPr>
      </w:pPr>
      <w:r>
        <w:rPr>
          <w:rFonts w:ascii="Arial" w:cs="Arial" w:eastAsia="Arial" w:hAnsi="Arial"/>
          <w:sz w:val="17"/>
          <w:szCs w:val="17"/>
          <w:b w:val="1"/>
          <w:bCs w:val="1"/>
          <w:color w:val="003551"/>
        </w:rPr>
        <w:t>Section 2.  Definitions</w:t>
      </w:r>
      <w:r>
        <w:rPr>
          <w:rFonts w:ascii="Arial" w:cs="Arial" w:eastAsia="Arial" w:hAnsi="Arial"/>
          <w:sz w:val="17"/>
          <w:szCs w:val="17"/>
          <w:color w:val="003551"/>
        </w:rPr>
        <w:t>. As used in this Plan, the following terms shall have the meanings set forth</w:t>
      </w:r>
      <w:r>
        <w:rPr>
          <w:rFonts w:ascii="Arial" w:cs="Arial" w:eastAsia="Arial" w:hAnsi="Arial"/>
          <w:sz w:val="17"/>
          <w:szCs w:val="17"/>
          <w:b w:val="1"/>
          <w:bCs w:val="1"/>
          <w:color w:val="003551"/>
        </w:rPr>
        <w:t xml:space="preserve"> </w:t>
      </w:r>
      <w:r>
        <w:rPr>
          <w:rFonts w:ascii="Arial" w:cs="Arial" w:eastAsia="Arial" w:hAnsi="Arial"/>
          <w:sz w:val="17"/>
          <w:szCs w:val="17"/>
          <w:color w:val="003551"/>
        </w:rPr>
        <w:t>below:</w:t>
      </w:r>
    </w:p>
    <w:p>
      <w:pPr>
        <w:spacing w:after="0" w:line="32" w:lineRule="exact"/>
        <w:rPr>
          <w:sz w:val="20"/>
          <w:szCs w:val="20"/>
          <w:color w:val="auto"/>
        </w:rPr>
      </w:pPr>
    </w:p>
    <w:p>
      <w:pPr>
        <w:ind w:left="1280" w:right="439"/>
        <w:spacing w:after="0" w:line="250" w:lineRule="auto"/>
        <w:rPr>
          <w:sz w:val="20"/>
          <w:szCs w:val="20"/>
          <w:color w:val="auto"/>
        </w:rPr>
      </w:pPr>
      <w:r>
        <w:rPr>
          <w:rFonts w:ascii="Arial" w:cs="Arial" w:eastAsia="Arial" w:hAnsi="Arial"/>
          <w:sz w:val="17"/>
          <w:szCs w:val="17"/>
          <w:color w:val="003551"/>
        </w:rPr>
        <w:t>(a)  “</w:t>
      </w:r>
      <w:r>
        <w:rPr>
          <w:rFonts w:ascii="Arial" w:cs="Arial" w:eastAsia="Arial" w:hAnsi="Arial"/>
          <w:sz w:val="17"/>
          <w:szCs w:val="17"/>
          <w:b w:val="1"/>
          <w:bCs w:val="1"/>
          <w:color w:val="003551"/>
        </w:rPr>
        <w:t>Affiliate</w:t>
      </w:r>
      <w:r>
        <w:rPr>
          <w:rFonts w:ascii="Arial" w:cs="Arial" w:eastAsia="Arial" w:hAnsi="Arial"/>
          <w:sz w:val="17"/>
          <w:szCs w:val="17"/>
          <w:color w:val="003551"/>
        </w:rPr>
        <w:t>” means any entity that, directly or indirectly through one or more intermediaries controls, is controlled by or is under common control with, the Company; where “control” means that the controlling party directly or indirectly has the beneficial ownership of more than fifty percent (50%) of the stock or other equity interests entitled to vote for the election of directors or an equivalent governing body, or otherwise has the power to direct or cause the direction of the general management of the controlled entity. An entity is an Affiliate only so long as such control exists.</w:t>
      </w:r>
    </w:p>
    <w:p>
      <w:pPr>
        <w:spacing w:after="0" w:line="62" w:lineRule="exact"/>
        <w:rPr>
          <w:sz w:val="20"/>
          <w:szCs w:val="20"/>
          <w:color w:val="auto"/>
        </w:rPr>
      </w:pPr>
    </w:p>
    <w:p>
      <w:pPr>
        <w:ind w:left="1280" w:right="779"/>
        <w:spacing w:after="0" w:line="286" w:lineRule="auto"/>
        <w:rPr>
          <w:sz w:val="20"/>
          <w:szCs w:val="20"/>
          <w:color w:val="auto"/>
        </w:rPr>
      </w:pPr>
      <w:r>
        <w:rPr>
          <w:rFonts w:ascii="Arial" w:cs="Arial" w:eastAsia="Arial" w:hAnsi="Arial"/>
          <w:sz w:val="17"/>
          <w:szCs w:val="17"/>
          <w:color w:val="003551"/>
        </w:rPr>
        <w:t>(b)  “</w:t>
      </w:r>
      <w:r>
        <w:rPr>
          <w:rFonts w:ascii="Arial" w:cs="Arial" w:eastAsia="Arial" w:hAnsi="Arial"/>
          <w:sz w:val="17"/>
          <w:szCs w:val="17"/>
          <w:b w:val="1"/>
          <w:bCs w:val="1"/>
          <w:color w:val="003551"/>
        </w:rPr>
        <w:t>Award</w:t>
      </w:r>
      <w:r>
        <w:rPr>
          <w:rFonts w:ascii="Arial" w:cs="Arial" w:eastAsia="Arial" w:hAnsi="Arial"/>
          <w:sz w:val="17"/>
          <w:szCs w:val="17"/>
          <w:color w:val="003551"/>
        </w:rPr>
        <w:t>” means any Option, SAR, Restricted Stock, RSU, Performance Award, Other Cash-Based Award or Other Share-Based Award granted under this Plan.</w:t>
      </w:r>
    </w:p>
    <w:p>
      <w:pPr>
        <w:spacing w:after="0" w:line="32" w:lineRule="exact"/>
        <w:rPr>
          <w:sz w:val="20"/>
          <w:szCs w:val="20"/>
          <w:color w:val="auto"/>
        </w:rPr>
      </w:pPr>
    </w:p>
    <w:p>
      <w:pPr>
        <w:ind w:left="1280" w:right="439"/>
        <w:spacing w:after="0" w:line="263" w:lineRule="auto"/>
        <w:rPr>
          <w:sz w:val="20"/>
          <w:szCs w:val="20"/>
          <w:color w:val="auto"/>
        </w:rPr>
      </w:pPr>
      <w:r>
        <w:rPr>
          <w:rFonts w:ascii="Arial" w:cs="Arial" w:eastAsia="Arial" w:hAnsi="Arial"/>
          <w:sz w:val="17"/>
          <w:szCs w:val="17"/>
          <w:color w:val="003551"/>
        </w:rPr>
        <w:t>(c)  “</w:t>
      </w:r>
      <w:r>
        <w:rPr>
          <w:rFonts w:ascii="Arial" w:cs="Arial" w:eastAsia="Arial" w:hAnsi="Arial"/>
          <w:sz w:val="17"/>
          <w:szCs w:val="17"/>
          <w:b w:val="1"/>
          <w:bCs w:val="1"/>
          <w:color w:val="003551"/>
        </w:rPr>
        <w:t>Award Agreement</w:t>
      </w:r>
      <w:r>
        <w:rPr>
          <w:rFonts w:ascii="Arial" w:cs="Arial" w:eastAsia="Arial" w:hAnsi="Arial"/>
          <w:sz w:val="17"/>
          <w:szCs w:val="17"/>
          <w:color w:val="003551"/>
        </w:rPr>
        <w:t>” means any agreement, contract or other instrument or document (including in electronic form) evidencing any Award granted under this Plan, which may, but need not, be executed or acknowledged by a Participant.</w:t>
      </w:r>
    </w:p>
    <w:p>
      <w:pPr>
        <w:spacing w:after="0" w:line="52" w:lineRule="exact"/>
        <w:rPr>
          <w:sz w:val="20"/>
          <w:szCs w:val="20"/>
          <w:color w:val="auto"/>
        </w:rPr>
      </w:pPr>
    </w:p>
    <w:p>
      <w:pPr>
        <w:ind w:left="1280" w:right="579"/>
        <w:spacing w:after="0" w:line="286" w:lineRule="auto"/>
        <w:rPr>
          <w:sz w:val="20"/>
          <w:szCs w:val="20"/>
          <w:color w:val="auto"/>
        </w:rPr>
      </w:pPr>
      <w:r>
        <w:rPr>
          <w:rFonts w:ascii="Arial" w:cs="Arial" w:eastAsia="Arial" w:hAnsi="Arial"/>
          <w:sz w:val="17"/>
          <w:szCs w:val="17"/>
          <w:color w:val="003551"/>
        </w:rPr>
        <w:t>(d)  “</w:t>
      </w:r>
      <w:r>
        <w:rPr>
          <w:rFonts w:ascii="Arial" w:cs="Arial" w:eastAsia="Arial" w:hAnsi="Arial"/>
          <w:sz w:val="17"/>
          <w:szCs w:val="17"/>
          <w:b w:val="1"/>
          <w:bCs w:val="1"/>
          <w:color w:val="003551"/>
        </w:rPr>
        <w:t>Beneficial Owner</w:t>
      </w:r>
      <w:r>
        <w:rPr>
          <w:rFonts w:ascii="Arial" w:cs="Arial" w:eastAsia="Arial" w:hAnsi="Arial"/>
          <w:sz w:val="17"/>
          <w:szCs w:val="17"/>
          <w:color w:val="003551"/>
        </w:rPr>
        <w:t>” has the meaning ascribed to such term in Rule 13d-3 under the Exchange Act.</w:t>
      </w:r>
    </w:p>
    <w:p>
      <w:pPr>
        <w:spacing w:after="0" w:line="32" w:lineRule="exact"/>
        <w:rPr>
          <w:sz w:val="20"/>
          <w:szCs w:val="20"/>
          <w:color w:val="auto"/>
        </w:rPr>
      </w:pPr>
    </w:p>
    <w:p>
      <w:pPr>
        <w:ind w:left="1280" w:right="579"/>
        <w:spacing w:after="0" w:line="252" w:lineRule="auto"/>
        <w:rPr>
          <w:sz w:val="20"/>
          <w:szCs w:val="20"/>
          <w:color w:val="auto"/>
        </w:rPr>
      </w:pPr>
      <w:r>
        <w:rPr>
          <w:rFonts w:ascii="Arial" w:cs="Arial" w:eastAsia="Arial" w:hAnsi="Arial"/>
          <w:sz w:val="17"/>
          <w:szCs w:val="17"/>
          <w:color w:val="003551"/>
        </w:rPr>
        <w:t>(e)  “</w:t>
      </w:r>
      <w:r>
        <w:rPr>
          <w:rFonts w:ascii="Arial" w:cs="Arial" w:eastAsia="Arial" w:hAnsi="Arial"/>
          <w:sz w:val="17"/>
          <w:szCs w:val="17"/>
          <w:b w:val="1"/>
          <w:bCs w:val="1"/>
          <w:color w:val="003551"/>
        </w:rPr>
        <w:t>Beneficiary</w:t>
      </w:r>
      <w:r>
        <w:rPr>
          <w:rFonts w:ascii="Arial" w:cs="Arial" w:eastAsia="Arial" w:hAnsi="Arial"/>
          <w:sz w:val="17"/>
          <w:szCs w:val="17"/>
          <w:color w:val="003551"/>
        </w:rPr>
        <w:t>” means a Person entitled to receive payments or other benefits or exercise rights that are available under this Plan in the event of a Participant’s death. If no such Person can be named or is named by a Participant, or if no Beneficiary designated by a Participant is eligible to receive payments or other benefits or exercise rights that are available under this Plan at a Participant’s death, such Participant’s Beneficiary shall be such Participant’s estate.</w:t>
      </w:r>
    </w:p>
    <w:p>
      <w:pPr>
        <w:spacing w:after="0" w:line="61" w:lineRule="exact"/>
        <w:rPr>
          <w:sz w:val="20"/>
          <w:szCs w:val="20"/>
          <w:color w:val="auto"/>
        </w:rPr>
      </w:pPr>
    </w:p>
    <w:p>
      <w:pPr>
        <w:ind w:left="1280" w:right="419"/>
        <w:spacing w:after="0" w:line="286" w:lineRule="auto"/>
        <w:rPr>
          <w:sz w:val="20"/>
          <w:szCs w:val="20"/>
          <w:color w:val="auto"/>
        </w:rPr>
      </w:pPr>
      <w:r>
        <w:rPr>
          <w:rFonts w:ascii="Arial" w:cs="Arial" w:eastAsia="Arial" w:hAnsi="Arial"/>
          <w:sz w:val="17"/>
          <w:szCs w:val="17"/>
          <w:color w:val="003551"/>
        </w:rPr>
        <w:t>(f)  “</w:t>
      </w:r>
      <w:r>
        <w:rPr>
          <w:rFonts w:ascii="Arial" w:cs="Arial" w:eastAsia="Arial" w:hAnsi="Arial"/>
          <w:sz w:val="17"/>
          <w:szCs w:val="17"/>
          <w:b w:val="1"/>
          <w:bCs w:val="1"/>
          <w:color w:val="003551"/>
        </w:rPr>
        <w:t>Board</w:t>
      </w:r>
      <w:r>
        <w:rPr>
          <w:rFonts w:ascii="Arial" w:cs="Arial" w:eastAsia="Arial" w:hAnsi="Arial"/>
          <w:sz w:val="17"/>
          <w:szCs w:val="17"/>
          <w:color w:val="003551"/>
        </w:rPr>
        <w:t>” means the board of directors of the Company or a committee designated by the board of directors of the Company to administer this Plan.</w:t>
      </w:r>
    </w:p>
    <w:p>
      <w:pPr>
        <w:spacing w:after="0" w:line="71" w:lineRule="exact"/>
        <w:rPr>
          <w:sz w:val="20"/>
          <w:szCs w:val="20"/>
          <w:color w:val="auto"/>
        </w:rPr>
      </w:pPr>
    </w:p>
    <w:p>
      <w:pPr>
        <w:ind w:left="1280"/>
        <w:spacing w:after="0"/>
        <w:rPr>
          <w:sz w:val="20"/>
          <w:szCs w:val="20"/>
          <w:color w:val="auto"/>
        </w:rPr>
      </w:pPr>
      <w:r>
        <w:rPr>
          <w:rFonts w:ascii="Arial" w:cs="Arial" w:eastAsia="Arial" w:hAnsi="Arial"/>
          <w:sz w:val="17"/>
          <w:szCs w:val="17"/>
          <w:color w:val="003551"/>
        </w:rPr>
        <w:t>(g)   “</w:t>
      </w:r>
      <w:r>
        <w:rPr>
          <w:rFonts w:ascii="Arial" w:cs="Arial" w:eastAsia="Arial" w:hAnsi="Arial"/>
          <w:sz w:val="17"/>
          <w:szCs w:val="17"/>
          <w:b w:val="1"/>
          <w:bCs w:val="1"/>
          <w:color w:val="003551"/>
        </w:rPr>
        <w:t>Change in Control</w:t>
      </w:r>
      <w:r>
        <w:rPr>
          <w:rFonts w:ascii="Arial" w:cs="Arial" w:eastAsia="Arial" w:hAnsi="Arial"/>
          <w:sz w:val="17"/>
          <w:szCs w:val="17"/>
          <w:color w:val="003551"/>
        </w:rPr>
        <w:t>” means the occurrence of any one or more of the following events:</w:t>
      </w:r>
    </w:p>
    <w:p>
      <w:pPr>
        <w:spacing w:after="0" w:line="108" w:lineRule="exact"/>
        <w:rPr>
          <w:sz w:val="20"/>
          <w:szCs w:val="20"/>
          <w:color w:val="auto"/>
        </w:rPr>
      </w:pPr>
    </w:p>
    <w:p>
      <w:pPr>
        <w:ind w:left="1640" w:right="439"/>
        <w:spacing w:after="0" w:line="246" w:lineRule="auto"/>
        <w:rPr>
          <w:sz w:val="20"/>
          <w:szCs w:val="20"/>
          <w:color w:val="auto"/>
        </w:rPr>
      </w:pPr>
      <w:r>
        <w:rPr>
          <w:rFonts w:ascii="Arial" w:cs="Arial" w:eastAsia="Arial" w:hAnsi="Arial"/>
          <w:sz w:val="17"/>
          <w:szCs w:val="17"/>
          <w:color w:val="003551"/>
        </w:rPr>
        <w:t xml:space="preserve">(i)  any Person, other than (A) any employee plan established by any member of the Group, (B)the Company or any of its Affiliates, (C)an underwriter temporarily holding securities pursuant to an offering of such securities or (D) an entity owned, directly or indirectly, by shareholders of the Company in substantially the same proportions as their ownership of the Company, becomes (in a single transaction or any series of transactions occurring during any 12-month period) the Beneficial Owner, directly or indirectly, of securities of the Company representing 50% or more of the total voting power of the Shares; </w:t>
      </w:r>
      <w:r>
        <w:rPr>
          <w:rFonts w:ascii="Arial" w:cs="Arial" w:eastAsia="Arial" w:hAnsi="Arial"/>
          <w:sz w:val="17"/>
          <w:szCs w:val="17"/>
          <w:i w:val="1"/>
          <w:iCs w:val="1"/>
          <w:color w:val="003551"/>
        </w:rPr>
        <w:t>provided</w:t>
      </w:r>
      <w:r>
        <w:rPr>
          <w:rFonts w:ascii="Arial" w:cs="Arial" w:eastAsia="Arial" w:hAnsi="Arial"/>
          <w:sz w:val="17"/>
          <w:szCs w:val="17"/>
          <w:color w:val="003551"/>
        </w:rPr>
        <w:t xml:space="preserve"> that the provisions of this subsection (i) are not intended to apply to or include as a Change in Control any transaction that is specifically excepted from the definition of Change in Control under subsection (iii) below;</w:t>
      </w:r>
    </w:p>
    <w:p>
      <w:pPr>
        <w:spacing w:after="0" w:line="70" w:lineRule="exact"/>
        <w:rPr>
          <w:sz w:val="20"/>
          <w:szCs w:val="20"/>
          <w:color w:val="auto"/>
        </w:rPr>
      </w:pPr>
    </w:p>
    <w:p>
      <w:pPr>
        <w:ind w:left="1640" w:right="519"/>
        <w:spacing w:after="0" w:line="251" w:lineRule="auto"/>
        <w:rPr>
          <w:sz w:val="20"/>
          <w:szCs w:val="20"/>
          <w:color w:val="auto"/>
        </w:rPr>
      </w:pPr>
      <w:r>
        <w:rPr>
          <w:rFonts w:ascii="Arial" w:cs="Arial" w:eastAsia="Arial" w:hAnsi="Arial"/>
          <w:sz w:val="17"/>
          <w:szCs w:val="17"/>
          <w:color w:val="003551"/>
        </w:rPr>
        <w:t>(ii)  a change in the composition of the Board such that, during any 12-month period, the individuals who, as of the beginning of such period, constitute the Board (the “</w:t>
      </w:r>
      <w:r>
        <w:rPr>
          <w:rFonts w:ascii="Arial" w:cs="Arial" w:eastAsia="Arial" w:hAnsi="Arial"/>
          <w:sz w:val="17"/>
          <w:szCs w:val="17"/>
          <w:b w:val="1"/>
          <w:bCs w:val="1"/>
          <w:color w:val="003551"/>
        </w:rPr>
        <w:t>Existing Board</w:t>
      </w:r>
      <w:r>
        <w:rPr>
          <w:rFonts w:ascii="Arial" w:cs="Arial" w:eastAsia="Arial" w:hAnsi="Arial"/>
          <w:sz w:val="17"/>
          <w:szCs w:val="17"/>
          <w:color w:val="003551"/>
        </w:rPr>
        <w:t xml:space="preserve">”) cease for any reason to constitute at least 50% of the Board; </w:t>
      </w:r>
      <w:r>
        <w:rPr>
          <w:rFonts w:ascii="Arial" w:cs="Arial" w:eastAsia="Arial" w:hAnsi="Arial"/>
          <w:sz w:val="17"/>
          <w:szCs w:val="17"/>
          <w:i w:val="1"/>
          <w:iCs w:val="1"/>
          <w:color w:val="003551"/>
        </w:rPr>
        <w:t>provided</w:t>
      </w:r>
      <w:r>
        <w:rPr>
          <w:rFonts w:ascii="Arial" w:cs="Arial" w:eastAsia="Arial" w:hAnsi="Arial"/>
          <w:sz w:val="17"/>
          <w:szCs w:val="17"/>
          <w:color w:val="003551"/>
        </w:rPr>
        <w:t>, however, that any individual becoming a member of the Board subsequent to the beginning of such period whose election or nomination for election by the Company’s shareholders was approved by a vote of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93345</wp:posOffset>
            </wp:positionV>
            <wp:extent cx="6786880" cy="1651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6" w:right="1440"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640" w:right="399"/>
        <w:spacing w:after="0" w:line="246" w:lineRule="auto"/>
        <w:rPr>
          <w:sz w:val="20"/>
          <w:szCs w:val="20"/>
          <w:color w:val="auto"/>
        </w:rPr>
      </w:pPr>
      <w:r>
        <w:rPr>
          <w:rFonts w:ascii="Arial" w:cs="Arial" w:eastAsia="Arial" w:hAnsi="Arial"/>
          <w:sz w:val="17"/>
          <w:szCs w:val="17"/>
          <w:color w:val="003551"/>
        </w:rPr>
        <w:t xml:space="preserve">least a majority of the Directors immediately prior to the date of such appointment or election shall be considered as though such individual were a member of the Existing Board; </w:t>
      </w:r>
      <w:r>
        <w:rPr>
          <w:rFonts w:ascii="Arial" w:cs="Arial" w:eastAsia="Arial" w:hAnsi="Arial"/>
          <w:sz w:val="17"/>
          <w:szCs w:val="17"/>
          <w:i w:val="1"/>
          <w:iCs w:val="1"/>
          <w:color w:val="003551"/>
        </w:rPr>
        <w:t>provided</w:t>
      </w:r>
      <w:r>
        <w:rPr>
          <w:rFonts w:ascii="Arial" w:cs="Arial" w:eastAsia="Arial" w:hAnsi="Arial"/>
          <w:sz w:val="17"/>
          <w:szCs w:val="17"/>
          <w:color w:val="003551"/>
        </w:rPr>
        <w:t xml:space="preserve"> </w:t>
      </w:r>
      <w:r>
        <w:rPr>
          <w:rFonts w:ascii="Arial" w:cs="Arial" w:eastAsia="Arial" w:hAnsi="Arial"/>
          <w:sz w:val="17"/>
          <w:szCs w:val="17"/>
          <w:i w:val="1"/>
          <w:iCs w:val="1"/>
          <w:color w:val="003551"/>
        </w:rPr>
        <w:t xml:space="preserve">further </w:t>
      </w:r>
      <w:r>
        <w:rPr>
          <w:rFonts w:ascii="Arial" w:cs="Arial" w:eastAsia="Arial" w:hAnsi="Arial"/>
          <w:sz w:val="17"/>
          <w:szCs w:val="17"/>
          <w:color w:val="003551"/>
        </w:rPr>
        <w:t>that, notwithstanding the foregoing, no individual whose initial assumption of office occurs</w:t>
      </w:r>
      <w:r>
        <w:rPr>
          <w:rFonts w:ascii="Arial" w:cs="Arial" w:eastAsia="Arial" w:hAnsi="Arial"/>
          <w:sz w:val="17"/>
          <w:szCs w:val="17"/>
          <w:i w:val="1"/>
          <w:iCs w:val="1"/>
          <w:color w:val="003551"/>
        </w:rPr>
        <w:t xml:space="preserve"> </w:t>
      </w:r>
      <w:r>
        <w:rPr>
          <w:rFonts w:ascii="Arial" w:cs="Arial" w:eastAsia="Arial" w:hAnsi="Arial"/>
          <w:sz w:val="17"/>
          <w:szCs w:val="17"/>
          <w:color w:val="003551"/>
        </w:rPr>
        <w:t>as a result of either an actual or threatened election contest (as such terms are used in Rule 14a-11 or Regulation 14A promulgated under the Exchange Act or successor statutes or rules containing analogous concepts) or other actual or threatened solicitation of proxies or consents by or on behalf of an individual, corporation, partnership, group, associate or other entity or Person other than the Board, shall in any event be considered to be a member of the Existing Board;</w:t>
      </w:r>
    </w:p>
    <w:p>
      <w:pPr>
        <w:spacing w:after="0" w:line="270" w:lineRule="exact"/>
        <w:rPr>
          <w:sz w:val="20"/>
          <w:szCs w:val="20"/>
          <w:color w:val="auto"/>
        </w:rPr>
      </w:pPr>
    </w:p>
    <w:p>
      <w:pPr>
        <w:ind w:left="1640" w:right="399"/>
        <w:spacing w:after="0" w:line="243" w:lineRule="auto"/>
        <w:rPr>
          <w:sz w:val="20"/>
          <w:szCs w:val="20"/>
          <w:color w:val="auto"/>
        </w:rPr>
      </w:pPr>
      <w:r>
        <w:rPr>
          <w:rFonts w:ascii="Arial" w:cs="Arial" w:eastAsia="Arial" w:hAnsi="Arial"/>
          <w:sz w:val="17"/>
          <w:szCs w:val="17"/>
          <w:color w:val="003551"/>
        </w:rPr>
        <w:t xml:space="preserve">(iii)  the consummation of a merger, amalgamation or consolidation of the Company or any of its Affiliates with any other corporation or other entity or the issuance of voting securities in connection with such a transaction; </w:t>
      </w:r>
      <w:r>
        <w:rPr>
          <w:rFonts w:ascii="Arial" w:cs="Arial" w:eastAsia="Arial" w:hAnsi="Arial"/>
          <w:sz w:val="17"/>
          <w:szCs w:val="17"/>
          <w:i w:val="1"/>
          <w:iCs w:val="1"/>
          <w:color w:val="003551"/>
        </w:rPr>
        <w:t>provided</w:t>
      </w:r>
      <w:r>
        <w:rPr>
          <w:rFonts w:ascii="Arial" w:cs="Arial" w:eastAsia="Arial" w:hAnsi="Arial"/>
          <w:sz w:val="17"/>
          <w:szCs w:val="17"/>
          <w:color w:val="003551"/>
        </w:rPr>
        <w:t xml:space="preserve"> that immediately following such transaction the voting securities of the Company outstanding immediately prior thereto do not continue to represent (either by remaining outstanding or by being converted into voting securities of the surviving entity of such transaction or parent entity thereof) fifty percent (50%) or more of the total voting power with respect to the Company’s then-outstanding voting securities and total Fair Market Value of the Company’s then-outstanding voting securities (or, if the Company is not the surviving entity of such merger or consolidation, fifty percent (50%) or more of the total voting power with respect to the then-outstanding voting securities and total fair market value of the shares of such surviving entity or parent entity thereof); and </w:t>
      </w:r>
      <w:r>
        <w:rPr>
          <w:rFonts w:ascii="Arial" w:cs="Arial" w:eastAsia="Arial" w:hAnsi="Arial"/>
          <w:sz w:val="17"/>
          <w:szCs w:val="17"/>
          <w:i w:val="1"/>
          <w:iCs w:val="1"/>
          <w:color w:val="003551"/>
        </w:rPr>
        <w:t>provided, further</w:t>
      </w:r>
      <w:r>
        <w:rPr>
          <w:rFonts w:ascii="Arial" w:cs="Arial" w:eastAsia="Arial" w:hAnsi="Arial"/>
          <w:sz w:val="17"/>
          <w:szCs w:val="17"/>
          <w:color w:val="003551"/>
        </w:rPr>
        <w:t>, that such a transaction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other than in connection with the acquisition by the Company or its Affiliates of a business) representing fifty percent (50%) or more of the total voting power with respect to the then-outstanding voting securities and total Fair Market Value of the Company’s then-outstanding voting securities shall not be considered a Change in Control; or</w:t>
      </w:r>
    </w:p>
    <w:p>
      <w:pPr>
        <w:spacing w:after="0" w:line="275" w:lineRule="exact"/>
        <w:rPr>
          <w:sz w:val="20"/>
          <w:szCs w:val="20"/>
          <w:color w:val="auto"/>
        </w:rPr>
      </w:pPr>
    </w:p>
    <w:p>
      <w:pPr>
        <w:ind w:left="1640" w:right="379"/>
        <w:spacing w:after="0" w:line="251" w:lineRule="auto"/>
        <w:rPr>
          <w:sz w:val="20"/>
          <w:szCs w:val="20"/>
          <w:color w:val="auto"/>
        </w:rPr>
      </w:pPr>
      <w:r>
        <w:rPr>
          <w:rFonts w:ascii="Arial" w:cs="Arial" w:eastAsia="Arial" w:hAnsi="Arial"/>
          <w:sz w:val="17"/>
          <w:szCs w:val="17"/>
          <w:color w:val="003551"/>
        </w:rPr>
        <w:t>(iv)  the sale or disposition by the Company of all or substantially all of the Company’s assets in which any Person acquires (or has acquired during the 12-month period ending on the date of the most recent acquisition by such Person) assets from the Company that have a total gross Fair Market Value equal to more than fifty percent (50%) of the total gross Fair Market Value of all of the assets of the Company immediately prior to such acquisition or acquisitions.</w:t>
      </w:r>
    </w:p>
    <w:p>
      <w:pPr>
        <w:spacing w:after="0" w:line="65" w:lineRule="exact"/>
        <w:rPr>
          <w:sz w:val="20"/>
          <w:szCs w:val="20"/>
          <w:color w:val="auto"/>
        </w:rPr>
      </w:pPr>
    </w:p>
    <w:p>
      <w:pPr>
        <w:ind w:left="940" w:right="399"/>
        <w:spacing w:after="0" w:line="243" w:lineRule="auto"/>
        <w:rPr>
          <w:sz w:val="20"/>
          <w:szCs w:val="20"/>
          <w:color w:val="auto"/>
        </w:rPr>
      </w:pPr>
      <w:r>
        <w:rPr>
          <w:rFonts w:ascii="Arial" w:cs="Arial" w:eastAsia="Arial" w:hAnsi="Arial"/>
          <w:sz w:val="17"/>
          <w:szCs w:val="17"/>
          <w:color w:val="003551"/>
        </w:rPr>
        <w:t>Notwithstanding the foregoing, (A) no Change in Control shall be deemed to have occurred if there is consummated any transaction or series of integrated transactions immediately following which the record holders of the Shares immediately prior to such transaction or series of transactions continue to have substantially the same proportionate ownership in an entity which owns substantially all of the assets of the Company immediately prior to such transaction or series of transactions and (B) no Change in Control shall be deemed to have occurred upon the acquisition of additional control of the Company by any Person that is considered to effectively control the Company. In no event will a Change in Control be deemed to have occurred if any Participant is part of a “group” within the meaning of Section 13(d)(3) of the Exchange Act that effects a Change in Control. Notwithstanding the foregoing or any provision of any Award Agreement to the contrary, for any Award that provides for accelerated distribution on a Change in Control of amounts that constitute “deferred compensation” (to the extent necessary to avoid imposition of taxes or penalties, pursuant to Section 409A of the Code (“</w:t>
      </w:r>
      <w:r>
        <w:rPr>
          <w:rFonts w:ascii="Arial" w:cs="Arial" w:eastAsia="Arial" w:hAnsi="Arial"/>
          <w:sz w:val="17"/>
          <w:szCs w:val="17"/>
          <w:b w:val="1"/>
          <w:bCs w:val="1"/>
          <w:color w:val="003551"/>
        </w:rPr>
        <w:t>Section 409A</w:t>
      </w:r>
      <w:r>
        <w:rPr>
          <w:rFonts w:ascii="Arial" w:cs="Arial" w:eastAsia="Arial" w:hAnsi="Arial"/>
          <w:sz w:val="17"/>
          <w:szCs w:val="17"/>
          <w:color w:val="003551"/>
        </w:rPr>
        <w:t>”)), if the event that constitutes such Change in Control does not also constitute a change in the ownership or effective control of the Company, or in the ownership of a substantial portion of the Company’s assets (in either case, as defined in Section 409A), such amount shall not be distributed on such Change in Control but instead shall vest as of such Change in Control and shall be distributed on the scheduled payment date specified in the applicable Award Agreement, except to the extent that earlier distribution would not result in the Participant who holds such Award incurring interest or additional tax under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102235</wp:posOffset>
            </wp:positionV>
            <wp:extent cx="6786880" cy="1651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6" w:right="1440"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80" w:right="399"/>
        <w:spacing w:after="0" w:line="263" w:lineRule="auto"/>
        <w:rPr>
          <w:sz w:val="20"/>
          <w:szCs w:val="20"/>
          <w:color w:val="auto"/>
        </w:rPr>
      </w:pPr>
      <w:r>
        <w:rPr>
          <w:rFonts w:ascii="Arial" w:cs="Arial" w:eastAsia="Arial" w:hAnsi="Arial"/>
          <w:sz w:val="17"/>
          <w:szCs w:val="17"/>
          <w:color w:val="003551"/>
        </w:rPr>
        <w:t>(h)  “</w:t>
      </w:r>
      <w:r>
        <w:rPr>
          <w:rFonts w:ascii="Arial" w:cs="Arial" w:eastAsia="Arial" w:hAnsi="Arial"/>
          <w:sz w:val="17"/>
          <w:szCs w:val="17"/>
          <w:b w:val="1"/>
          <w:bCs w:val="1"/>
          <w:color w:val="003551"/>
        </w:rPr>
        <w:t>Code</w:t>
      </w:r>
      <w:r>
        <w:rPr>
          <w:rFonts w:ascii="Arial" w:cs="Arial" w:eastAsia="Arial" w:hAnsi="Arial"/>
          <w:sz w:val="17"/>
          <w:szCs w:val="17"/>
          <w:color w:val="003551"/>
        </w:rPr>
        <w:t>” means the U.S. Internal Revenue Code of 1986, as amended from time to time, and the rules, regulations and guidance thereunder. Any reference to a provision in the Code shall include any successor provision thereto.</w:t>
      </w:r>
    </w:p>
    <w:p>
      <w:pPr>
        <w:spacing w:after="0" w:line="52" w:lineRule="exact"/>
        <w:rPr>
          <w:sz w:val="20"/>
          <w:szCs w:val="20"/>
          <w:color w:val="auto"/>
        </w:rPr>
      </w:pPr>
    </w:p>
    <w:p>
      <w:pPr>
        <w:ind w:left="1280" w:right="959"/>
        <w:spacing w:after="0" w:line="263" w:lineRule="auto"/>
        <w:rPr>
          <w:sz w:val="20"/>
          <w:szCs w:val="20"/>
          <w:color w:val="auto"/>
        </w:rPr>
      </w:pPr>
      <w:r>
        <w:rPr>
          <w:rFonts w:ascii="Arial" w:cs="Arial" w:eastAsia="Arial" w:hAnsi="Arial"/>
          <w:sz w:val="17"/>
          <w:szCs w:val="17"/>
          <w:color w:val="003551"/>
        </w:rPr>
        <w:t>(i)  “</w:t>
      </w:r>
      <w:r>
        <w:rPr>
          <w:rFonts w:ascii="Arial" w:cs="Arial" w:eastAsia="Arial" w:hAnsi="Arial"/>
          <w:sz w:val="17"/>
          <w:szCs w:val="17"/>
          <w:b w:val="1"/>
          <w:bCs w:val="1"/>
          <w:color w:val="003551"/>
        </w:rPr>
        <w:t>Consultant</w:t>
      </w:r>
      <w:r>
        <w:rPr>
          <w:rFonts w:ascii="Arial" w:cs="Arial" w:eastAsia="Arial" w:hAnsi="Arial"/>
          <w:sz w:val="17"/>
          <w:szCs w:val="17"/>
          <w:color w:val="003551"/>
        </w:rPr>
        <w:t>” means any individual, including an advisor or independent contractor, who is providing services to any member of the Group or who has accepted an offer of service or consultancy from any member of the Group.</w:t>
      </w:r>
    </w:p>
    <w:p>
      <w:pPr>
        <w:spacing w:after="0" w:line="91" w:lineRule="exact"/>
        <w:rPr>
          <w:sz w:val="20"/>
          <w:szCs w:val="20"/>
          <w:color w:val="auto"/>
        </w:rPr>
      </w:pPr>
    </w:p>
    <w:p>
      <w:pPr>
        <w:ind w:left="1280"/>
        <w:spacing w:after="0"/>
        <w:rPr>
          <w:sz w:val="20"/>
          <w:szCs w:val="20"/>
          <w:color w:val="auto"/>
        </w:rPr>
      </w:pPr>
      <w:r>
        <w:rPr>
          <w:rFonts w:ascii="Arial" w:cs="Arial" w:eastAsia="Arial" w:hAnsi="Arial"/>
          <w:sz w:val="17"/>
          <w:szCs w:val="17"/>
          <w:color w:val="003551"/>
        </w:rPr>
        <w:t>(j)   “</w:t>
      </w:r>
      <w:r>
        <w:rPr>
          <w:rFonts w:ascii="Arial" w:cs="Arial" w:eastAsia="Arial" w:hAnsi="Arial"/>
          <w:sz w:val="17"/>
          <w:szCs w:val="17"/>
          <w:b w:val="1"/>
          <w:bCs w:val="1"/>
          <w:color w:val="003551"/>
        </w:rPr>
        <w:t>Director</w:t>
      </w:r>
      <w:r>
        <w:rPr>
          <w:rFonts w:ascii="Arial" w:cs="Arial" w:eastAsia="Arial" w:hAnsi="Arial"/>
          <w:sz w:val="17"/>
          <w:szCs w:val="17"/>
          <w:color w:val="003551"/>
        </w:rPr>
        <w:t>” means any member of the Board.</w:t>
      </w:r>
    </w:p>
    <w:p>
      <w:pPr>
        <w:spacing w:after="0" w:line="145" w:lineRule="exact"/>
        <w:rPr>
          <w:sz w:val="20"/>
          <w:szCs w:val="20"/>
          <w:color w:val="auto"/>
        </w:rPr>
      </w:pPr>
    </w:p>
    <w:p>
      <w:pPr>
        <w:ind w:left="1280" w:right="1179"/>
        <w:spacing w:after="0" w:line="286" w:lineRule="auto"/>
        <w:rPr>
          <w:sz w:val="20"/>
          <w:szCs w:val="20"/>
          <w:color w:val="auto"/>
        </w:rPr>
      </w:pPr>
      <w:r>
        <w:rPr>
          <w:rFonts w:ascii="Arial" w:cs="Arial" w:eastAsia="Arial" w:hAnsi="Arial"/>
          <w:sz w:val="17"/>
          <w:szCs w:val="17"/>
          <w:color w:val="003551"/>
        </w:rPr>
        <w:t>(k)  “</w:t>
      </w:r>
      <w:r>
        <w:rPr>
          <w:rFonts w:ascii="Arial" w:cs="Arial" w:eastAsia="Arial" w:hAnsi="Arial"/>
          <w:sz w:val="17"/>
          <w:szCs w:val="17"/>
          <w:b w:val="1"/>
          <w:bCs w:val="1"/>
          <w:color w:val="003551"/>
        </w:rPr>
        <w:t>Effective Date</w:t>
      </w:r>
      <w:r>
        <w:rPr>
          <w:rFonts w:ascii="Arial" w:cs="Arial" w:eastAsia="Arial" w:hAnsi="Arial"/>
          <w:sz w:val="17"/>
          <w:szCs w:val="17"/>
          <w:color w:val="003551"/>
        </w:rPr>
        <w:t>” means the date on which this Plan is approved by shareholders of the Company.</w:t>
      </w:r>
    </w:p>
    <w:p>
      <w:pPr>
        <w:spacing w:after="0" w:line="32" w:lineRule="exact"/>
        <w:rPr>
          <w:sz w:val="20"/>
          <w:szCs w:val="20"/>
          <w:color w:val="auto"/>
        </w:rPr>
      </w:pPr>
    </w:p>
    <w:p>
      <w:pPr>
        <w:ind w:left="1280" w:right="399"/>
        <w:spacing w:after="0" w:line="253" w:lineRule="auto"/>
        <w:rPr>
          <w:sz w:val="20"/>
          <w:szCs w:val="20"/>
          <w:color w:val="auto"/>
        </w:rPr>
      </w:pPr>
      <w:r>
        <w:rPr>
          <w:rFonts w:ascii="Arial" w:cs="Arial" w:eastAsia="Arial" w:hAnsi="Arial"/>
          <w:sz w:val="17"/>
          <w:szCs w:val="17"/>
          <w:color w:val="003551"/>
        </w:rPr>
        <w:t>(l)  “</w:t>
      </w:r>
      <w:r>
        <w:rPr>
          <w:rFonts w:ascii="Arial" w:cs="Arial" w:eastAsia="Arial" w:hAnsi="Arial"/>
          <w:sz w:val="17"/>
          <w:szCs w:val="17"/>
          <w:b w:val="1"/>
          <w:bCs w:val="1"/>
          <w:color w:val="003551"/>
        </w:rPr>
        <w:t>Employee</w:t>
      </w:r>
      <w:r>
        <w:rPr>
          <w:rFonts w:ascii="Arial" w:cs="Arial" w:eastAsia="Arial" w:hAnsi="Arial"/>
          <w:sz w:val="17"/>
          <w:szCs w:val="17"/>
          <w:color w:val="003551"/>
        </w:rPr>
        <w:t>” means any individual, including any officer, employed by any member of the Group or any prospective employee or officer who has accepted an offer of employment from any member of the Group, with the status of employment determined based upon such factors as are deemed appropriate by the Board in its sole discretion, subject to any requirements of the Code or applicable laws.</w:t>
      </w:r>
    </w:p>
    <w:p>
      <w:pPr>
        <w:spacing w:after="0" w:line="263" w:lineRule="exact"/>
        <w:rPr>
          <w:sz w:val="20"/>
          <w:szCs w:val="20"/>
          <w:color w:val="auto"/>
        </w:rPr>
      </w:pPr>
    </w:p>
    <w:p>
      <w:pPr>
        <w:ind w:left="1280" w:right="699"/>
        <w:spacing w:after="0" w:line="263" w:lineRule="auto"/>
        <w:rPr>
          <w:sz w:val="20"/>
          <w:szCs w:val="20"/>
          <w:color w:val="auto"/>
        </w:rPr>
      </w:pPr>
      <w:r>
        <w:rPr>
          <w:rFonts w:ascii="Arial" w:cs="Arial" w:eastAsia="Arial" w:hAnsi="Arial"/>
          <w:sz w:val="17"/>
          <w:szCs w:val="17"/>
          <w:color w:val="003551"/>
        </w:rPr>
        <w:t>(m)  “</w:t>
      </w:r>
      <w:r>
        <w:rPr>
          <w:rFonts w:ascii="Arial" w:cs="Arial" w:eastAsia="Arial" w:hAnsi="Arial"/>
          <w:sz w:val="17"/>
          <w:szCs w:val="17"/>
          <w:b w:val="1"/>
          <w:bCs w:val="1"/>
          <w:color w:val="003551"/>
        </w:rPr>
        <w:t>Exchange Act</w:t>
      </w:r>
      <w:r>
        <w:rPr>
          <w:rFonts w:ascii="Arial" w:cs="Arial" w:eastAsia="Arial" w:hAnsi="Arial"/>
          <w:sz w:val="17"/>
          <w:szCs w:val="17"/>
          <w:color w:val="003551"/>
        </w:rPr>
        <w:t>” means the U.S. Securities Exchange Act of 1934, as amended from time to time, and the rules, regulations and guidance thereunder. Any reference to a provision in the Exchange Act shall include any successor provision thereto.</w:t>
      </w:r>
    </w:p>
    <w:p>
      <w:pPr>
        <w:spacing w:after="0" w:line="52" w:lineRule="exact"/>
        <w:rPr>
          <w:sz w:val="20"/>
          <w:szCs w:val="20"/>
          <w:color w:val="auto"/>
        </w:rPr>
      </w:pPr>
    </w:p>
    <w:p>
      <w:pPr>
        <w:ind w:left="1280" w:right="419"/>
        <w:spacing w:after="0" w:line="256" w:lineRule="auto"/>
        <w:rPr>
          <w:sz w:val="20"/>
          <w:szCs w:val="20"/>
          <w:color w:val="auto"/>
        </w:rPr>
      </w:pPr>
      <w:r>
        <w:rPr>
          <w:rFonts w:ascii="Arial" w:cs="Arial" w:eastAsia="Arial" w:hAnsi="Arial"/>
          <w:sz w:val="17"/>
          <w:szCs w:val="17"/>
          <w:color w:val="003551"/>
        </w:rPr>
        <w:t>(n)  “</w:t>
      </w:r>
      <w:r>
        <w:rPr>
          <w:rFonts w:ascii="Arial" w:cs="Arial" w:eastAsia="Arial" w:hAnsi="Arial"/>
          <w:sz w:val="17"/>
          <w:szCs w:val="17"/>
          <w:b w:val="1"/>
          <w:bCs w:val="1"/>
          <w:color w:val="003551"/>
        </w:rPr>
        <w:t>Fair Market Value</w:t>
      </w:r>
      <w:r>
        <w:rPr>
          <w:rFonts w:ascii="Arial" w:cs="Arial" w:eastAsia="Arial" w:hAnsi="Arial"/>
          <w:sz w:val="17"/>
          <w:szCs w:val="17"/>
          <w:color w:val="003551"/>
        </w:rPr>
        <w:t>” means (i) with respect to Shares, the closing price of a Share on the trading day immediately preceding the date of determination, and (ii) with respect to any property other than Shares, the fair market value of such property determined by such methods or procedures as shall be established from time to time by the Board in its sole discretion.</w:t>
      </w:r>
    </w:p>
    <w:p>
      <w:pPr>
        <w:spacing w:after="0" w:line="57" w:lineRule="exact"/>
        <w:rPr>
          <w:sz w:val="20"/>
          <w:szCs w:val="20"/>
          <w:color w:val="auto"/>
        </w:rPr>
      </w:pPr>
    </w:p>
    <w:p>
      <w:pPr>
        <w:ind w:left="1280" w:right="559"/>
        <w:spacing w:after="0" w:line="286" w:lineRule="auto"/>
        <w:rPr>
          <w:sz w:val="20"/>
          <w:szCs w:val="20"/>
          <w:color w:val="auto"/>
        </w:rPr>
      </w:pPr>
      <w:r>
        <w:rPr>
          <w:rFonts w:ascii="Arial" w:cs="Arial" w:eastAsia="Arial" w:hAnsi="Arial"/>
          <w:sz w:val="17"/>
          <w:szCs w:val="17"/>
          <w:color w:val="003551"/>
        </w:rPr>
        <w:t>(o)  “</w:t>
      </w:r>
      <w:r>
        <w:rPr>
          <w:rFonts w:ascii="Arial" w:cs="Arial" w:eastAsia="Arial" w:hAnsi="Arial"/>
          <w:sz w:val="17"/>
          <w:szCs w:val="17"/>
          <w:b w:val="1"/>
          <w:bCs w:val="1"/>
          <w:color w:val="003551"/>
        </w:rPr>
        <w:t>Incentive Stock Option</w:t>
      </w:r>
      <w:r>
        <w:rPr>
          <w:rFonts w:ascii="Arial" w:cs="Arial" w:eastAsia="Arial" w:hAnsi="Arial"/>
          <w:sz w:val="17"/>
          <w:szCs w:val="17"/>
          <w:color w:val="003551"/>
        </w:rPr>
        <w:t xml:space="preserve">” means an option representing the right to purchase Shares from the Company, granted pursuant to </w:t>
      </w:r>
      <w:r>
        <w:rPr>
          <w:rFonts w:ascii="Arial" w:cs="Arial" w:eastAsia="Arial" w:hAnsi="Arial"/>
          <w:sz w:val="17"/>
          <w:szCs w:val="17"/>
          <w:u w:val="single" w:color="auto"/>
          <w:color w:val="003551"/>
        </w:rPr>
        <w:t>Section 6</w:t>
      </w:r>
      <w:r>
        <w:rPr>
          <w:rFonts w:ascii="Arial" w:cs="Arial" w:eastAsia="Arial" w:hAnsi="Arial"/>
          <w:sz w:val="17"/>
          <w:szCs w:val="17"/>
          <w:color w:val="003551"/>
        </w:rPr>
        <w:t>, that meets the requirements of Section 422 of the Code.</w:t>
      </w:r>
    </w:p>
    <w:p>
      <w:pPr>
        <w:spacing w:after="0" w:line="32" w:lineRule="exact"/>
        <w:rPr>
          <w:sz w:val="20"/>
          <w:szCs w:val="20"/>
          <w:color w:val="auto"/>
        </w:rPr>
      </w:pPr>
    </w:p>
    <w:p>
      <w:pPr>
        <w:ind w:left="1280" w:right="559"/>
        <w:spacing w:after="0" w:line="263" w:lineRule="auto"/>
        <w:rPr>
          <w:sz w:val="20"/>
          <w:szCs w:val="20"/>
          <w:color w:val="auto"/>
        </w:rPr>
      </w:pPr>
      <w:r>
        <w:rPr>
          <w:rFonts w:ascii="Arial" w:cs="Arial" w:eastAsia="Arial" w:hAnsi="Arial"/>
          <w:sz w:val="17"/>
          <w:szCs w:val="17"/>
          <w:color w:val="003551"/>
        </w:rPr>
        <w:t>(p)  “</w:t>
      </w:r>
      <w:r>
        <w:rPr>
          <w:rFonts w:ascii="Arial" w:cs="Arial" w:eastAsia="Arial" w:hAnsi="Arial"/>
          <w:sz w:val="17"/>
          <w:szCs w:val="17"/>
          <w:b w:val="1"/>
          <w:bCs w:val="1"/>
          <w:color w:val="003551"/>
        </w:rPr>
        <w:t>Intrinsic Value</w:t>
      </w:r>
      <w:r>
        <w:rPr>
          <w:rFonts w:ascii="Arial" w:cs="Arial" w:eastAsia="Arial" w:hAnsi="Arial"/>
          <w:sz w:val="17"/>
          <w:szCs w:val="17"/>
          <w:color w:val="003551"/>
        </w:rPr>
        <w:t xml:space="preserve">” with respect to an Option or SAR Award means (i) the excess, if any, of the price or implied price per Share in a Change in Control or other event </w:t>
      </w:r>
      <w:r>
        <w:rPr>
          <w:rFonts w:ascii="Arial" w:cs="Arial" w:eastAsia="Arial" w:hAnsi="Arial"/>
          <w:sz w:val="17"/>
          <w:szCs w:val="17"/>
          <w:i w:val="1"/>
          <w:iCs w:val="1"/>
          <w:color w:val="003551"/>
        </w:rPr>
        <w:t>over</w:t>
      </w:r>
      <w:r>
        <w:rPr>
          <w:rFonts w:ascii="Arial" w:cs="Arial" w:eastAsia="Arial" w:hAnsi="Arial"/>
          <w:sz w:val="17"/>
          <w:szCs w:val="17"/>
          <w:color w:val="003551"/>
        </w:rPr>
        <w:t xml:space="preserve"> (ii) the exercise or hurdle price of such Award </w:t>
      </w:r>
      <w:r>
        <w:rPr>
          <w:rFonts w:ascii="Arial" w:cs="Arial" w:eastAsia="Arial" w:hAnsi="Arial"/>
          <w:sz w:val="17"/>
          <w:szCs w:val="17"/>
          <w:i w:val="1"/>
          <w:iCs w:val="1"/>
          <w:color w:val="003551"/>
        </w:rPr>
        <w:t>multiplied by</w:t>
      </w:r>
      <w:r>
        <w:rPr>
          <w:rFonts w:ascii="Arial" w:cs="Arial" w:eastAsia="Arial" w:hAnsi="Arial"/>
          <w:sz w:val="17"/>
          <w:szCs w:val="17"/>
          <w:color w:val="003551"/>
        </w:rPr>
        <w:t xml:space="preserve"> (iii) the number of Shares covered by such Award.</w:t>
      </w:r>
    </w:p>
    <w:p>
      <w:pPr>
        <w:spacing w:after="0" w:line="52" w:lineRule="exact"/>
        <w:rPr>
          <w:sz w:val="20"/>
          <w:szCs w:val="20"/>
          <w:color w:val="auto"/>
        </w:rPr>
      </w:pPr>
    </w:p>
    <w:p>
      <w:pPr>
        <w:ind w:left="1280" w:right="459"/>
        <w:spacing w:after="0" w:line="286" w:lineRule="auto"/>
        <w:rPr>
          <w:sz w:val="20"/>
          <w:szCs w:val="20"/>
          <w:color w:val="auto"/>
        </w:rPr>
      </w:pPr>
      <w:r>
        <w:rPr>
          <w:rFonts w:ascii="Arial" w:cs="Arial" w:eastAsia="Arial" w:hAnsi="Arial"/>
          <w:sz w:val="17"/>
          <w:szCs w:val="17"/>
          <w:color w:val="003551"/>
        </w:rPr>
        <w:t>(q)  “</w:t>
      </w:r>
      <w:r>
        <w:rPr>
          <w:rFonts w:ascii="Arial" w:cs="Arial" w:eastAsia="Arial" w:hAnsi="Arial"/>
          <w:sz w:val="17"/>
          <w:szCs w:val="17"/>
          <w:b w:val="1"/>
          <w:bCs w:val="1"/>
          <w:color w:val="003551"/>
        </w:rPr>
        <w:t>Non-Qualified Share Option</w:t>
      </w:r>
      <w:r>
        <w:rPr>
          <w:rFonts w:ascii="Arial" w:cs="Arial" w:eastAsia="Arial" w:hAnsi="Arial"/>
          <w:sz w:val="17"/>
          <w:szCs w:val="17"/>
          <w:color w:val="003551"/>
        </w:rPr>
        <w:t xml:space="preserve">” means an option representing the right to purchase Shares from the Company, granted pursuant to </w:t>
      </w:r>
      <w:r>
        <w:rPr>
          <w:rFonts w:ascii="Arial" w:cs="Arial" w:eastAsia="Arial" w:hAnsi="Arial"/>
          <w:sz w:val="17"/>
          <w:szCs w:val="17"/>
          <w:u w:val="single" w:color="auto"/>
          <w:color w:val="003551"/>
        </w:rPr>
        <w:t>Section 6</w:t>
      </w:r>
      <w:r>
        <w:rPr>
          <w:rFonts w:ascii="Arial" w:cs="Arial" w:eastAsia="Arial" w:hAnsi="Arial"/>
          <w:sz w:val="17"/>
          <w:szCs w:val="17"/>
          <w:color w:val="003551"/>
        </w:rPr>
        <w:t>, that is not an Incentive Stock Option.</w:t>
      </w:r>
    </w:p>
    <w:p>
      <w:pPr>
        <w:spacing w:after="0" w:line="71" w:lineRule="exact"/>
        <w:rPr>
          <w:sz w:val="20"/>
          <w:szCs w:val="20"/>
          <w:color w:val="auto"/>
        </w:rPr>
      </w:pPr>
    </w:p>
    <w:p>
      <w:pPr>
        <w:ind w:left="1280"/>
        <w:spacing w:after="0"/>
        <w:rPr>
          <w:sz w:val="20"/>
          <w:szCs w:val="20"/>
          <w:color w:val="auto"/>
        </w:rPr>
      </w:pPr>
      <w:r>
        <w:rPr>
          <w:rFonts w:ascii="Arial" w:cs="Arial" w:eastAsia="Arial" w:hAnsi="Arial"/>
          <w:sz w:val="17"/>
          <w:szCs w:val="17"/>
          <w:color w:val="003551"/>
        </w:rPr>
        <w:t>(r)   “</w:t>
      </w:r>
      <w:r>
        <w:rPr>
          <w:rFonts w:ascii="Arial" w:cs="Arial" w:eastAsia="Arial" w:hAnsi="Arial"/>
          <w:sz w:val="17"/>
          <w:szCs w:val="17"/>
          <w:b w:val="1"/>
          <w:bCs w:val="1"/>
          <w:color w:val="003551"/>
        </w:rPr>
        <w:t>Option</w:t>
      </w:r>
      <w:r>
        <w:rPr>
          <w:rFonts w:ascii="Arial" w:cs="Arial" w:eastAsia="Arial" w:hAnsi="Arial"/>
          <w:sz w:val="17"/>
          <w:szCs w:val="17"/>
          <w:color w:val="003551"/>
        </w:rPr>
        <w:t>” means an Incentive Stock Option or a Non-Qualified Share Option.</w:t>
      </w:r>
    </w:p>
    <w:p>
      <w:pPr>
        <w:spacing w:after="0" w:line="106" w:lineRule="exact"/>
        <w:rPr>
          <w:sz w:val="20"/>
          <w:szCs w:val="20"/>
          <w:color w:val="auto"/>
        </w:rPr>
      </w:pPr>
    </w:p>
    <w:p>
      <w:pPr>
        <w:ind w:left="1280" w:right="679"/>
        <w:spacing w:after="0" w:line="263" w:lineRule="auto"/>
        <w:rPr>
          <w:sz w:val="20"/>
          <w:szCs w:val="20"/>
          <w:color w:val="auto"/>
        </w:rPr>
      </w:pPr>
      <w:r>
        <w:rPr>
          <w:rFonts w:ascii="Arial" w:cs="Arial" w:eastAsia="Arial" w:hAnsi="Arial"/>
          <w:sz w:val="17"/>
          <w:szCs w:val="17"/>
          <w:color w:val="003551"/>
        </w:rPr>
        <w:t>(s)  “</w:t>
      </w:r>
      <w:r>
        <w:rPr>
          <w:rFonts w:ascii="Arial" w:cs="Arial" w:eastAsia="Arial" w:hAnsi="Arial"/>
          <w:sz w:val="17"/>
          <w:szCs w:val="17"/>
          <w:b w:val="1"/>
          <w:bCs w:val="1"/>
          <w:color w:val="003551"/>
        </w:rPr>
        <w:t>Other Cash-Based Award</w:t>
      </w:r>
      <w:r>
        <w:rPr>
          <w:rFonts w:ascii="Arial" w:cs="Arial" w:eastAsia="Arial" w:hAnsi="Arial"/>
          <w:sz w:val="17"/>
          <w:szCs w:val="17"/>
          <w:color w:val="003551"/>
        </w:rPr>
        <w:t xml:space="preserve">” means an Award granted pursuant to </w:t>
      </w:r>
      <w:r>
        <w:rPr>
          <w:rFonts w:ascii="Arial" w:cs="Arial" w:eastAsia="Arial" w:hAnsi="Arial"/>
          <w:sz w:val="17"/>
          <w:szCs w:val="17"/>
          <w:u w:val="single" w:color="auto"/>
          <w:color w:val="003551"/>
        </w:rPr>
        <w:t>Section 11</w:t>
      </w:r>
      <w:r>
        <w:rPr>
          <w:rFonts w:ascii="Arial" w:cs="Arial" w:eastAsia="Arial" w:hAnsi="Arial"/>
          <w:sz w:val="17"/>
          <w:szCs w:val="17"/>
          <w:color w:val="003551"/>
        </w:rPr>
        <w:t>, including cash awarded as a bonus or upon the attainment of specified performance criteria or otherwise as permitted under this Plan.</w:t>
      </w:r>
    </w:p>
    <w:p>
      <w:pPr>
        <w:spacing w:after="0" w:line="52" w:lineRule="exact"/>
        <w:rPr>
          <w:sz w:val="20"/>
          <w:szCs w:val="20"/>
          <w:color w:val="auto"/>
        </w:rPr>
      </w:pPr>
    </w:p>
    <w:p>
      <w:pPr>
        <w:ind w:left="1280" w:right="439"/>
        <w:spacing w:after="0" w:line="248" w:lineRule="auto"/>
        <w:rPr>
          <w:sz w:val="20"/>
          <w:szCs w:val="20"/>
          <w:color w:val="auto"/>
        </w:rPr>
      </w:pPr>
      <w:r>
        <w:rPr>
          <w:rFonts w:ascii="Arial" w:cs="Arial" w:eastAsia="Arial" w:hAnsi="Arial"/>
          <w:sz w:val="17"/>
          <w:szCs w:val="17"/>
          <w:color w:val="003551"/>
        </w:rPr>
        <w:t>(t)  “</w:t>
      </w:r>
      <w:r>
        <w:rPr>
          <w:rFonts w:ascii="Arial" w:cs="Arial" w:eastAsia="Arial" w:hAnsi="Arial"/>
          <w:sz w:val="17"/>
          <w:szCs w:val="17"/>
          <w:b w:val="1"/>
          <w:bCs w:val="1"/>
          <w:color w:val="003551"/>
        </w:rPr>
        <w:t>Other Share-Based Award</w:t>
      </w:r>
      <w:r>
        <w:rPr>
          <w:rFonts w:ascii="Arial" w:cs="Arial" w:eastAsia="Arial" w:hAnsi="Arial"/>
          <w:sz w:val="17"/>
          <w:szCs w:val="17"/>
          <w:color w:val="003551"/>
        </w:rPr>
        <w:t xml:space="preserve">” means an Award granted pursuant to </w:t>
      </w:r>
      <w:r>
        <w:rPr>
          <w:rFonts w:ascii="Arial" w:cs="Arial" w:eastAsia="Arial" w:hAnsi="Arial"/>
          <w:sz w:val="17"/>
          <w:szCs w:val="17"/>
          <w:u w:val="single" w:color="auto"/>
          <w:color w:val="003551"/>
        </w:rPr>
        <w:t>Section 11</w:t>
      </w:r>
      <w:r>
        <w:rPr>
          <w:rFonts w:ascii="Arial" w:cs="Arial" w:eastAsia="Arial" w:hAnsi="Arial"/>
          <w:sz w:val="17"/>
          <w:szCs w:val="17"/>
          <w:color w:val="003551"/>
        </w:rPr>
        <w:t xml:space="preserve"> that may be denominated or payable in, valued in whole or in part by reference to, or otherwise based on, or related to, Shares or factors that may influence the value of Shares, including convertible or exchangeable debt securities, other rights convertible or exchangeable into Shares, purchase rights for Shares, dividend rights or dividend equivalent rights or Awards with value and payment contingent upon performance of the Company or business units thereof or any other factors designated by the Board in its sole discretion.</w:t>
      </w:r>
    </w:p>
    <w:p>
      <w:pPr>
        <w:spacing w:after="0" w:line="105" w:lineRule="exact"/>
        <w:rPr>
          <w:sz w:val="20"/>
          <w:szCs w:val="20"/>
          <w:color w:val="auto"/>
        </w:rPr>
      </w:pPr>
    </w:p>
    <w:p>
      <w:pPr>
        <w:ind w:left="1280"/>
        <w:spacing w:after="0"/>
        <w:rPr>
          <w:sz w:val="20"/>
          <w:szCs w:val="20"/>
          <w:color w:val="auto"/>
        </w:rPr>
      </w:pPr>
      <w:r>
        <w:rPr>
          <w:rFonts w:ascii="Arial" w:cs="Arial" w:eastAsia="Arial" w:hAnsi="Arial"/>
          <w:sz w:val="17"/>
          <w:szCs w:val="17"/>
          <w:color w:val="003551"/>
        </w:rPr>
        <w:t>(u)   “</w:t>
      </w:r>
      <w:r>
        <w:rPr>
          <w:rFonts w:ascii="Arial" w:cs="Arial" w:eastAsia="Arial" w:hAnsi="Arial"/>
          <w:sz w:val="17"/>
          <w:szCs w:val="17"/>
          <w:b w:val="1"/>
          <w:bCs w:val="1"/>
          <w:color w:val="003551"/>
        </w:rPr>
        <w:t>Participant</w:t>
      </w:r>
      <w:r>
        <w:rPr>
          <w:rFonts w:ascii="Arial" w:cs="Arial" w:eastAsia="Arial" w:hAnsi="Arial"/>
          <w:sz w:val="17"/>
          <w:szCs w:val="17"/>
          <w:color w:val="003551"/>
        </w:rPr>
        <w:t>” means the recipient of an Award granted under this Plan.</w:t>
      </w:r>
    </w:p>
    <w:p>
      <w:pPr>
        <w:spacing w:after="0" w:line="132" w:lineRule="exact"/>
        <w:rPr>
          <w:sz w:val="20"/>
          <w:szCs w:val="20"/>
          <w:color w:val="auto"/>
        </w:rPr>
      </w:pPr>
    </w:p>
    <w:p>
      <w:pPr>
        <w:ind w:left="1280"/>
        <w:spacing w:after="0"/>
        <w:rPr>
          <w:sz w:val="20"/>
          <w:szCs w:val="20"/>
          <w:color w:val="auto"/>
        </w:rPr>
      </w:pPr>
      <w:r>
        <w:rPr>
          <w:rFonts w:ascii="Arial" w:cs="Arial" w:eastAsia="Arial" w:hAnsi="Arial"/>
          <w:sz w:val="17"/>
          <w:szCs w:val="17"/>
          <w:color w:val="003551"/>
        </w:rPr>
        <w:t>(v)   “</w:t>
      </w:r>
      <w:r>
        <w:rPr>
          <w:rFonts w:ascii="Arial" w:cs="Arial" w:eastAsia="Arial" w:hAnsi="Arial"/>
          <w:sz w:val="17"/>
          <w:szCs w:val="17"/>
          <w:b w:val="1"/>
          <w:bCs w:val="1"/>
          <w:color w:val="003551"/>
        </w:rPr>
        <w:t>Performance Award</w:t>
      </w:r>
      <w:r>
        <w:rPr>
          <w:rFonts w:ascii="Arial" w:cs="Arial" w:eastAsia="Arial" w:hAnsi="Arial"/>
          <w:sz w:val="17"/>
          <w:szCs w:val="17"/>
          <w:color w:val="003551"/>
        </w:rPr>
        <w:t xml:space="preserve">” means an Award granted pursuant to </w:t>
      </w:r>
      <w:r>
        <w:rPr>
          <w:rFonts w:ascii="Arial" w:cs="Arial" w:eastAsia="Arial" w:hAnsi="Arial"/>
          <w:sz w:val="17"/>
          <w:szCs w:val="17"/>
          <w:u w:val="single" w:color="auto"/>
          <w:color w:val="003551"/>
        </w:rPr>
        <w:t>Section 10</w:t>
      </w:r>
      <w:r>
        <w:rPr>
          <w:rFonts w:ascii="Arial" w:cs="Arial" w:eastAsia="Arial" w:hAnsi="Arial"/>
          <w:sz w:val="17"/>
          <w:szCs w:val="17"/>
          <w:color w:val="003551"/>
        </w:rPr>
        <w:t>.</w:t>
      </w:r>
    </w:p>
    <w:p>
      <w:pPr>
        <w:spacing w:after="0" w:line="106" w:lineRule="exact"/>
        <w:rPr>
          <w:sz w:val="20"/>
          <w:szCs w:val="20"/>
          <w:color w:val="auto"/>
        </w:rPr>
      </w:pPr>
    </w:p>
    <w:p>
      <w:pPr>
        <w:ind w:left="1280" w:right="539"/>
        <w:spacing w:after="0" w:line="263" w:lineRule="auto"/>
        <w:rPr>
          <w:sz w:val="20"/>
          <w:szCs w:val="20"/>
          <w:color w:val="auto"/>
        </w:rPr>
      </w:pPr>
      <w:r>
        <w:rPr>
          <w:rFonts w:ascii="Arial" w:cs="Arial" w:eastAsia="Arial" w:hAnsi="Arial"/>
          <w:sz w:val="17"/>
          <w:szCs w:val="17"/>
          <w:color w:val="003551"/>
        </w:rPr>
        <w:t>(w)  “</w:t>
      </w:r>
      <w:r>
        <w:rPr>
          <w:rFonts w:ascii="Arial" w:cs="Arial" w:eastAsia="Arial" w:hAnsi="Arial"/>
          <w:sz w:val="17"/>
          <w:szCs w:val="17"/>
          <w:b w:val="1"/>
          <w:bCs w:val="1"/>
          <w:color w:val="003551"/>
        </w:rPr>
        <w:t>Performance Period</w:t>
      </w:r>
      <w:r>
        <w:rPr>
          <w:rFonts w:ascii="Arial" w:cs="Arial" w:eastAsia="Arial" w:hAnsi="Arial"/>
          <w:sz w:val="17"/>
          <w:szCs w:val="17"/>
          <w:color w:val="003551"/>
        </w:rPr>
        <w:t>” means any period established by the Board with respect to any Performance Award during which the performance goals specified by the Board with respect to such Award are to be measured.</w:t>
      </w:r>
    </w:p>
    <w:p>
      <w:pPr>
        <w:spacing w:after="0" w:line="52" w:lineRule="exact"/>
        <w:rPr>
          <w:sz w:val="20"/>
          <w:szCs w:val="20"/>
          <w:color w:val="auto"/>
        </w:rPr>
      </w:pPr>
    </w:p>
    <w:p>
      <w:pPr>
        <w:jc w:val="both"/>
        <w:ind w:left="1280" w:right="779"/>
        <w:spacing w:after="0" w:line="286" w:lineRule="auto"/>
        <w:rPr>
          <w:sz w:val="20"/>
          <w:szCs w:val="20"/>
          <w:color w:val="auto"/>
        </w:rPr>
      </w:pPr>
      <w:r>
        <w:rPr>
          <w:rFonts w:ascii="Arial" w:cs="Arial" w:eastAsia="Arial" w:hAnsi="Arial"/>
          <w:sz w:val="17"/>
          <w:szCs w:val="17"/>
          <w:color w:val="003551"/>
        </w:rPr>
        <w:t>(x)  “</w:t>
      </w:r>
      <w:r>
        <w:rPr>
          <w:rFonts w:ascii="Arial" w:cs="Arial" w:eastAsia="Arial" w:hAnsi="Arial"/>
          <w:sz w:val="17"/>
          <w:szCs w:val="17"/>
          <w:b w:val="1"/>
          <w:bCs w:val="1"/>
          <w:color w:val="003551"/>
        </w:rPr>
        <w:t>Person</w:t>
      </w:r>
      <w:r>
        <w:rPr>
          <w:rFonts w:ascii="Arial" w:cs="Arial" w:eastAsia="Arial" w:hAnsi="Arial"/>
          <w:sz w:val="17"/>
          <w:szCs w:val="17"/>
          <w:color w:val="003551"/>
        </w:rPr>
        <w:t>” has the meaning ascribed to such term in Section 3(a)(9) of the Exchange Act and used in Sections 13(d) and 14(d) thereof, including a “group” as defined in Section 13(d)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81915</wp:posOffset>
            </wp:positionV>
            <wp:extent cx="6786880" cy="1651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6" w:right="1440"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80" w:right="739"/>
        <w:spacing w:after="0" w:line="286" w:lineRule="auto"/>
        <w:rPr>
          <w:sz w:val="20"/>
          <w:szCs w:val="20"/>
          <w:color w:val="auto"/>
        </w:rPr>
      </w:pPr>
      <w:r>
        <w:rPr>
          <w:rFonts w:ascii="Arial" w:cs="Arial" w:eastAsia="Arial" w:hAnsi="Arial"/>
          <w:sz w:val="17"/>
          <w:szCs w:val="17"/>
          <w:color w:val="003551"/>
        </w:rPr>
        <w:t>(y)  “</w:t>
      </w:r>
      <w:r>
        <w:rPr>
          <w:rFonts w:ascii="Arial" w:cs="Arial" w:eastAsia="Arial" w:hAnsi="Arial"/>
          <w:sz w:val="17"/>
          <w:szCs w:val="17"/>
          <w:b w:val="1"/>
          <w:bCs w:val="1"/>
          <w:color w:val="003551"/>
        </w:rPr>
        <w:t>Restricted Stock</w:t>
      </w:r>
      <w:r>
        <w:rPr>
          <w:rFonts w:ascii="Arial" w:cs="Arial" w:eastAsia="Arial" w:hAnsi="Arial"/>
          <w:sz w:val="17"/>
          <w:szCs w:val="17"/>
          <w:color w:val="003551"/>
        </w:rPr>
        <w:t xml:space="preserve">” means any Share subject to certain restrictions and forfeiture conditions, granted pursuant to </w:t>
      </w:r>
      <w:r>
        <w:rPr>
          <w:rFonts w:ascii="Arial" w:cs="Arial" w:eastAsia="Arial" w:hAnsi="Arial"/>
          <w:sz w:val="17"/>
          <w:szCs w:val="17"/>
          <w:u w:val="single" w:color="auto"/>
          <w:color w:val="003551"/>
        </w:rPr>
        <w:t>Section 8</w:t>
      </w:r>
      <w:r>
        <w:rPr>
          <w:rFonts w:ascii="Arial" w:cs="Arial" w:eastAsia="Arial" w:hAnsi="Arial"/>
          <w:sz w:val="17"/>
          <w:szCs w:val="17"/>
          <w:color w:val="003551"/>
        </w:rPr>
        <w:t>.</w:t>
      </w:r>
    </w:p>
    <w:p>
      <w:pPr>
        <w:spacing w:after="0" w:line="32" w:lineRule="exact"/>
        <w:rPr>
          <w:sz w:val="20"/>
          <w:szCs w:val="20"/>
          <w:color w:val="auto"/>
        </w:rPr>
      </w:pPr>
    </w:p>
    <w:p>
      <w:pPr>
        <w:jc w:val="both"/>
        <w:ind w:left="1280" w:right="479"/>
        <w:spacing w:after="0" w:line="263" w:lineRule="auto"/>
        <w:rPr>
          <w:sz w:val="20"/>
          <w:szCs w:val="20"/>
          <w:color w:val="auto"/>
        </w:rPr>
      </w:pPr>
      <w:r>
        <w:rPr>
          <w:rFonts w:ascii="Arial" w:cs="Arial" w:eastAsia="Arial" w:hAnsi="Arial"/>
          <w:sz w:val="17"/>
          <w:szCs w:val="17"/>
          <w:color w:val="003551"/>
        </w:rPr>
        <w:t>(z)  “</w:t>
      </w:r>
      <w:r>
        <w:rPr>
          <w:rFonts w:ascii="Arial" w:cs="Arial" w:eastAsia="Arial" w:hAnsi="Arial"/>
          <w:sz w:val="17"/>
          <w:szCs w:val="17"/>
          <w:b w:val="1"/>
          <w:bCs w:val="1"/>
          <w:color w:val="003551"/>
        </w:rPr>
        <w:t>Restricted Stock Unit</w:t>
      </w:r>
      <w:r>
        <w:rPr>
          <w:rFonts w:ascii="Arial" w:cs="Arial" w:eastAsia="Arial" w:hAnsi="Arial"/>
          <w:sz w:val="17"/>
          <w:szCs w:val="17"/>
          <w:color w:val="003551"/>
        </w:rPr>
        <w:t>” or “</w:t>
      </w:r>
      <w:r>
        <w:rPr>
          <w:rFonts w:ascii="Arial" w:cs="Arial" w:eastAsia="Arial" w:hAnsi="Arial"/>
          <w:sz w:val="17"/>
          <w:szCs w:val="17"/>
          <w:b w:val="1"/>
          <w:bCs w:val="1"/>
          <w:color w:val="003551"/>
        </w:rPr>
        <w:t>RSU</w:t>
      </w:r>
      <w:r>
        <w:rPr>
          <w:rFonts w:ascii="Arial" w:cs="Arial" w:eastAsia="Arial" w:hAnsi="Arial"/>
          <w:sz w:val="17"/>
          <w:szCs w:val="17"/>
          <w:color w:val="003551"/>
        </w:rPr>
        <w:t xml:space="preserve">” means a restricted stock unit consisting of a contractual right granted pursuant to </w:t>
      </w:r>
      <w:r>
        <w:rPr>
          <w:rFonts w:ascii="Arial" w:cs="Arial" w:eastAsia="Arial" w:hAnsi="Arial"/>
          <w:sz w:val="17"/>
          <w:szCs w:val="17"/>
          <w:u w:val="single" w:color="auto"/>
          <w:color w:val="003551"/>
        </w:rPr>
        <w:t>Section 9</w:t>
      </w:r>
      <w:r>
        <w:rPr>
          <w:rFonts w:ascii="Arial" w:cs="Arial" w:eastAsia="Arial" w:hAnsi="Arial"/>
          <w:sz w:val="17"/>
          <w:szCs w:val="17"/>
          <w:color w:val="003551"/>
        </w:rPr>
        <w:t xml:space="preserve"> that is denominated in Shares. Each RSU represents a right to receive the value of one Share (or a percentage of such value) in cash, Shares or a combination thereof.</w:t>
      </w:r>
    </w:p>
    <w:p>
      <w:pPr>
        <w:spacing w:after="0" w:line="52" w:lineRule="exact"/>
        <w:rPr>
          <w:sz w:val="20"/>
          <w:szCs w:val="20"/>
          <w:color w:val="auto"/>
        </w:rPr>
      </w:pPr>
    </w:p>
    <w:p>
      <w:pPr>
        <w:ind w:left="1280" w:right="459"/>
        <w:spacing w:after="0" w:line="256" w:lineRule="auto"/>
        <w:rPr>
          <w:sz w:val="20"/>
          <w:szCs w:val="20"/>
          <w:color w:val="auto"/>
        </w:rPr>
      </w:pPr>
      <w:r>
        <w:rPr>
          <w:rFonts w:ascii="Arial" w:cs="Arial" w:eastAsia="Arial" w:hAnsi="Arial"/>
          <w:sz w:val="17"/>
          <w:szCs w:val="17"/>
          <w:color w:val="003551"/>
        </w:rPr>
        <w:t>(aa)  “</w:t>
      </w:r>
      <w:r>
        <w:rPr>
          <w:rFonts w:ascii="Arial" w:cs="Arial" w:eastAsia="Arial" w:hAnsi="Arial"/>
          <w:sz w:val="17"/>
          <w:szCs w:val="17"/>
          <w:b w:val="1"/>
          <w:bCs w:val="1"/>
          <w:color w:val="003551"/>
        </w:rPr>
        <w:t>SAR</w:t>
      </w:r>
      <w:r>
        <w:rPr>
          <w:rFonts w:ascii="Arial" w:cs="Arial" w:eastAsia="Arial" w:hAnsi="Arial"/>
          <w:sz w:val="17"/>
          <w:szCs w:val="17"/>
          <w:color w:val="003551"/>
        </w:rPr>
        <w:t xml:space="preserve">” means stock appreciation right, being a right granted pursuant to </w:t>
      </w:r>
      <w:r>
        <w:rPr>
          <w:rFonts w:ascii="Arial" w:cs="Arial" w:eastAsia="Arial" w:hAnsi="Arial"/>
          <w:sz w:val="17"/>
          <w:szCs w:val="17"/>
          <w:u w:val="single" w:color="auto"/>
          <w:color w:val="003551"/>
        </w:rPr>
        <w:t>Section 7</w:t>
      </w:r>
      <w:r>
        <w:rPr>
          <w:rFonts w:ascii="Arial" w:cs="Arial" w:eastAsia="Arial" w:hAnsi="Arial"/>
          <w:sz w:val="17"/>
          <w:szCs w:val="17"/>
          <w:color w:val="003551"/>
        </w:rPr>
        <w:t xml:space="preserve"> to receive upon exercise by the Participant or settlement, in cash, Shares or a combination thereof, the excess of (i) the Fair Market Value of one Share on the date of exercise or settlement over (ii) the exercise or hurdle price of the right on the date of grant.</w:t>
      </w:r>
    </w:p>
    <w:p>
      <w:pPr>
        <w:spacing w:after="0" w:line="96" w:lineRule="exact"/>
        <w:rPr>
          <w:sz w:val="20"/>
          <w:szCs w:val="20"/>
          <w:color w:val="auto"/>
        </w:rPr>
      </w:pPr>
    </w:p>
    <w:p>
      <w:pPr>
        <w:ind w:left="1280"/>
        <w:spacing w:after="0"/>
        <w:rPr>
          <w:sz w:val="20"/>
          <w:szCs w:val="20"/>
          <w:color w:val="auto"/>
        </w:rPr>
      </w:pPr>
      <w:r>
        <w:rPr>
          <w:rFonts w:ascii="Arial" w:cs="Arial" w:eastAsia="Arial" w:hAnsi="Arial"/>
          <w:sz w:val="17"/>
          <w:szCs w:val="17"/>
          <w:color w:val="003551"/>
        </w:rPr>
        <w:t>(bb)   “</w:t>
      </w:r>
      <w:r>
        <w:rPr>
          <w:rFonts w:ascii="Arial" w:cs="Arial" w:eastAsia="Arial" w:hAnsi="Arial"/>
          <w:sz w:val="17"/>
          <w:szCs w:val="17"/>
          <w:b w:val="1"/>
          <w:bCs w:val="1"/>
          <w:color w:val="003551"/>
        </w:rPr>
        <w:t>Share</w:t>
      </w:r>
      <w:r>
        <w:rPr>
          <w:rFonts w:ascii="Arial" w:cs="Arial" w:eastAsia="Arial" w:hAnsi="Arial"/>
          <w:sz w:val="17"/>
          <w:szCs w:val="17"/>
          <w:color w:val="003551"/>
        </w:rPr>
        <w:t>” means an ordinary share of the Company, no par value.</w:t>
      </w:r>
    </w:p>
    <w:p>
      <w:pPr>
        <w:spacing w:after="0" w:line="106" w:lineRule="exact"/>
        <w:rPr>
          <w:sz w:val="20"/>
          <w:szCs w:val="20"/>
          <w:color w:val="auto"/>
        </w:rPr>
      </w:pPr>
    </w:p>
    <w:p>
      <w:pPr>
        <w:ind w:left="1280" w:right="479"/>
        <w:spacing w:after="0" w:line="256" w:lineRule="auto"/>
        <w:rPr>
          <w:sz w:val="20"/>
          <w:szCs w:val="20"/>
          <w:color w:val="auto"/>
        </w:rPr>
      </w:pPr>
      <w:r>
        <w:rPr>
          <w:rFonts w:ascii="Arial" w:cs="Arial" w:eastAsia="Arial" w:hAnsi="Arial"/>
          <w:sz w:val="17"/>
          <w:szCs w:val="17"/>
          <w:color w:val="003551"/>
        </w:rPr>
        <w:t>(cc)  “</w:t>
      </w:r>
      <w:r>
        <w:rPr>
          <w:rFonts w:ascii="Arial" w:cs="Arial" w:eastAsia="Arial" w:hAnsi="Arial"/>
          <w:sz w:val="17"/>
          <w:szCs w:val="17"/>
          <w:b w:val="1"/>
          <w:bCs w:val="1"/>
          <w:color w:val="003551"/>
        </w:rPr>
        <w:t>Subsidiary</w:t>
      </w:r>
      <w:r>
        <w:rPr>
          <w:rFonts w:ascii="Arial" w:cs="Arial" w:eastAsia="Arial" w:hAnsi="Arial"/>
          <w:sz w:val="17"/>
          <w:szCs w:val="17"/>
          <w:color w:val="003551"/>
        </w:rPr>
        <w:t>” means an entity of which the Company directly or indirectly holds all or a majority of the value of the outstanding equity interests of such entity or a majority of the voting power with respect to the voting securities of such entity. Whether employment by or service with a Subsidiary is included within the scope of the Plan shall be determined by the Board in its sole discretion.</w:t>
      </w:r>
    </w:p>
    <w:p>
      <w:pPr>
        <w:spacing w:after="0" w:line="57" w:lineRule="exact"/>
        <w:rPr>
          <w:sz w:val="20"/>
          <w:szCs w:val="20"/>
          <w:color w:val="auto"/>
        </w:rPr>
      </w:pPr>
    </w:p>
    <w:p>
      <w:pPr>
        <w:ind w:left="1280" w:right="579"/>
        <w:spacing w:after="0" w:line="263" w:lineRule="auto"/>
        <w:rPr>
          <w:sz w:val="20"/>
          <w:szCs w:val="20"/>
          <w:color w:val="auto"/>
        </w:rPr>
      </w:pPr>
      <w:r>
        <w:rPr>
          <w:rFonts w:ascii="Arial" w:cs="Arial" w:eastAsia="Arial" w:hAnsi="Arial"/>
          <w:sz w:val="17"/>
          <w:szCs w:val="17"/>
          <w:color w:val="003551"/>
        </w:rPr>
        <w:t>(dd)  “</w:t>
      </w:r>
      <w:r>
        <w:rPr>
          <w:rFonts w:ascii="Arial" w:cs="Arial" w:eastAsia="Arial" w:hAnsi="Arial"/>
          <w:sz w:val="17"/>
          <w:szCs w:val="17"/>
          <w:b w:val="1"/>
          <w:bCs w:val="1"/>
          <w:color w:val="003551"/>
        </w:rPr>
        <w:t>Substitute Award</w:t>
      </w:r>
      <w:r>
        <w:rPr>
          <w:rFonts w:ascii="Arial" w:cs="Arial" w:eastAsia="Arial" w:hAnsi="Arial"/>
          <w:sz w:val="17"/>
          <w:szCs w:val="17"/>
          <w:color w:val="003551"/>
        </w:rPr>
        <w:t>” means an Award granted in assumption of, or in substitution for, an outstanding award previously granted by a company or other business acquired by the Company or with which the Company combines.</w:t>
      </w:r>
    </w:p>
    <w:p>
      <w:pPr>
        <w:spacing w:after="0" w:line="52" w:lineRule="exact"/>
        <w:rPr>
          <w:sz w:val="20"/>
          <w:szCs w:val="20"/>
          <w:color w:val="auto"/>
        </w:rPr>
      </w:pPr>
    </w:p>
    <w:p>
      <w:pPr>
        <w:ind w:left="1280" w:right="379"/>
        <w:spacing w:after="0" w:line="244" w:lineRule="auto"/>
        <w:rPr>
          <w:sz w:val="20"/>
          <w:szCs w:val="20"/>
          <w:color w:val="auto"/>
        </w:rPr>
      </w:pPr>
      <w:r>
        <w:rPr>
          <w:rFonts w:ascii="Arial" w:cs="Arial" w:eastAsia="Arial" w:hAnsi="Arial"/>
          <w:sz w:val="17"/>
          <w:szCs w:val="17"/>
          <w:color w:val="003551"/>
        </w:rPr>
        <w:t>(ee)  “</w:t>
      </w:r>
      <w:r>
        <w:rPr>
          <w:rFonts w:ascii="Arial" w:cs="Arial" w:eastAsia="Arial" w:hAnsi="Arial"/>
          <w:sz w:val="17"/>
          <w:szCs w:val="17"/>
          <w:b w:val="1"/>
          <w:bCs w:val="1"/>
          <w:color w:val="003551"/>
        </w:rPr>
        <w:t>Termination of Service</w:t>
      </w:r>
      <w:r>
        <w:rPr>
          <w:rFonts w:ascii="Arial" w:cs="Arial" w:eastAsia="Arial" w:hAnsi="Arial"/>
          <w:sz w:val="17"/>
          <w:szCs w:val="17"/>
          <w:color w:val="003551"/>
        </w:rPr>
        <w:t xml:space="preserve">” means (i) in the case of a Participant who is an Employee, cessation of the employment relationship such that the Participant is no longer an employee of the Group, (ii) in the case of a Participant who is a Consultant, the expiration or termination of the contract for the performance of services for the Group, or (iii) in the case of a Participant who is a non-employee Director, the cessation of the relationship such that the Participant no longer holds office as a Director; </w:t>
      </w:r>
      <w:r>
        <w:rPr>
          <w:rFonts w:ascii="Arial" w:cs="Arial" w:eastAsia="Arial" w:hAnsi="Arial"/>
          <w:sz w:val="17"/>
          <w:szCs w:val="17"/>
          <w:i w:val="1"/>
          <w:iCs w:val="1"/>
          <w:color w:val="003551"/>
        </w:rPr>
        <w:t>provided</w:t>
      </w:r>
      <w:r>
        <w:rPr>
          <w:rFonts w:ascii="Arial" w:cs="Arial" w:eastAsia="Arial" w:hAnsi="Arial"/>
          <w:sz w:val="17"/>
          <w:szCs w:val="17"/>
          <w:color w:val="003551"/>
        </w:rPr>
        <w:t>,</w:t>
      </w:r>
      <w:r>
        <w:rPr>
          <w:rFonts w:ascii="Arial" w:cs="Arial" w:eastAsia="Arial" w:hAnsi="Arial"/>
          <w:sz w:val="17"/>
          <w:szCs w:val="17"/>
          <w:i w:val="1"/>
          <w:iCs w:val="1"/>
          <w:color w:val="003551"/>
        </w:rPr>
        <w:t xml:space="preserve"> however</w:t>
      </w:r>
      <w:r>
        <w:rPr>
          <w:rFonts w:ascii="Arial" w:cs="Arial" w:eastAsia="Arial" w:hAnsi="Arial"/>
          <w:sz w:val="17"/>
          <w:szCs w:val="17"/>
          <w:color w:val="003551"/>
        </w:rPr>
        <w:t>, that in the case of a Participant who is an Employee, the transfer of employment</w:t>
      </w:r>
      <w:r>
        <w:rPr>
          <w:rFonts w:ascii="Arial" w:cs="Arial" w:eastAsia="Arial" w:hAnsi="Arial"/>
          <w:sz w:val="17"/>
          <w:szCs w:val="17"/>
          <w:i w:val="1"/>
          <w:iCs w:val="1"/>
          <w:color w:val="003551"/>
        </w:rPr>
        <w:t xml:space="preserve"> </w:t>
      </w:r>
      <w:r>
        <w:rPr>
          <w:rFonts w:ascii="Arial" w:cs="Arial" w:eastAsia="Arial" w:hAnsi="Arial"/>
          <w:sz w:val="17"/>
          <w:szCs w:val="17"/>
          <w:color w:val="003551"/>
        </w:rPr>
        <w:t xml:space="preserve">from the Company to an Subsidiary, from a Subsidiary to the Company, from one Subsidiary to another Subsidiary or, unless the Board determines in its sole discretion otherwise, the cessation of employee status but the continuation of the performance of services for the Company or a Subsidiary as a Director or Consultant shall not be deemed a cessation of service that would constitute a Termination of Service; </w:t>
      </w:r>
      <w:r>
        <w:rPr>
          <w:rFonts w:ascii="Arial" w:cs="Arial" w:eastAsia="Arial" w:hAnsi="Arial"/>
          <w:sz w:val="17"/>
          <w:szCs w:val="17"/>
          <w:i w:val="1"/>
          <w:iCs w:val="1"/>
          <w:color w:val="003551"/>
        </w:rPr>
        <w:t>provided</w:t>
      </w:r>
      <w:r>
        <w:rPr>
          <w:rFonts w:ascii="Arial" w:cs="Arial" w:eastAsia="Arial" w:hAnsi="Arial"/>
          <w:sz w:val="17"/>
          <w:szCs w:val="17"/>
          <w:color w:val="003551"/>
        </w:rPr>
        <w:t xml:space="preserve">, </w:t>
      </w:r>
      <w:r>
        <w:rPr>
          <w:rFonts w:ascii="Arial" w:cs="Arial" w:eastAsia="Arial" w:hAnsi="Arial"/>
          <w:sz w:val="17"/>
          <w:szCs w:val="17"/>
          <w:i w:val="1"/>
          <w:iCs w:val="1"/>
          <w:color w:val="003551"/>
        </w:rPr>
        <w:t>further</w:t>
      </w:r>
      <w:r>
        <w:rPr>
          <w:rFonts w:ascii="Arial" w:cs="Arial" w:eastAsia="Arial" w:hAnsi="Arial"/>
          <w:sz w:val="17"/>
          <w:szCs w:val="17"/>
          <w:color w:val="003551"/>
        </w:rPr>
        <w:t>, that a Termination of Service shall be deemed to occur for a Participant employed by, or performing services for, a Subsidiary when such Subsidiary ceases to be a Subsidiary unless such Participant’s employment or service continues with the Company or another Subsidiary. Notwithstanding the foregoing, with respect to any Award subject to Section 409A (and not exempt therefrom), a Termination of Service occurs when a Participant experiences a “separation of service” (as such term is defined under Section 409A).</w:t>
      </w:r>
    </w:p>
    <w:p>
      <w:pPr>
        <w:spacing w:after="0" w:line="108"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003551"/>
        </w:rPr>
        <w:t>Section 3.   Eligibility</w:t>
      </w:r>
      <w:r>
        <w:rPr>
          <w:rFonts w:ascii="Arial" w:cs="Arial" w:eastAsia="Arial" w:hAnsi="Arial"/>
          <w:sz w:val="17"/>
          <w:szCs w:val="17"/>
          <w:color w:val="003551"/>
        </w:rPr>
        <w:t>.</w:t>
      </w:r>
    </w:p>
    <w:p>
      <w:pPr>
        <w:spacing w:after="0" w:line="108" w:lineRule="exact"/>
        <w:rPr>
          <w:sz w:val="20"/>
          <w:szCs w:val="20"/>
          <w:color w:val="auto"/>
        </w:rPr>
      </w:pPr>
    </w:p>
    <w:p>
      <w:pPr>
        <w:ind w:left="1280" w:right="499"/>
        <w:spacing w:after="0" w:line="249" w:lineRule="auto"/>
        <w:rPr>
          <w:sz w:val="20"/>
          <w:szCs w:val="20"/>
          <w:color w:val="auto"/>
        </w:rPr>
      </w:pPr>
      <w:r>
        <w:rPr>
          <w:rFonts w:ascii="Arial" w:cs="Arial" w:eastAsia="Arial" w:hAnsi="Arial"/>
          <w:sz w:val="17"/>
          <w:szCs w:val="17"/>
          <w:color w:val="003551"/>
        </w:rPr>
        <w:t>(a)  The Board may designate any of the following as a participant from time to time: any Employee, any non-employee Director, any Consultant or any trust or estate planning or other similar entity or vehicle controlled by any Employee, Director or Consultant, as determined or designated by the Board in its sole discretion, but only to the extent that an offer or receipt of an Award is permitted by applicable law, stock market or exchange rules and regulations or accounting or tax rules and regulations.</w:t>
      </w:r>
    </w:p>
    <w:p>
      <w:pPr>
        <w:spacing w:after="0" w:line="67" w:lineRule="exact"/>
        <w:rPr>
          <w:sz w:val="20"/>
          <w:szCs w:val="20"/>
          <w:color w:val="auto"/>
        </w:rPr>
      </w:pPr>
    </w:p>
    <w:p>
      <w:pPr>
        <w:ind w:left="1280" w:right="399"/>
        <w:spacing w:after="0" w:line="255" w:lineRule="auto"/>
        <w:rPr>
          <w:sz w:val="20"/>
          <w:szCs w:val="20"/>
          <w:color w:val="auto"/>
        </w:rPr>
      </w:pPr>
      <w:r>
        <w:rPr>
          <w:rFonts w:ascii="Arial" w:cs="Arial" w:eastAsia="Arial" w:hAnsi="Arial"/>
          <w:sz w:val="17"/>
          <w:szCs w:val="17"/>
          <w:color w:val="003551"/>
        </w:rPr>
        <w:t>(b)  Holders of equity compensation awards granted by a company that is acquired by the Company (or whose business is acquired by the Company) or with which the Company combines are eligible for grants of Substitute Awards under this Plan to the extent permitted under applicable regulations of any stock exchange on which the Company is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98425</wp:posOffset>
            </wp:positionV>
            <wp:extent cx="6786880" cy="1651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6" w:right="1440"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003551"/>
        </w:rPr>
        <w:t>Section 4.  Administration</w:t>
      </w:r>
      <w:r>
        <w:rPr>
          <w:rFonts w:ascii="Arial" w:cs="Arial" w:eastAsia="Arial" w:hAnsi="Arial"/>
          <w:sz w:val="17"/>
          <w:szCs w:val="17"/>
          <w:color w:val="003551"/>
        </w:rPr>
        <w:t>.</w:t>
      </w:r>
    </w:p>
    <w:p>
      <w:pPr>
        <w:spacing w:after="0" w:line="108" w:lineRule="exact"/>
        <w:rPr>
          <w:sz w:val="20"/>
          <w:szCs w:val="20"/>
          <w:color w:val="auto"/>
        </w:rPr>
      </w:pPr>
    </w:p>
    <w:p>
      <w:pPr>
        <w:ind w:left="1280" w:right="419"/>
        <w:spacing w:after="0" w:line="255" w:lineRule="auto"/>
        <w:rPr>
          <w:sz w:val="20"/>
          <w:szCs w:val="20"/>
          <w:color w:val="auto"/>
        </w:rPr>
      </w:pPr>
      <w:r>
        <w:rPr>
          <w:rFonts w:ascii="Arial" w:cs="Arial" w:eastAsia="Arial" w:hAnsi="Arial"/>
          <w:sz w:val="17"/>
          <w:szCs w:val="17"/>
          <w:color w:val="003551"/>
        </w:rPr>
        <w:t xml:space="preserve">(a)  </w:t>
      </w:r>
      <w:r>
        <w:rPr>
          <w:rFonts w:ascii="Arial" w:cs="Arial" w:eastAsia="Arial" w:hAnsi="Arial"/>
          <w:sz w:val="17"/>
          <w:szCs w:val="17"/>
          <w:i w:val="1"/>
          <w:iCs w:val="1"/>
          <w:color w:val="003551"/>
        </w:rPr>
        <w:t>Administration of this Plan</w:t>
      </w:r>
      <w:r>
        <w:rPr>
          <w:rFonts w:ascii="Arial" w:cs="Arial" w:eastAsia="Arial" w:hAnsi="Arial"/>
          <w:sz w:val="17"/>
          <w:szCs w:val="17"/>
          <w:color w:val="003551"/>
        </w:rPr>
        <w:t>. This Plan shall be administered by the Board in its sole discretion. All decisions of the Board shall be final, conclusive and binding upon all parties, including the Company, its shareholders, Participants and any Beneficiaries thereof. The Board may issue rules and regulations for administration of this Plan.</w:t>
      </w:r>
    </w:p>
    <w:p>
      <w:pPr>
        <w:spacing w:after="0" w:line="60" w:lineRule="exact"/>
        <w:rPr>
          <w:sz w:val="20"/>
          <w:szCs w:val="20"/>
          <w:color w:val="auto"/>
        </w:rPr>
      </w:pPr>
    </w:p>
    <w:p>
      <w:pPr>
        <w:ind w:left="1280" w:right="379"/>
        <w:spacing w:after="0" w:line="245" w:lineRule="auto"/>
        <w:rPr>
          <w:sz w:val="20"/>
          <w:szCs w:val="20"/>
          <w:color w:val="auto"/>
        </w:rPr>
      </w:pPr>
      <w:r>
        <w:rPr>
          <w:rFonts w:ascii="Arial" w:cs="Arial" w:eastAsia="Arial" w:hAnsi="Arial"/>
          <w:sz w:val="17"/>
          <w:szCs w:val="17"/>
          <w:color w:val="003551"/>
        </w:rPr>
        <w:t xml:space="preserve">(b)  </w:t>
      </w:r>
      <w:r>
        <w:rPr>
          <w:rFonts w:ascii="Arial" w:cs="Arial" w:eastAsia="Arial" w:hAnsi="Arial"/>
          <w:sz w:val="17"/>
          <w:szCs w:val="17"/>
          <w:i w:val="1"/>
          <w:iCs w:val="1"/>
          <w:color w:val="003551"/>
        </w:rPr>
        <w:t>Delegation of Authority</w:t>
      </w:r>
      <w:r>
        <w:rPr>
          <w:rFonts w:ascii="Arial" w:cs="Arial" w:eastAsia="Arial" w:hAnsi="Arial"/>
          <w:sz w:val="17"/>
          <w:szCs w:val="17"/>
          <w:color w:val="003551"/>
        </w:rPr>
        <w:t xml:space="preserve">. To the extent permitted by applicable law, the Board may delegate some or all of its authority under this Plan, including the authority to grant Options and SARs or other Awards, to a committee or subcommittees of the Board or to other persons or groups of persons as it deems necessary, appropriate or advisable under conditions or limitations that the Board may set at the time of the delegation; </w:t>
      </w:r>
      <w:r>
        <w:rPr>
          <w:rFonts w:ascii="Arial" w:cs="Arial" w:eastAsia="Arial" w:hAnsi="Arial"/>
          <w:sz w:val="17"/>
          <w:szCs w:val="17"/>
          <w:i w:val="1"/>
          <w:iCs w:val="1"/>
          <w:color w:val="003551"/>
        </w:rPr>
        <w:t>provided</w:t>
      </w:r>
      <w:r>
        <w:rPr>
          <w:rFonts w:ascii="Arial" w:cs="Arial" w:eastAsia="Arial" w:hAnsi="Arial"/>
          <w:sz w:val="17"/>
          <w:szCs w:val="17"/>
          <w:color w:val="003551"/>
        </w:rPr>
        <w:t xml:space="preserve"> that any such delegation shall not apply to any Award for a Person then covered by Section 16 of the Exchange Act unless it is a delegation to a committee of the Board composed of non-employee Directors (as defined in the regulations promulgated under Section 16 of the Exchange Act). The Board may, in its sole discretion, determine that any Awards under this Plan may be administered and/or held by a third-party custodian on behalf of participants. The Board may direct that all Awards and all Shares allocated or issuable in respect of such Awards are to be held by such third party (for example, under pooling arrangements).</w:t>
      </w:r>
    </w:p>
    <w:p>
      <w:pPr>
        <w:spacing w:after="0" w:line="71" w:lineRule="exact"/>
        <w:rPr>
          <w:sz w:val="20"/>
          <w:szCs w:val="20"/>
          <w:color w:val="auto"/>
        </w:rPr>
      </w:pPr>
    </w:p>
    <w:p>
      <w:pPr>
        <w:ind w:left="1280" w:right="379"/>
        <w:spacing w:after="0" w:line="244" w:lineRule="auto"/>
        <w:rPr>
          <w:sz w:val="20"/>
          <w:szCs w:val="20"/>
          <w:color w:val="auto"/>
        </w:rPr>
      </w:pPr>
      <w:r>
        <w:rPr>
          <w:rFonts w:ascii="Arial" w:cs="Arial" w:eastAsia="Arial" w:hAnsi="Arial"/>
          <w:sz w:val="17"/>
          <w:szCs w:val="17"/>
          <w:color w:val="003551"/>
        </w:rPr>
        <w:t xml:space="preserve">(c)  </w:t>
      </w:r>
      <w:r>
        <w:rPr>
          <w:rFonts w:ascii="Arial" w:cs="Arial" w:eastAsia="Arial" w:hAnsi="Arial"/>
          <w:sz w:val="17"/>
          <w:szCs w:val="17"/>
          <w:i w:val="1"/>
          <w:iCs w:val="1"/>
          <w:color w:val="003551"/>
        </w:rPr>
        <w:t>Authority of Board</w:t>
      </w:r>
      <w:r>
        <w:rPr>
          <w:rFonts w:ascii="Arial" w:cs="Arial" w:eastAsia="Arial" w:hAnsi="Arial"/>
          <w:sz w:val="17"/>
          <w:szCs w:val="17"/>
          <w:color w:val="003551"/>
        </w:rPr>
        <w:t>. Subject to the terms of this Plan and applicable law, the Board shall have full and sole discretion and authority to: (i) designate Participants; (ii) determine the type or types of Awards (including Substitute Awards) to be granted to each Participant under this Plan; (iii) determine the number of Shares to be covered by (or with respect to which payments, rights or other matters are to be calculated in connection with) Awards; (iv) determine the terms and conditions of any Award and prescribe the form of each Award Agreement, which need not be identical for each Participant;</w:t>
      </w:r>
    </w:p>
    <w:p>
      <w:pPr>
        <w:spacing w:after="0" w:line="2" w:lineRule="exact"/>
        <w:rPr>
          <w:sz w:val="20"/>
          <w:szCs w:val="20"/>
          <w:color w:val="auto"/>
        </w:rPr>
      </w:pPr>
    </w:p>
    <w:p>
      <w:pPr>
        <w:ind w:left="1280" w:right="459" w:firstLine="6"/>
        <w:spacing w:after="0" w:line="241" w:lineRule="auto"/>
        <w:tabs>
          <w:tab w:leader="none" w:pos="1532" w:val="left"/>
        </w:tabs>
        <w:numPr>
          <w:ilvl w:val="0"/>
          <w:numId w:val="216"/>
        </w:numPr>
        <w:rPr>
          <w:rFonts w:ascii="Arial" w:cs="Arial" w:eastAsia="Arial" w:hAnsi="Arial"/>
          <w:sz w:val="17"/>
          <w:szCs w:val="17"/>
          <w:color w:val="003551"/>
        </w:rPr>
      </w:pPr>
      <w:r>
        <w:rPr>
          <w:rFonts w:ascii="Arial" w:cs="Arial" w:eastAsia="Arial" w:hAnsi="Arial"/>
          <w:sz w:val="17"/>
          <w:szCs w:val="17"/>
          <w:color w:val="003551"/>
        </w:rPr>
        <w:t>determine whether, to what extent, under what circumstances and by which methods Awards may be settled or exercised in cash, Shares, other Awards, other property, net settlement (including broker-assisted cashless exercise), or any combination thereof, or canceled, forfeited or suspended;</w:t>
      </w:r>
    </w:p>
    <w:p>
      <w:pPr>
        <w:ind w:left="1280" w:right="399" w:firstLine="6"/>
        <w:spacing w:after="0" w:line="241" w:lineRule="auto"/>
        <w:tabs>
          <w:tab w:leader="none" w:pos="1571" w:val="left"/>
        </w:tabs>
        <w:numPr>
          <w:ilvl w:val="0"/>
          <w:numId w:val="216"/>
        </w:numPr>
        <w:rPr>
          <w:rFonts w:ascii="Arial" w:cs="Arial" w:eastAsia="Arial" w:hAnsi="Arial"/>
          <w:sz w:val="17"/>
          <w:szCs w:val="17"/>
          <w:color w:val="003551"/>
        </w:rPr>
      </w:pPr>
      <w:r>
        <w:rPr>
          <w:rFonts w:ascii="Arial" w:cs="Arial" w:eastAsia="Arial" w:hAnsi="Arial"/>
          <w:sz w:val="17"/>
          <w:szCs w:val="17"/>
          <w:color w:val="003551"/>
        </w:rPr>
        <w:t>determine whether, to what extent and under what circumstances cash, Shares, other Awards, other property and other amounts payable with respect to an Award under this Plan shall be deferred either automatically or at the election of the holder thereof or of the Board; (vii) amend terms or conditions of any outstanding Awards; (viii) correct any defect, supply any omission and reconcile any inconsistency in this Plan or any Award, in the manner and to the extent it shall deem desirable to carry this Plan into effect; (ix) interpret and administer this Plan and any instrument or agreement relating to, or Award made under, this Plan; (x) establish, amend, suspend or waive such rules and regulations and appoint such agents, trustees, brokers, depositories and advisors and determine such terms of their engagement as it shall deem appropriate for the proper administration of this Plan and due compliance with applicable law, stock market or exchange rules and regulations or accounting or tax rules and regulations; (xi) make any other determination and take any other action that the Board deems necessary or desirable, including for the administration of this Plan and due compliance with applicable law, stock market or exchange rules and regulations or accounting or tax rules and regulations; (xii) establish policies with respect to the timing and vesting conditions of Awards; and</w:t>
      </w:r>
    </w:p>
    <w:p>
      <w:pPr>
        <w:spacing w:after="0" w:line="2" w:lineRule="exact"/>
        <w:rPr>
          <w:rFonts w:ascii="Arial" w:cs="Arial" w:eastAsia="Arial" w:hAnsi="Arial"/>
          <w:sz w:val="17"/>
          <w:szCs w:val="17"/>
          <w:color w:val="003551"/>
        </w:rPr>
      </w:pPr>
    </w:p>
    <w:p>
      <w:pPr>
        <w:ind w:left="1660" w:hanging="374"/>
        <w:spacing w:after="0"/>
        <w:tabs>
          <w:tab w:leader="none" w:pos="1660" w:val="left"/>
        </w:tabs>
        <w:numPr>
          <w:ilvl w:val="0"/>
          <w:numId w:val="217"/>
        </w:numPr>
        <w:rPr>
          <w:rFonts w:ascii="Arial" w:cs="Arial" w:eastAsia="Arial" w:hAnsi="Arial"/>
          <w:sz w:val="17"/>
          <w:szCs w:val="17"/>
          <w:color w:val="003551"/>
        </w:rPr>
      </w:pPr>
      <w:r>
        <w:rPr>
          <w:rFonts w:ascii="Arial" w:cs="Arial" w:eastAsia="Arial" w:hAnsi="Arial"/>
          <w:sz w:val="17"/>
          <w:szCs w:val="17"/>
          <w:color w:val="003551"/>
        </w:rPr>
        <w:t>determine the Fair Market Value of Awards.</w:t>
      </w:r>
    </w:p>
    <w:p>
      <w:pPr>
        <w:spacing w:after="0" w:line="127"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003551"/>
        </w:rPr>
        <w:t>Section 5.   Shares Available for Awards</w:t>
      </w:r>
      <w:r>
        <w:rPr>
          <w:rFonts w:ascii="Arial" w:cs="Arial" w:eastAsia="Arial" w:hAnsi="Arial"/>
          <w:sz w:val="17"/>
          <w:szCs w:val="17"/>
          <w:color w:val="003551"/>
        </w:rPr>
        <w:t>.</w:t>
      </w:r>
    </w:p>
    <w:p>
      <w:pPr>
        <w:spacing w:after="0" w:line="108" w:lineRule="exact"/>
        <w:rPr>
          <w:sz w:val="20"/>
          <w:szCs w:val="20"/>
          <w:color w:val="auto"/>
        </w:rPr>
      </w:pPr>
    </w:p>
    <w:p>
      <w:pPr>
        <w:ind w:left="1280" w:right="479"/>
        <w:spacing w:after="0" w:line="283" w:lineRule="auto"/>
        <w:rPr>
          <w:sz w:val="20"/>
          <w:szCs w:val="20"/>
          <w:color w:val="auto"/>
        </w:rPr>
      </w:pPr>
      <w:r>
        <w:rPr>
          <w:rFonts w:ascii="Arial" w:cs="Arial" w:eastAsia="Arial" w:hAnsi="Arial"/>
          <w:sz w:val="17"/>
          <w:szCs w:val="17"/>
          <w:color w:val="003551"/>
        </w:rPr>
        <w:t xml:space="preserve">(a)  Subject to </w:t>
      </w:r>
      <w:r>
        <w:rPr>
          <w:rFonts w:ascii="Arial" w:cs="Arial" w:eastAsia="Arial" w:hAnsi="Arial"/>
          <w:sz w:val="17"/>
          <w:szCs w:val="17"/>
          <w:u w:val="single" w:color="auto"/>
          <w:color w:val="003551"/>
        </w:rPr>
        <w:t>Section 5(b)</w:t>
      </w:r>
      <w:r>
        <w:rPr>
          <w:rFonts w:ascii="Arial" w:cs="Arial" w:eastAsia="Arial" w:hAnsi="Arial"/>
          <w:sz w:val="17"/>
          <w:szCs w:val="17"/>
          <w:color w:val="003551"/>
        </w:rPr>
        <w:t xml:space="preserve">, </w:t>
      </w:r>
      <w:r>
        <w:rPr>
          <w:rFonts w:ascii="Arial" w:cs="Arial" w:eastAsia="Arial" w:hAnsi="Arial"/>
          <w:sz w:val="17"/>
          <w:szCs w:val="17"/>
          <w:u w:val="single" w:color="auto"/>
          <w:color w:val="003551"/>
        </w:rPr>
        <w:t>Section 5(d)</w:t>
      </w:r>
      <w:r>
        <w:rPr>
          <w:rFonts w:ascii="Arial" w:cs="Arial" w:eastAsia="Arial" w:hAnsi="Arial"/>
          <w:sz w:val="17"/>
          <w:szCs w:val="17"/>
          <w:color w:val="003551"/>
        </w:rPr>
        <w:t xml:space="preserve"> and except for Substitute Awards, the maximum number of Shares available for issuance under this Plan shall not exceed in the aggregate 17.5 million Shares.</w:t>
      </w:r>
    </w:p>
    <w:p>
      <w:pPr>
        <w:spacing w:after="0" w:line="37" w:lineRule="exact"/>
        <w:rPr>
          <w:sz w:val="20"/>
          <w:szCs w:val="20"/>
          <w:color w:val="auto"/>
        </w:rPr>
      </w:pPr>
    </w:p>
    <w:p>
      <w:pPr>
        <w:ind w:left="1280" w:right="499"/>
        <w:spacing w:after="0" w:line="249" w:lineRule="auto"/>
        <w:rPr>
          <w:sz w:val="20"/>
          <w:szCs w:val="20"/>
          <w:color w:val="auto"/>
        </w:rPr>
      </w:pPr>
      <w:r>
        <w:rPr>
          <w:rFonts w:ascii="Arial" w:cs="Arial" w:eastAsia="Arial" w:hAnsi="Arial"/>
          <w:sz w:val="17"/>
          <w:szCs w:val="17"/>
          <w:color w:val="003551"/>
        </w:rPr>
        <w:t>(b)  The total number of Shares available for issuance under this Plan shall be increased on the first day of each Company fiscal year following the Effective Date in an amount equal to the lesser of (i) 5% of the aggregate number of Shares outstanding (on a fully diluted basis) on the last day of the immediately preceding fiscal year and (ii) such number of Shares as determined by the Board in its sole discretion. Shares underlying Substitute Awards and Shares remaining available for grant under a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94615</wp:posOffset>
            </wp:positionV>
            <wp:extent cx="6786880" cy="1651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80" w:right="559"/>
        <w:spacing w:after="0" w:line="255" w:lineRule="auto"/>
        <w:rPr>
          <w:sz w:val="20"/>
          <w:szCs w:val="20"/>
          <w:color w:val="auto"/>
        </w:rPr>
      </w:pPr>
      <w:r>
        <w:rPr>
          <w:rFonts w:ascii="Arial" w:cs="Arial" w:eastAsia="Arial" w:hAnsi="Arial"/>
          <w:sz w:val="17"/>
          <w:szCs w:val="17"/>
          <w:color w:val="003551"/>
        </w:rPr>
        <w:t>of an acquired company or of a company with which the Company combines (whether by way of amalgamation, merger, sale and purchase of shares or other securities or otherwise), appropriately adjusted to reflect the acquisition or combination transaction, shall not reduce the number of Shares remaining available for grant hereunder.</w:t>
      </w:r>
    </w:p>
    <w:p>
      <w:pPr>
        <w:spacing w:after="0" w:line="60" w:lineRule="exact"/>
        <w:rPr>
          <w:sz w:val="20"/>
          <w:szCs w:val="20"/>
          <w:color w:val="auto"/>
        </w:rPr>
      </w:pPr>
    </w:p>
    <w:p>
      <w:pPr>
        <w:ind w:left="1280" w:right="499"/>
        <w:spacing w:after="0" w:line="248" w:lineRule="auto"/>
        <w:rPr>
          <w:sz w:val="20"/>
          <w:szCs w:val="20"/>
          <w:color w:val="auto"/>
        </w:rPr>
      </w:pPr>
      <w:r>
        <w:rPr>
          <w:rFonts w:ascii="Arial" w:cs="Arial" w:eastAsia="Arial" w:hAnsi="Arial"/>
          <w:sz w:val="17"/>
          <w:szCs w:val="17"/>
          <w:color w:val="003551"/>
        </w:rPr>
        <w:t>(c)  If any Award is forfeited, cancelled, expires, terminates, is settled in cash or other in-kind property instead of Shares, or otherwise lapses, in whole or in part, without the delivery of Shares, then the Shares covered by such forfeited, expired, terminated or lapsed, settled in cash or other in-kind property instead of Shares, Award shall again be available for grant under this Plan. The following shall also become available for issuance under this Plan: (i) any Shares withheld in respect of taxes relating to any Award and (ii) any Shares tendered or withheld to pay the exercise or hurdle price of Options or SARs.</w:t>
      </w:r>
    </w:p>
    <w:p>
      <w:pPr>
        <w:spacing w:after="0" w:line="66" w:lineRule="exact"/>
        <w:rPr>
          <w:sz w:val="20"/>
          <w:szCs w:val="20"/>
          <w:color w:val="auto"/>
        </w:rPr>
      </w:pPr>
    </w:p>
    <w:p>
      <w:pPr>
        <w:ind w:left="1280" w:right="399"/>
        <w:spacing w:after="0" w:line="245" w:lineRule="auto"/>
        <w:rPr>
          <w:sz w:val="20"/>
          <w:szCs w:val="20"/>
          <w:color w:val="auto"/>
        </w:rPr>
      </w:pPr>
      <w:r>
        <w:rPr>
          <w:rFonts w:ascii="Arial" w:cs="Arial" w:eastAsia="Arial" w:hAnsi="Arial"/>
          <w:sz w:val="17"/>
          <w:szCs w:val="17"/>
          <w:color w:val="003551"/>
        </w:rPr>
        <w:t xml:space="preserve">(d)  In the event that the Board determines, in its sole discretion, that, as a result of any extraordinary dividend or other extraordinary distribution (other than an ordinary dividend or distribution), recapitalization, share or stock split, reverse share or stock split, reorganization, merger, amalgamation, consolidation, separation, rights offering, split-up, spin-off, combination, repurchase or exchange of Shares or other securities of the Company, issuance of warrants or other rights to acquire Shares or other securities of the Company, issuance of Shares pursuant to the anti-dilution provisions of securities of the Company, or other similar corporate transaction or event affecting the Shares, or of changes in applicable laws, regulations or accounting principles, an adjustment is necessary in order to prevent dilution or enlargement of the benefits or potential benefits intended to be made available under this Plan, then the Board shall, subject to </w:t>
      </w:r>
      <w:r>
        <w:rPr>
          <w:rFonts w:ascii="Arial" w:cs="Arial" w:eastAsia="Arial" w:hAnsi="Arial"/>
          <w:sz w:val="17"/>
          <w:szCs w:val="17"/>
          <w:u w:val="single" w:color="auto"/>
          <w:color w:val="003551"/>
        </w:rPr>
        <w:t>Section 19</w:t>
      </w:r>
      <w:r>
        <w:rPr>
          <w:rFonts w:ascii="Arial" w:cs="Arial" w:eastAsia="Arial" w:hAnsi="Arial"/>
          <w:sz w:val="17"/>
          <w:szCs w:val="17"/>
          <w:color w:val="003551"/>
        </w:rPr>
        <w:t xml:space="preserve"> and applicable law, adjust equitably so as to ensure no undue enrichment or harm (including by payment of cash), any or all of:</w:t>
      </w:r>
    </w:p>
    <w:p>
      <w:pPr>
        <w:spacing w:after="0" w:line="267" w:lineRule="exact"/>
        <w:rPr>
          <w:sz w:val="20"/>
          <w:szCs w:val="20"/>
          <w:color w:val="auto"/>
        </w:rPr>
      </w:pPr>
    </w:p>
    <w:p>
      <w:pPr>
        <w:jc w:val="both"/>
        <w:ind w:left="1640" w:right="939"/>
        <w:spacing w:after="0" w:line="283" w:lineRule="auto"/>
        <w:rPr>
          <w:sz w:val="20"/>
          <w:szCs w:val="20"/>
          <w:color w:val="auto"/>
        </w:rPr>
      </w:pPr>
      <w:r>
        <w:rPr>
          <w:rFonts w:ascii="Arial" w:cs="Arial" w:eastAsia="Arial" w:hAnsi="Arial"/>
          <w:sz w:val="17"/>
          <w:szCs w:val="17"/>
          <w:color w:val="003551"/>
        </w:rPr>
        <w:t xml:space="preserve">(i)  the number and type of Shares (or other securities) which thereafter may be made the subject of Awards, including the aggregate limits specified in </w:t>
      </w:r>
      <w:r>
        <w:rPr>
          <w:rFonts w:ascii="Arial" w:cs="Arial" w:eastAsia="Arial" w:hAnsi="Arial"/>
          <w:sz w:val="17"/>
          <w:szCs w:val="17"/>
          <w:u w:val="single" w:color="auto"/>
          <w:color w:val="003551"/>
        </w:rPr>
        <w:t>Section 5(a)</w:t>
      </w:r>
      <w:r>
        <w:rPr>
          <w:rFonts w:ascii="Arial" w:cs="Arial" w:eastAsia="Arial" w:hAnsi="Arial"/>
          <w:sz w:val="17"/>
          <w:szCs w:val="17"/>
          <w:color w:val="003551"/>
        </w:rPr>
        <w:t xml:space="preserve"> and </w:t>
      </w:r>
      <w:r>
        <w:rPr>
          <w:rFonts w:ascii="Arial" w:cs="Arial" w:eastAsia="Arial" w:hAnsi="Arial"/>
          <w:sz w:val="17"/>
          <w:szCs w:val="17"/>
          <w:u w:val="single" w:color="auto"/>
          <w:color w:val="003551"/>
        </w:rPr>
        <w:t>Section 5(f)</w:t>
      </w:r>
      <w:r>
        <w:rPr>
          <w:rFonts w:ascii="Arial" w:cs="Arial" w:eastAsia="Arial" w:hAnsi="Arial"/>
          <w:sz w:val="17"/>
          <w:szCs w:val="17"/>
          <w:color w:val="003551"/>
        </w:rPr>
        <w:t>;</w:t>
      </w:r>
    </w:p>
    <w:p>
      <w:pPr>
        <w:spacing w:after="0" w:line="76"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(ii)   the number and type of Shares (or other securities) subject to outstanding Awards;</w:t>
      </w:r>
    </w:p>
    <w:p>
      <w:pPr>
        <w:spacing w:after="0" w:line="106" w:lineRule="exact"/>
        <w:rPr>
          <w:sz w:val="20"/>
          <w:szCs w:val="20"/>
          <w:color w:val="auto"/>
        </w:rPr>
      </w:pPr>
    </w:p>
    <w:p>
      <w:pPr>
        <w:ind w:left="1640" w:right="879"/>
        <w:spacing w:after="0" w:line="283" w:lineRule="auto"/>
        <w:rPr>
          <w:sz w:val="20"/>
          <w:szCs w:val="20"/>
          <w:color w:val="auto"/>
        </w:rPr>
      </w:pPr>
      <w:r>
        <w:rPr>
          <w:rFonts w:ascii="Arial" w:cs="Arial" w:eastAsia="Arial" w:hAnsi="Arial"/>
          <w:sz w:val="17"/>
          <w:szCs w:val="17"/>
          <w:color w:val="003551"/>
        </w:rPr>
        <w:t>(iii)  the grant, acquisition, exercise or hurdle price with respect to any Award or, if deemed appropriate, make provision for a cash payment to the holder of an outstanding Award; and</w:t>
      </w:r>
    </w:p>
    <w:p>
      <w:pPr>
        <w:spacing w:after="0" w:line="37" w:lineRule="exact"/>
        <w:rPr>
          <w:sz w:val="20"/>
          <w:szCs w:val="20"/>
          <w:color w:val="auto"/>
        </w:rPr>
      </w:pPr>
    </w:p>
    <w:p>
      <w:pPr>
        <w:ind w:left="1640" w:right="619"/>
        <w:spacing w:after="0" w:line="283" w:lineRule="auto"/>
        <w:rPr>
          <w:sz w:val="20"/>
          <w:szCs w:val="20"/>
          <w:color w:val="auto"/>
        </w:rPr>
      </w:pPr>
      <w:r>
        <w:rPr>
          <w:rFonts w:ascii="Arial" w:cs="Arial" w:eastAsia="Arial" w:hAnsi="Arial"/>
          <w:sz w:val="17"/>
          <w:szCs w:val="17"/>
          <w:color w:val="003551"/>
        </w:rPr>
        <w:t>(iv)  the terms and conditions of any outstanding Awards, including the performance criteria of any Performance Awards;</w:t>
      </w:r>
    </w:p>
    <w:p>
      <w:pPr>
        <w:spacing w:after="0" w:line="37" w:lineRule="exact"/>
        <w:rPr>
          <w:sz w:val="20"/>
          <w:szCs w:val="20"/>
          <w:color w:val="auto"/>
        </w:rPr>
      </w:pPr>
    </w:p>
    <w:p>
      <w:pPr>
        <w:ind w:left="1640" w:right="439"/>
        <w:spacing w:after="0" w:line="283" w:lineRule="auto"/>
        <w:rPr>
          <w:sz w:val="20"/>
          <w:szCs w:val="20"/>
          <w:color w:val="auto"/>
        </w:rPr>
      </w:pPr>
      <w:r>
        <w:rPr>
          <w:rFonts w:ascii="Arial" w:cs="Arial" w:eastAsia="Arial" w:hAnsi="Arial"/>
          <w:sz w:val="17"/>
          <w:szCs w:val="17"/>
          <w:i w:val="1"/>
          <w:iCs w:val="1"/>
          <w:color w:val="003551"/>
        </w:rPr>
        <w:t>provided</w:t>
      </w:r>
      <w:r>
        <w:rPr>
          <w:rFonts w:ascii="Arial" w:cs="Arial" w:eastAsia="Arial" w:hAnsi="Arial"/>
          <w:sz w:val="17"/>
          <w:szCs w:val="17"/>
          <w:color w:val="003551"/>
        </w:rPr>
        <w:t>,</w:t>
      </w:r>
      <w:r>
        <w:rPr>
          <w:rFonts w:ascii="Arial" w:cs="Arial" w:eastAsia="Arial" w:hAnsi="Arial"/>
          <w:sz w:val="17"/>
          <w:szCs w:val="17"/>
          <w:i w:val="1"/>
          <w:iCs w:val="1"/>
          <w:color w:val="003551"/>
        </w:rPr>
        <w:t xml:space="preserve"> however</w:t>
      </w:r>
      <w:r>
        <w:rPr>
          <w:rFonts w:ascii="Arial" w:cs="Arial" w:eastAsia="Arial" w:hAnsi="Arial"/>
          <w:sz w:val="17"/>
          <w:szCs w:val="17"/>
          <w:color w:val="003551"/>
        </w:rPr>
        <w:t>, that the number of Shares subject to any Award denominated in Shares shall</w:t>
      </w:r>
      <w:r>
        <w:rPr>
          <w:rFonts w:ascii="Arial" w:cs="Arial" w:eastAsia="Arial" w:hAnsi="Arial"/>
          <w:sz w:val="17"/>
          <w:szCs w:val="17"/>
          <w:i w:val="1"/>
          <w:iCs w:val="1"/>
          <w:color w:val="003551"/>
        </w:rPr>
        <w:t xml:space="preserve"> </w:t>
      </w:r>
      <w:r>
        <w:rPr>
          <w:rFonts w:ascii="Arial" w:cs="Arial" w:eastAsia="Arial" w:hAnsi="Arial"/>
          <w:sz w:val="17"/>
          <w:szCs w:val="17"/>
          <w:color w:val="003551"/>
        </w:rPr>
        <w:t>always be a whole number.</w:t>
      </w:r>
    </w:p>
    <w:p>
      <w:pPr>
        <w:spacing w:after="0" w:line="37" w:lineRule="exact"/>
        <w:rPr>
          <w:sz w:val="20"/>
          <w:szCs w:val="20"/>
          <w:color w:val="auto"/>
        </w:rPr>
      </w:pPr>
    </w:p>
    <w:p>
      <w:pPr>
        <w:ind w:left="1280" w:right="619"/>
        <w:spacing w:after="0" w:line="283" w:lineRule="auto"/>
        <w:rPr>
          <w:sz w:val="20"/>
          <w:szCs w:val="20"/>
          <w:color w:val="auto"/>
        </w:rPr>
      </w:pPr>
      <w:r>
        <w:rPr>
          <w:rFonts w:ascii="Arial" w:cs="Arial" w:eastAsia="Arial" w:hAnsi="Arial"/>
          <w:sz w:val="17"/>
          <w:szCs w:val="17"/>
          <w:color w:val="003551"/>
        </w:rPr>
        <w:t>(e)  Any Shares delivered pursuant to an Award may consist, in whole or in part, of authorized and unissued Shares, treasury Shares, nominee holdings, or Shares acquired by the Company.</w:t>
      </w:r>
    </w:p>
    <w:p>
      <w:pPr>
        <w:spacing w:after="0" w:line="37" w:lineRule="exact"/>
        <w:rPr>
          <w:sz w:val="20"/>
          <w:szCs w:val="20"/>
          <w:color w:val="auto"/>
        </w:rPr>
      </w:pPr>
    </w:p>
    <w:p>
      <w:pPr>
        <w:ind w:left="1280" w:right="419"/>
        <w:spacing w:after="0" w:line="262" w:lineRule="auto"/>
        <w:rPr>
          <w:sz w:val="20"/>
          <w:szCs w:val="20"/>
          <w:color w:val="auto"/>
        </w:rPr>
      </w:pPr>
      <w:r>
        <w:rPr>
          <w:rFonts w:ascii="Arial" w:cs="Arial" w:eastAsia="Arial" w:hAnsi="Arial"/>
          <w:sz w:val="17"/>
          <w:szCs w:val="17"/>
          <w:color w:val="003551"/>
        </w:rPr>
        <w:t xml:space="preserve">(f)  Subject to adjustment as provided in </w:t>
      </w:r>
      <w:r>
        <w:rPr>
          <w:rFonts w:ascii="Arial" w:cs="Arial" w:eastAsia="Arial" w:hAnsi="Arial"/>
          <w:sz w:val="17"/>
          <w:szCs w:val="17"/>
          <w:u w:val="single" w:color="auto"/>
          <w:color w:val="003551"/>
        </w:rPr>
        <w:t>Section 5(b)</w:t>
      </w:r>
      <w:r>
        <w:rPr>
          <w:rFonts w:ascii="Arial" w:cs="Arial" w:eastAsia="Arial" w:hAnsi="Arial"/>
          <w:sz w:val="17"/>
          <w:szCs w:val="17"/>
          <w:color w:val="003551"/>
        </w:rPr>
        <w:t xml:space="preserve">, </w:t>
      </w:r>
      <w:r>
        <w:rPr>
          <w:rFonts w:ascii="Arial" w:cs="Arial" w:eastAsia="Arial" w:hAnsi="Arial"/>
          <w:sz w:val="17"/>
          <w:szCs w:val="17"/>
          <w:u w:val="single" w:color="auto"/>
          <w:color w:val="003551"/>
        </w:rPr>
        <w:t>Section 5(d)</w:t>
      </w:r>
      <w:r>
        <w:rPr>
          <w:rFonts w:ascii="Arial" w:cs="Arial" w:eastAsia="Arial" w:hAnsi="Arial"/>
          <w:sz w:val="17"/>
          <w:szCs w:val="17"/>
          <w:color w:val="003551"/>
        </w:rPr>
        <w:t xml:space="preserve"> and except for Substitute Awards, the maximum number of Shares available for issuance with respect to Incentive Stock Options shall be 17.5 million Shares.</w:t>
      </w:r>
    </w:p>
    <w:p>
      <w:pPr>
        <w:spacing w:after="0" w:line="52" w:lineRule="exact"/>
        <w:rPr>
          <w:sz w:val="20"/>
          <w:szCs w:val="20"/>
          <w:color w:val="auto"/>
        </w:rPr>
      </w:pPr>
    </w:p>
    <w:p>
      <w:pPr>
        <w:ind w:left="940" w:right="679"/>
        <w:spacing w:after="0" w:line="263" w:lineRule="auto"/>
        <w:rPr>
          <w:sz w:val="20"/>
          <w:szCs w:val="20"/>
          <w:color w:val="auto"/>
        </w:rPr>
      </w:pPr>
      <w:r>
        <w:rPr>
          <w:rFonts w:ascii="Arial" w:cs="Arial" w:eastAsia="Arial" w:hAnsi="Arial"/>
          <w:sz w:val="17"/>
          <w:szCs w:val="17"/>
          <w:b w:val="1"/>
          <w:bCs w:val="1"/>
          <w:color w:val="003551"/>
        </w:rPr>
        <w:t>Section 6.  Options</w:t>
      </w:r>
      <w:r>
        <w:rPr>
          <w:rFonts w:ascii="Arial" w:cs="Arial" w:eastAsia="Arial" w:hAnsi="Arial"/>
          <w:sz w:val="17"/>
          <w:szCs w:val="17"/>
          <w:color w:val="003551"/>
        </w:rPr>
        <w:t>. The Board is authorized to grant Options to Participants with the following terms</w:t>
      </w:r>
      <w:r>
        <w:rPr>
          <w:rFonts w:ascii="Arial" w:cs="Arial" w:eastAsia="Arial" w:hAnsi="Arial"/>
          <w:sz w:val="17"/>
          <w:szCs w:val="17"/>
          <w:b w:val="1"/>
          <w:bCs w:val="1"/>
          <w:color w:val="003551"/>
        </w:rPr>
        <w:t xml:space="preserve"> </w:t>
      </w:r>
      <w:r>
        <w:rPr>
          <w:rFonts w:ascii="Arial" w:cs="Arial" w:eastAsia="Arial" w:hAnsi="Arial"/>
          <w:sz w:val="17"/>
          <w:szCs w:val="17"/>
          <w:color w:val="003551"/>
        </w:rPr>
        <w:t>and conditions and with such additional terms and conditions, in either case not inconsistent with the provisions of this Plan, as the Board shall determine in its sole discretion.</w:t>
      </w:r>
    </w:p>
    <w:p>
      <w:pPr>
        <w:spacing w:after="0" w:line="54" w:lineRule="exact"/>
        <w:rPr>
          <w:sz w:val="20"/>
          <w:szCs w:val="20"/>
          <w:color w:val="auto"/>
        </w:rPr>
      </w:pPr>
    </w:p>
    <w:p>
      <w:pPr>
        <w:ind w:left="1280" w:right="479"/>
        <w:spacing w:after="0" w:line="255" w:lineRule="auto"/>
        <w:rPr>
          <w:sz w:val="20"/>
          <w:szCs w:val="20"/>
          <w:color w:val="auto"/>
        </w:rPr>
      </w:pPr>
      <w:r>
        <w:rPr>
          <w:rFonts w:ascii="Arial" w:cs="Arial" w:eastAsia="Arial" w:hAnsi="Arial"/>
          <w:sz w:val="17"/>
          <w:szCs w:val="17"/>
          <w:color w:val="003551"/>
        </w:rPr>
        <w:t xml:space="preserve">(a)  The exercise price per Share under an Option shall be determined by the Board in its sole discretion at the time of grant; </w:t>
      </w:r>
      <w:r>
        <w:rPr>
          <w:rFonts w:ascii="Arial" w:cs="Arial" w:eastAsia="Arial" w:hAnsi="Arial"/>
          <w:sz w:val="17"/>
          <w:szCs w:val="17"/>
          <w:i w:val="1"/>
          <w:iCs w:val="1"/>
          <w:color w:val="003551"/>
        </w:rPr>
        <w:t>provided, however</w:t>
      </w:r>
      <w:r>
        <w:rPr>
          <w:rFonts w:ascii="Arial" w:cs="Arial" w:eastAsia="Arial" w:hAnsi="Arial"/>
          <w:sz w:val="17"/>
          <w:szCs w:val="17"/>
          <w:color w:val="003551"/>
        </w:rPr>
        <w:t>, that, except in the case of Substitute Awards, such exercise price shall not be less than the Fair Market Value of a Share on the date of grant of such Option.</w:t>
      </w:r>
    </w:p>
    <w:p>
      <w:pPr>
        <w:spacing w:after="0" w:line="60" w:lineRule="exact"/>
        <w:rPr>
          <w:sz w:val="20"/>
          <w:szCs w:val="20"/>
          <w:color w:val="auto"/>
        </w:rPr>
      </w:pPr>
    </w:p>
    <w:p>
      <w:pPr>
        <w:ind w:left="1280" w:right="379"/>
        <w:spacing w:after="0" w:line="262" w:lineRule="auto"/>
        <w:rPr>
          <w:sz w:val="20"/>
          <w:szCs w:val="20"/>
          <w:color w:val="auto"/>
        </w:rPr>
      </w:pPr>
      <w:r>
        <w:rPr>
          <w:rFonts w:ascii="Arial" w:cs="Arial" w:eastAsia="Arial" w:hAnsi="Arial"/>
          <w:sz w:val="17"/>
          <w:szCs w:val="17"/>
          <w:color w:val="003551"/>
        </w:rPr>
        <w:t>(b)  The term of each Option shall be fixed by the Board in its sole discretion. The Board shall determine, in its sole discretion, the time or times at which an Option becomes vested and exercisable in whole or in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86360</wp:posOffset>
            </wp:positionV>
            <wp:extent cx="6786880" cy="1651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80" w:right="439"/>
        <w:spacing w:after="0" w:line="251" w:lineRule="auto"/>
        <w:rPr>
          <w:sz w:val="20"/>
          <w:szCs w:val="20"/>
          <w:color w:val="auto"/>
        </w:rPr>
      </w:pPr>
      <w:r>
        <w:rPr>
          <w:rFonts w:ascii="Arial" w:cs="Arial" w:eastAsia="Arial" w:hAnsi="Arial"/>
          <w:sz w:val="17"/>
          <w:szCs w:val="17"/>
          <w:color w:val="003551"/>
        </w:rPr>
        <w:t>(c)  The Board shall determine, in its sole discretion, the methods by which, and the forms in which payment of the exercise price with respect thereto may be made or deemed to have been made, including cash, Shares, other Awards, other property, net settlement (including broker-assisted cashless exercise) or any combination thereof, having a Fair Market Value on the exercise date equal to the relevant exercise price.</w:t>
      </w:r>
    </w:p>
    <w:p>
      <w:pPr>
        <w:spacing w:after="0" w:line="65" w:lineRule="exact"/>
        <w:rPr>
          <w:sz w:val="20"/>
          <w:szCs w:val="20"/>
          <w:color w:val="auto"/>
        </w:rPr>
      </w:pPr>
    </w:p>
    <w:p>
      <w:pPr>
        <w:ind w:left="1280" w:right="459"/>
        <w:spacing w:after="0" w:line="262" w:lineRule="auto"/>
        <w:rPr>
          <w:sz w:val="20"/>
          <w:szCs w:val="20"/>
          <w:color w:val="auto"/>
        </w:rPr>
      </w:pPr>
      <w:r>
        <w:rPr>
          <w:rFonts w:ascii="Arial" w:cs="Arial" w:eastAsia="Arial" w:hAnsi="Arial"/>
          <w:sz w:val="17"/>
          <w:szCs w:val="17"/>
          <w:color w:val="003551"/>
        </w:rPr>
        <w:t xml:space="preserve">(d)  No grant of Options may be accompanied by a tandem award of dividend equivalents or provide for dividends, dividend equivalents or other distributions to be paid on such Options (except as provided under </w:t>
      </w:r>
      <w:r>
        <w:rPr>
          <w:rFonts w:ascii="Arial" w:cs="Arial" w:eastAsia="Arial" w:hAnsi="Arial"/>
          <w:sz w:val="17"/>
          <w:szCs w:val="17"/>
          <w:u w:val="single" w:color="auto"/>
          <w:color w:val="003551"/>
        </w:rPr>
        <w:t>Section 5(d)</w:t>
      </w:r>
      <w:r>
        <w:rPr>
          <w:rFonts w:ascii="Arial" w:cs="Arial" w:eastAsia="Arial" w:hAnsi="Arial"/>
          <w:sz w:val="17"/>
          <w:szCs w:val="17"/>
          <w:color w:val="003551"/>
        </w:rPr>
        <w:t>).</w:t>
      </w:r>
    </w:p>
    <w:p>
      <w:pPr>
        <w:spacing w:after="0" w:line="54" w:lineRule="exact"/>
        <w:rPr>
          <w:sz w:val="20"/>
          <w:szCs w:val="20"/>
          <w:color w:val="auto"/>
        </w:rPr>
      </w:pPr>
    </w:p>
    <w:p>
      <w:pPr>
        <w:jc w:val="both"/>
        <w:ind w:left="1280" w:right="419"/>
        <w:spacing w:after="0" w:line="262" w:lineRule="auto"/>
        <w:rPr>
          <w:sz w:val="20"/>
          <w:szCs w:val="20"/>
          <w:color w:val="auto"/>
        </w:rPr>
      </w:pPr>
      <w:r>
        <w:rPr>
          <w:rFonts w:ascii="Arial" w:cs="Arial" w:eastAsia="Arial" w:hAnsi="Arial"/>
          <w:sz w:val="17"/>
          <w:szCs w:val="17"/>
          <w:color w:val="003551"/>
        </w:rPr>
        <w:t>(e)  The terms of any Incentive Stock Option granted under this Plan shall comply in all respects with the provisions of Section 422 of the Code. Incentive Stock Options may be granted only to employees of the Company or of a parent or subsidiary corporation (as defined in Section 424 of the Code).</w:t>
      </w:r>
    </w:p>
    <w:p>
      <w:pPr>
        <w:spacing w:after="0" w:line="52" w:lineRule="exact"/>
        <w:rPr>
          <w:sz w:val="20"/>
          <w:szCs w:val="20"/>
          <w:color w:val="auto"/>
        </w:rPr>
      </w:pPr>
    </w:p>
    <w:p>
      <w:pPr>
        <w:ind w:left="940" w:right="519"/>
        <w:spacing w:after="0" w:line="263" w:lineRule="auto"/>
        <w:rPr>
          <w:sz w:val="20"/>
          <w:szCs w:val="20"/>
          <w:color w:val="auto"/>
        </w:rPr>
      </w:pPr>
      <w:r>
        <w:rPr>
          <w:rFonts w:ascii="Arial" w:cs="Arial" w:eastAsia="Arial" w:hAnsi="Arial"/>
          <w:sz w:val="17"/>
          <w:szCs w:val="17"/>
          <w:b w:val="1"/>
          <w:bCs w:val="1"/>
          <w:color w:val="003551"/>
        </w:rPr>
        <w:t>Section 7.  Share Appreciation Rights</w:t>
      </w:r>
      <w:r>
        <w:rPr>
          <w:rFonts w:ascii="Arial" w:cs="Arial" w:eastAsia="Arial" w:hAnsi="Arial"/>
          <w:sz w:val="17"/>
          <w:szCs w:val="17"/>
          <w:color w:val="003551"/>
        </w:rPr>
        <w:t>. The Board is authorized to grant SARs to Participants with the</w:t>
      </w:r>
      <w:r>
        <w:rPr>
          <w:rFonts w:ascii="Arial" w:cs="Arial" w:eastAsia="Arial" w:hAnsi="Arial"/>
          <w:sz w:val="17"/>
          <w:szCs w:val="17"/>
          <w:b w:val="1"/>
          <w:bCs w:val="1"/>
          <w:color w:val="003551"/>
        </w:rPr>
        <w:t xml:space="preserve"> </w:t>
      </w:r>
      <w:r>
        <w:rPr>
          <w:rFonts w:ascii="Arial" w:cs="Arial" w:eastAsia="Arial" w:hAnsi="Arial"/>
          <w:sz w:val="17"/>
          <w:szCs w:val="17"/>
          <w:color w:val="003551"/>
        </w:rPr>
        <w:t>following terms and conditions and with such additional terms and conditions, in either case not inconsistent with the provisions of this Plan, as the Board shall determine in its sole discretion.</w:t>
      </w:r>
    </w:p>
    <w:p>
      <w:pPr>
        <w:spacing w:after="0" w:line="54" w:lineRule="exact"/>
        <w:rPr>
          <w:sz w:val="20"/>
          <w:szCs w:val="20"/>
          <w:color w:val="auto"/>
        </w:rPr>
      </w:pPr>
    </w:p>
    <w:p>
      <w:pPr>
        <w:jc w:val="both"/>
        <w:ind w:left="1280" w:right="479"/>
        <w:spacing w:after="0" w:line="262" w:lineRule="auto"/>
        <w:rPr>
          <w:sz w:val="20"/>
          <w:szCs w:val="20"/>
          <w:color w:val="auto"/>
        </w:rPr>
      </w:pPr>
      <w:r>
        <w:rPr>
          <w:rFonts w:ascii="Arial" w:cs="Arial" w:eastAsia="Arial" w:hAnsi="Arial"/>
          <w:sz w:val="17"/>
          <w:szCs w:val="17"/>
          <w:color w:val="003551"/>
        </w:rPr>
        <w:t xml:space="preserve">(a)  SARs may be granted under this Plan to Participants either alone (“freestanding”) or in addition to other Awards granted under this Plan (“tandem”) and may, but need not, relate to a specific Option granted under </w:t>
      </w:r>
      <w:r>
        <w:rPr>
          <w:rFonts w:ascii="Arial" w:cs="Arial" w:eastAsia="Arial" w:hAnsi="Arial"/>
          <w:sz w:val="17"/>
          <w:szCs w:val="17"/>
          <w:u w:val="single" w:color="auto"/>
          <w:color w:val="003551"/>
        </w:rPr>
        <w:t>Section 6</w:t>
      </w:r>
      <w:r>
        <w:rPr>
          <w:rFonts w:ascii="Arial" w:cs="Arial" w:eastAsia="Arial" w:hAnsi="Arial"/>
          <w:sz w:val="17"/>
          <w:szCs w:val="17"/>
          <w:color w:val="003551"/>
        </w:rPr>
        <w:t>.</w:t>
      </w:r>
    </w:p>
    <w:p>
      <w:pPr>
        <w:spacing w:after="0" w:line="54" w:lineRule="exact"/>
        <w:rPr>
          <w:sz w:val="20"/>
          <w:szCs w:val="20"/>
          <w:color w:val="auto"/>
        </w:rPr>
      </w:pPr>
    </w:p>
    <w:p>
      <w:pPr>
        <w:jc w:val="both"/>
        <w:ind w:left="1280" w:right="459"/>
        <w:spacing w:after="0" w:line="262" w:lineRule="auto"/>
        <w:rPr>
          <w:sz w:val="20"/>
          <w:szCs w:val="20"/>
          <w:color w:val="auto"/>
        </w:rPr>
      </w:pPr>
      <w:r>
        <w:rPr>
          <w:rFonts w:ascii="Arial" w:cs="Arial" w:eastAsia="Arial" w:hAnsi="Arial"/>
          <w:sz w:val="17"/>
          <w:szCs w:val="17"/>
          <w:color w:val="003551"/>
        </w:rPr>
        <w:t xml:space="preserve">(b)  The exercise or hurdle price per Share under a SAR shall be determined by the Board in its sole discretion; </w:t>
      </w:r>
      <w:r>
        <w:rPr>
          <w:rFonts w:ascii="Arial" w:cs="Arial" w:eastAsia="Arial" w:hAnsi="Arial"/>
          <w:sz w:val="17"/>
          <w:szCs w:val="17"/>
          <w:i w:val="1"/>
          <w:iCs w:val="1"/>
          <w:color w:val="003551"/>
        </w:rPr>
        <w:t>provided, however</w:t>
      </w:r>
      <w:r>
        <w:rPr>
          <w:rFonts w:ascii="Arial" w:cs="Arial" w:eastAsia="Arial" w:hAnsi="Arial"/>
          <w:sz w:val="17"/>
          <w:szCs w:val="17"/>
          <w:color w:val="003551"/>
        </w:rPr>
        <w:t>, that, except in the case of Substitute Awards, such exercise or hurdle price shall not be less than the Fair Market Value of a Share on the date of grant of such SAR.</w:t>
      </w:r>
    </w:p>
    <w:p>
      <w:pPr>
        <w:spacing w:after="0" w:line="54" w:lineRule="exact"/>
        <w:rPr>
          <w:sz w:val="20"/>
          <w:szCs w:val="20"/>
          <w:color w:val="auto"/>
        </w:rPr>
      </w:pPr>
    </w:p>
    <w:p>
      <w:pPr>
        <w:ind w:left="1280" w:right="419"/>
        <w:spacing w:after="0" w:line="262" w:lineRule="auto"/>
        <w:rPr>
          <w:sz w:val="20"/>
          <w:szCs w:val="20"/>
          <w:color w:val="auto"/>
        </w:rPr>
      </w:pPr>
      <w:r>
        <w:rPr>
          <w:rFonts w:ascii="Arial" w:cs="Arial" w:eastAsia="Arial" w:hAnsi="Arial"/>
          <w:sz w:val="17"/>
          <w:szCs w:val="17"/>
          <w:color w:val="003551"/>
        </w:rPr>
        <w:t>(c)  The term of each SAR shall be fixed by the Board but shall not exceed ten (10) years from the date of grant of such SAR. The Board shall determine, in its sole discretion, the time or times at which a SAR may be exercised or settled in whole or in part.</w:t>
      </w:r>
    </w:p>
    <w:p>
      <w:pPr>
        <w:spacing w:after="0" w:line="54" w:lineRule="exact"/>
        <w:rPr>
          <w:sz w:val="20"/>
          <w:szCs w:val="20"/>
          <w:color w:val="auto"/>
        </w:rPr>
      </w:pPr>
    </w:p>
    <w:p>
      <w:pPr>
        <w:ind w:left="1280" w:right="639"/>
        <w:spacing w:after="0" w:line="251" w:lineRule="auto"/>
        <w:rPr>
          <w:sz w:val="20"/>
          <w:szCs w:val="20"/>
          <w:color w:val="auto"/>
        </w:rPr>
      </w:pPr>
      <w:r>
        <w:rPr>
          <w:rFonts w:ascii="Arial" w:cs="Arial" w:eastAsia="Arial" w:hAnsi="Arial"/>
          <w:sz w:val="17"/>
          <w:szCs w:val="17"/>
          <w:color w:val="003551"/>
        </w:rPr>
        <w:t>(d)  Upon the exercise of a SAR, the Company shall pay to the Participant an amount equal to the number of Shares subject to the SAR multiplied by the excess, if any, of the Fair Market Value of one Share on the exercise date over the exercise or hurdle price of such SAR. The Company shall pay such excess in cash, in Shares valued at Fair Market Value, or any combination thereof, as determined by the Board in its sole discretion.</w:t>
      </w:r>
    </w:p>
    <w:p>
      <w:pPr>
        <w:spacing w:after="0" w:line="65" w:lineRule="exact"/>
        <w:rPr>
          <w:sz w:val="20"/>
          <w:szCs w:val="20"/>
          <w:color w:val="auto"/>
        </w:rPr>
      </w:pPr>
    </w:p>
    <w:p>
      <w:pPr>
        <w:ind w:left="1280" w:right="419"/>
        <w:spacing w:after="0" w:line="262" w:lineRule="auto"/>
        <w:rPr>
          <w:sz w:val="20"/>
          <w:szCs w:val="20"/>
          <w:color w:val="auto"/>
        </w:rPr>
      </w:pPr>
      <w:r>
        <w:rPr>
          <w:rFonts w:ascii="Arial" w:cs="Arial" w:eastAsia="Arial" w:hAnsi="Arial"/>
          <w:sz w:val="17"/>
          <w:szCs w:val="17"/>
          <w:color w:val="003551"/>
        </w:rPr>
        <w:t xml:space="preserve">(e)  No grant of SARs may be accompanied by a tandem award of dividend equivalents or provide for dividends, dividend equivalents or other distributions to be paid on such SARs (except as provided under </w:t>
      </w:r>
      <w:r>
        <w:rPr>
          <w:rFonts w:ascii="Arial" w:cs="Arial" w:eastAsia="Arial" w:hAnsi="Arial"/>
          <w:sz w:val="17"/>
          <w:szCs w:val="17"/>
          <w:u w:val="single" w:color="auto"/>
          <w:color w:val="003551"/>
        </w:rPr>
        <w:t>Section 5(d)</w:t>
      </w:r>
      <w:r>
        <w:rPr>
          <w:rFonts w:ascii="Arial" w:cs="Arial" w:eastAsia="Arial" w:hAnsi="Arial"/>
          <w:sz w:val="17"/>
          <w:szCs w:val="17"/>
          <w:color w:val="003551"/>
        </w:rPr>
        <w:t>).</w:t>
      </w:r>
    </w:p>
    <w:p>
      <w:pPr>
        <w:spacing w:after="0" w:line="52" w:lineRule="exact"/>
        <w:rPr>
          <w:sz w:val="20"/>
          <w:szCs w:val="20"/>
          <w:color w:val="auto"/>
        </w:rPr>
      </w:pPr>
    </w:p>
    <w:p>
      <w:pPr>
        <w:ind w:left="940" w:right="839"/>
        <w:spacing w:after="0" w:line="256" w:lineRule="auto"/>
        <w:rPr>
          <w:sz w:val="20"/>
          <w:szCs w:val="20"/>
          <w:color w:val="auto"/>
        </w:rPr>
      </w:pPr>
      <w:r>
        <w:rPr>
          <w:rFonts w:ascii="Arial" w:cs="Arial" w:eastAsia="Arial" w:hAnsi="Arial"/>
          <w:sz w:val="17"/>
          <w:szCs w:val="17"/>
          <w:b w:val="1"/>
          <w:bCs w:val="1"/>
          <w:color w:val="003551"/>
        </w:rPr>
        <w:t>Section 8.  Restricted Stock</w:t>
      </w:r>
      <w:r>
        <w:rPr>
          <w:rFonts w:ascii="Arial" w:cs="Arial" w:eastAsia="Arial" w:hAnsi="Arial"/>
          <w:sz w:val="17"/>
          <w:szCs w:val="17"/>
          <w:color w:val="003551"/>
        </w:rPr>
        <w:t>. The Board is authorized to grant Awards of Restricted Stock to</w:t>
      </w:r>
      <w:r>
        <w:rPr>
          <w:rFonts w:ascii="Arial" w:cs="Arial" w:eastAsia="Arial" w:hAnsi="Arial"/>
          <w:sz w:val="17"/>
          <w:szCs w:val="17"/>
          <w:b w:val="1"/>
          <w:bCs w:val="1"/>
          <w:color w:val="003551"/>
        </w:rPr>
        <w:t xml:space="preserve"> </w:t>
      </w:r>
      <w:r>
        <w:rPr>
          <w:rFonts w:ascii="Arial" w:cs="Arial" w:eastAsia="Arial" w:hAnsi="Arial"/>
          <w:sz w:val="17"/>
          <w:szCs w:val="17"/>
          <w:color w:val="003551"/>
        </w:rPr>
        <w:t>Participants with the following terms and conditions and with such additional terms and conditions, in either case not inconsistent with the provisions of this Plan, as the Board shall determine in its sole discretion.</w:t>
      </w:r>
    </w:p>
    <w:p>
      <w:pPr>
        <w:spacing w:after="0" w:line="85" w:lineRule="exact"/>
        <w:rPr>
          <w:sz w:val="20"/>
          <w:szCs w:val="20"/>
          <w:color w:val="auto"/>
        </w:rPr>
      </w:pPr>
    </w:p>
    <w:p>
      <w:pPr>
        <w:ind w:left="1280"/>
        <w:spacing w:after="0"/>
        <w:rPr>
          <w:sz w:val="20"/>
          <w:szCs w:val="20"/>
          <w:color w:val="auto"/>
        </w:rPr>
      </w:pPr>
      <w:r>
        <w:rPr>
          <w:rFonts w:ascii="Arial" w:cs="Arial" w:eastAsia="Arial" w:hAnsi="Arial"/>
          <w:sz w:val="17"/>
          <w:szCs w:val="17"/>
          <w:color w:val="003551"/>
        </w:rPr>
        <w:t>(a)   The Award Agreement shall specify the vesting schedule.</w:t>
      </w:r>
    </w:p>
    <w:p>
      <w:pPr>
        <w:spacing w:after="0" w:line="106" w:lineRule="exact"/>
        <w:rPr>
          <w:sz w:val="20"/>
          <w:szCs w:val="20"/>
          <w:color w:val="auto"/>
        </w:rPr>
      </w:pPr>
    </w:p>
    <w:p>
      <w:pPr>
        <w:ind w:left="1280" w:right="459"/>
        <w:spacing w:after="0" w:line="262" w:lineRule="auto"/>
        <w:rPr>
          <w:sz w:val="20"/>
          <w:szCs w:val="20"/>
          <w:color w:val="auto"/>
        </w:rPr>
      </w:pPr>
      <w:r>
        <w:rPr>
          <w:rFonts w:ascii="Arial" w:cs="Arial" w:eastAsia="Arial" w:hAnsi="Arial"/>
          <w:sz w:val="17"/>
          <w:szCs w:val="17"/>
          <w:color w:val="003551"/>
        </w:rPr>
        <w:t>(b)  Awards of Restricted Stock shall be subject to such restrictions as the Board may impose, which restrictions may lapse separately or in combination at such time or times, in such installments or otherwise, as the Board may deem appropriate.</w:t>
      </w:r>
    </w:p>
    <w:p>
      <w:pPr>
        <w:spacing w:after="0" w:line="54" w:lineRule="exact"/>
        <w:rPr>
          <w:sz w:val="20"/>
          <w:szCs w:val="20"/>
          <w:color w:val="auto"/>
        </w:rPr>
      </w:pPr>
    </w:p>
    <w:p>
      <w:pPr>
        <w:ind w:left="1280" w:right="659"/>
        <w:spacing w:after="0" w:line="262" w:lineRule="auto"/>
        <w:rPr>
          <w:sz w:val="20"/>
          <w:szCs w:val="20"/>
          <w:color w:val="auto"/>
        </w:rPr>
      </w:pPr>
      <w:r>
        <w:rPr>
          <w:rFonts w:ascii="Arial" w:cs="Arial" w:eastAsia="Arial" w:hAnsi="Arial"/>
          <w:sz w:val="17"/>
          <w:szCs w:val="17"/>
          <w:color w:val="003551"/>
        </w:rPr>
        <w:t>(c)  Subject to the restrictions set forth in the applicable Award Agreement, a Participant generally shall have the rights and privileges of a shareholder with respect to Awards of Restricted Stock, including the right to vote such Shares of Restricted Stock.</w:t>
      </w:r>
    </w:p>
    <w:p>
      <w:pPr>
        <w:spacing w:after="0" w:line="54" w:lineRule="exact"/>
        <w:rPr>
          <w:sz w:val="20"/>
          <w:szCs w:val="20"/>
          <w:color w:val="auto"/>
        </w:rPr>
      </w:pPr>
    </w:p>
    <w:p>
      <w:pPr>
        <w:jc w:val="both"/>
        <w:ind w:left="1280" w:right="539"/>
        <w:spacing w:after="0" w:line="249" w:lineRule="auto"/>
        <w:rPr>
          <w:sz w:val="20"/>
          <w:szCs w:val="20"/>
          <w:color w:val="auto"/>
        </w:rPr>
      </w:pPr>
      <w:r>
        <w:rPr>
          <w:rFonts w:ascii="Arial" w:cs="Arial" w:eastAsia="Arial" w:hAnsi="Arial"/>
          <w:sz w:val="17"/>
          <w:szCs w:val="17"/>
          <w:color w:val="003551"/>
        </w:rPr>
        <w:t>(d)  The Board may, in its sole discretion, specify in the applicable Award Agreement that an Award of Restricted Stock shall convey the right to receive dividends or dividend equivalents on the Shares subject to such Award with respect to any dividends or other distributions declared during the period that such Award is outstanding, in which case, unless otherwise determined by the Board in its sole discretion, such dividend or dividend equivalent rights shall accumulate and shall be paid in cash or Shares on the vesting date of the Award, subject to the vesting of the Award (or portion thereof)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102870</wp:posOffset>
            </wp:positionV>
            <wp:extent cx="6786880" cy="1651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6" w:right="1440"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80" w:right="419"/>
        <w:spacing w:after="0" w:line="251" w:lineRule="auto"/>
        <w:rPr>
          <w:sz w:val="20"/>
          <w:szCs w:val="20"/>
          <w:color w:val="auto"/>
        </w:rPr>
      </w:pPr>
      <w:r>
        <w:rPr>
          <w:rFonts w:ascii="Arial" w:cs="Arial" w:eastAsia="Arial" w:hAnsi="Arial"/>
          <w:sz w:val="17"/>
          <w:szCs w:val="17"/>
          <w:color w:val="003551"/>
        </w:rPr>
        <w:t>respect to which such dividend or dividend equivalents are credited. For the avoidance of doubt, unless otherwise determined by the Board in its sole discretion, any dividends or dividend equivalents in respect of any Award of Restricted Stock shall have the same vesting conditions and vesting dates and shall be paid in accordance with the same terms as the Award to which they relate and no dividends or dividend equivalents will be paid on unvested Awards unless and until such Awards vest.</w:t>
      </w:r>
    </w:p>
    <w:p>
      <w:pPr>
        <w:spacing w:after="0" w:line="65" w:lineRule="exact"/>
        <w:rPr>
          <w:sz w:val="20"/>
          <w:szCs w:val="20"/>
          <w:color w:val="auto"/>
        </w:rPr>
      </w:pPr>
    </w:p>
    <w:p>
      <w:pPr>
        <w:ind w:left="1280" w:right="919"/>
        <w:spacing w:after="0" w:line="283" w:lineRule="auto"/>
        <w:rPr>
          <w:sz w:val="20"/>
          <w:szCs w:val="20"/>
          <w:color w:val="auto"/>
        </w:rPr>
      </w:pPr>
      <w:r>
        <w:rPr>
          <w:rFonts w:ascii="Arial" w:cs="Arial" w:eastAsia="Arial" w:hAnsi="Arial"/>
          <w:sz w:val="17"/>
          <w:szCs w:val="17"/>
          <w:color w:val="003551"/>
        </w:rPr>
        <w:t>(e)  Any Award of Restricted Stock may be evidenced in such manner as the Board may deem appropriate, including book-entry registration.</w:t>
      </w:r>
    </w:p>
    <w:p>
      <w:pPr>
        <w:spacing w:after="0" w:line="35" w:lineRule="exact"/>
        <w:rPr>
          <w:sz w:val="20"/>
          <w:szCs w:val="20"/>
          <w:color w:val="auto"/>
        </w:rPr>
      </w:pPr>
    </w:p>
    <w:p>
      <w:pPr>
        <w:jc w:val="both"/>
        <w:ind w:left="940" w:right="659"/>
        <w:spacing w:after="0" w:line="263" w:lineRule="auto"/>
        <w:rPr>
          <w:sz w:val="20"/>
          <w:szCs w:val="20"/>
          <w:color w:val="auto"/>
        </w:rPr>
      </w:pPr>
      <w:r>
        <w:rPr>
          <w:rFonts w:ascii="Arial" w:cs="Arial" w:eastAsia="Arial" w:hAnsi="Arial"/>
          <w:sz w:val="17"/>
          <w:szCs w:val="17"/>
          <w:b w:val="1"/>
          <w:bCs w:val="1"/>
          <w:color w:val="003551"/>
        </w:rPr>
        <w:t>Section 9.  RSUs</w:t>
      </w:r>
      <w:r>
        <w:rPr>
          <w:rFonts w:ascii="Arial" w:cs="Arial" w:eastAsia="Arial" w:hAnsi="Arial"/>
          <w:sz w:val="17"/>
          <w:szCs w:val="17"/>
          <w:color w:val="003551"/>
        </w:rPr>
        <w:t>. The Board is authorized to grant Awards of RSUs to Participants with the following</w:t>
      </w:r>
      <w:r>
        <w:rPr>
          <w:rFonts w:ascii="Arial" w:cs="Arial" w:eastAsia="Arial" w:hAnsi="Arial"/>
          <w:sz w:val="17"/>
          <w:szCs w:val="17"/>
          <w:b w:val="1"/>
          <w:bCs w:val="1"/>
          <w:color w:val="003551"/>
        </w:rPr>
        <w:t xml:space="preserve"> </w:t>
      </w:r>
      <w:r>
        <w:rPr>
          <w:rFonts w:ascii="Arial" w:cs="Arial" w:eastAsia="Arial" w:hAnsi="Arial"/>
          <w:sz w:val="17"/>
          <w:szCs w:val="17"/>
          <w:color w:val="003551"/>
        </w:rPr>
        <w:t>terms and conditions and with such additional terms and conditions, in either case not inconsistent with the provisions of this Plan, as the Board shall determine in its sole discretion.</w:t>
      </w:r>
    </w:p>
    <w:p>
      <w:pPr>
        <w:spacing w:after="0" w:line="54" w:lineRule="exact"/>
        <w:rPr>
          <w:sz w:val="20"/>
          <w:szCs w:val="20"/>
          <w:color w:val="auto"/>
        </w:rPr>
      </w:pPr>
    </w:p>
    <w:p>
      <w:pPr>
        <w:ind w:left="1280" w:right="519"/>
        <w:spacing w:after="0" w:line="283" w:lineRule="auto"/>
        <w:rPr>
          <w:sz w:val="20"/>
          <w:szCs w:val="20"/>
          <w:color w:val="auto"/>
        </w:rPr>
      </w:pPr>
      <w:r>
        <w:rPr>
          <w:rFonts w:ascii="Arial" w:cs="Arial" w:eastAsia="Arial" w:hAnsi="Arial"/>
          <w:sz w:val="17"/>
          <w:szCs w:val="17"/>
          <w:color w:val="003551"/>
        </w:rPr>
        <w:t>(a)  The Award Agreement shall specify the vesting schedule and the delivery schedule (which may include deferred delivery later than the vesting date).</w:t>
      </w:r>
    </w:p>
    <w:p>
      <w:pPr>
        <w:spacing w:after="0" w:line="37" w:lineRule="exact"/>
        <w:rPr>
          <w:sz w:val="20"/>
          <w:szCs w:val="20"/>
          <w:color w:val="auto"/>
        </w:rPr>
      </w:pPr>
    </w:p>
    <w:p>
      <w:pPr>
        <w:ind w:left="1280" w:right="859"/>
        <w:spacing w:after="0" w:line="262" w:lineRule="auto"/>
        <w:rPr>
          <w:sz w:val="20"/>
          <w:szCs w:val="20"/>
          <w:color w:val="auto"/>
        </w:rPr>
      </w:pPr>
      <w:r>
        <w:rPr>
          <w:rFonts w:ascii="Arial" w:cs="Arial" w:eastAsia="Arial" w:hAnsi="Arial"/>
          <w:sz w:val="17"/>
          <w:szCs w:val="17"/>
          <w:color w:val="003551"/>
        </w:rPr>
        <w:t>(b)  Awards of RSUs shall be subject to such restrictions as the Board may impose, which restrictions may lapse separately or in combination at such time or times, in such installments or otherwise, as the Board may deem appropriate.</w:t>
      </w:r>
    </w:p>
    <w:p>
      <w:pPr>
        <w:spacing w:after="0" w:line="54" w:lineRule="exact"/>
        <w:rPr>
          <w:sz w:val="20"/>
          <w:szCs w:val="20"/>
          <w:color w:val="auto"/>
        </w:rPr>
      </w:pPr>
    </w:p>
    <w:p>
      <w:pPr>
        <w:jc w:val="both"/>
        <w:ind w:left="1280" w:right="559"/>
        <w:spacing w:after="0" w:line="262" w:lineRule="auto"/>
        <w:rPr>
          <w:sz w:val="20"/>
          <w:szCs w:val="20"/>
          <w:color w:val="auto"/>
        </w:rPr>
      </w:pPr>
      <w:r>
        <w:rPr>
          <w:rFonts w:ascii="Arial" w:cs="Arial" w:eastAsia="Arial" w:hAnsi="Arial"/>
          <w:sz w:val="17"/>
          <w:szCs w:val="17"/>
          <w:color w:val="003551"/>
        </w:rPr>
        <w:t>(c)  An RSU shall not convey to a Participant the right to vote, unless and until a Share is issued to such Participant upon settlement of such RSU, unless otherwise determined by the Board in its sole discretion and to the extent permitted by applicable law.</w:t>
      </w:r>
    </w:p>
    <w:p>
      <w:pPr>
        <w:spacing w:after="0" w:line="54" w:lineRule="exact"/>
        <w:rPr>
          <w:sz w:val="20"/>
          <w:szCs w:val="20"/>
          <w:color w:val="auto"/>
        </w:rPr>
      </w:pPr>
    </w:p>
    <w:p>
      <w:pPr>
        <w:ind w:left="1280" w:right="379"/>
        <w:spacing w:after="0" w:line="245" w:lineRule="auto"/>
        <w:rPr>
          <w:sz w:val="20"/>
          <w:szCs w:val="20"/>
          <w:color w:val="auto"/>
        </w:rPr>
      </w:pPr>
      <w:r>
        <w:rPr>
          <w:rFonts w:ascii="Arial" w:cs="Arial" w:eastAsia="Arial" w:hAnsi="Arial"/>
          <w:sz w:val="17"/>
          <w:szCs w:val="17"/>
          <w:color w:val="003551"/>
        </w:rPr>
        <w:t>(d)  The Board may, in its sole discretion, specify in the applicable Award Agreement that an Award of RSUs shall convey the right to receive dividend equivalents on the Shares subject to such Award with respect to any dividends or other distributions declared during the period that such Award is outstanding, in which case, unless otherwise determined by the Board in its sole discretion, such dividend equivalent rights shall accumulate and shall be paid upon settlement of an Award of RSUs subject to the vesting of the Award (or portion thereof) with respect to which such dividend equivalents are granted. For the avoidance of doubt, unless otherwise determined by the Board in its sole discretion, any dividend equivalents in respect of any Award of RSUs shall have the same vesting conditions and vesting dates and shall be paid in accordance with the same terms as the Award to which they relate and no dividend equivalents will be paid on unvested Awards unless and until such Awards vest. For the avoidance of doubt, dividend equivalents that accumulate with respect to an RSU are distinct from the RSU.</w:t>
      </w:r>
    </w:p>
    <w:p>
      <w:pPr>
        <w:spacing w:after="0" w:line="267" w:lineRule="exact"/>
        <w:rPr>
          <w:sz w:val="20"/>
          <w:szCs w:val="20"/>
          <w:color w:val="auto"/>
        </w:rPr>
      </w:pPr>
    </w:p>
    <w:p>
      <w:pPr>
        <w:ind w:left="1280" w:right="699"/>
        <w:spacing w:after="0" w:line="283" w:lineRule="auto"/>
        <w:rPr>
          <w:sz w:val="20"/>
          <w:szCs w:val="20"/>
          <w:color w:val="auto"/>
        </w:rPr>
      </w:pPr>
      <w:r>
        <w:rPr>
          <w:rFonts w:ascii="Arial" w:cs="Arial" w:eastAsia="Arial" w:hAnsi="Arial"/>
          <w:sz w:val="17"/>
          <w:szCs w:val="17"/>
          <w:color w:val="003551"/>
        </w:rPr>
        <w:t>(e)  Shares delivered upon the vesting and settlement of an Award of RSUs may be evidenced in such manner as the Board may deem appropriate, including book-entry registration.</w:t>
      </w:r>
    </w:p>
    <w:p>
      <w:pPr>
        <w:spacing w:after="0" w:line="37" w:lineRule="exact"/>
        <w:rPr>
          <w:sz w:val="20"/>
          <w:szCs w:val="20"/>
          <w:color w:val="auto"/>
        </w:rPr>
      </w:pPr>
    </w:p>
    <w:p>
      <w:pPr>
        <w:ind w:left="1280" w:right="499"/>
        <w:spacing w:after="0" w:line="262" w:lineRule="auto"/>
        <w:rPr>
          <w:sz w:val="20"/>
          <w:szCs w:val="20"/>
          <w:color w:val="auto"/>
        </w:rPr>
      </w:pPr>
      <w:r>
        <w:rPr>
          <w:rFonts w:ascii="Arial" w:cs="Arial" w:eastAsia="Arial" w:hAnsi="Arial"/>
          <w:sz w:val="17"/>
          <w:szCs w:val="17"/>
          <w:color w:val="003551"/>
        </w:rPr>
        <w:t>(f)  The Board may determine, in its sole discretion, the form or forms (including cash, Shares, other Awards, other property or any combination thereof) in which payment of the amount owing upon settlement of any Award of RSUs may be made.</w:t>
      </w:r>
    </w:p>
    <w:p>
      <w:pPr>
        <w:spacing w:after="0" w:line="54" w:lineRule="exact"/>
        <w:rPr>
          <w:sz w:val="20"/>
          <w:szCs w:val="20"/>
          <w:color w:val="auto"/>
        </w:rPr>
      </w:pPr>
    </w:p>
    <w:p>
      <w:pPr>
        <w:ind w:left="1280" w:right="479"/>
        <w:spacing w:after="0" w:line="252" w:lineRule="auto"/>
        <w:rPr>
          <w:sz w:val="20"/>
          <w:szCs w:val="20"/>
          <w:color w:val="auto"/>
        </w:rPr>
      </w:pPr>
      <w:r>
        <w:rPr>
          <w:rFonts w:ascii="Arial" w:cs="Arial" w:eastAsia="Arial" w:hAnsi="Arial"/>
          <w:sz w:val="17"/>
          <w:szCs w:val="17"/>
          <w:color w:val="003551"/>
        </w:rPr>
        <w:t>(g)  With respect to RSUs granted to Participants who are not United States taxpayers, to the extent permitted in the applicable Award Agreement and/or applicable law, the Award Agreement may provide that instead of being settled automatically upon vesting or at a specified time, the Award of RSUs may be exercised by the Participant, pursuant to the terms of the applicable country addendum.</w:t>
      </w:r>
    </w:p>
    <w:p>
      <w:pPr>
        <w:spacing w:after="0" w:line="264" w:lineRule="exact"/>
        <w:rPr>
          <w:sz w:val="20"/>
          <w:szCs w:val="20"/>
          <w:color w:val="auto"/>
        </w:rPr>
      </w:pPr>
    </w:p>
    <w:p>
      <w:pPr>
        <w:ind w:left="940" w:right="839"/>
        <w:spacing w:after="0" w:line="256" w:lineRule="auto"/>
        <w:rPr>
          <w:sz w:val="20"/>
          <w:szCs w:val="20"/>
          <w:color w:val="auto"/>
        </w:rPr>
      </w:pPr>
      <w:r>
        <w:rPr>
          <w:rFonts w:ascii="Arial" w:cs="Arial" w:eastAsia="Arial" w:hAnsi="Arial"/>
          <w:sz w:val="17"/>
          <w:szCs w:val="17"/>
          <w:b w:val="1"/>
          <w:bCs w:val="1"/>
          <w:color w:val="003551"/>
        </w:rPr>
        <w:t>Section 10.  Performance Awards</w:t>
      </w:r>
      <w:r>
        <w:rPr>
          <w:rFonts w:ascii="Arial" w:cs="Arial" w:eastAsia="Arial" w:hAnsi="Arial"/>
          <w:sz w:val="17"/>
          <w:szCs w:val="17"/>
          <w:color w:val="003551"/>
        </w:rPr>
        <w:t>. The Board is authorized to grant Performance Awards to</w:t>
      </w:r>
      <w:r>
        <w:rPr>
          <w:rFonts w:ascii="Arial" w:cs="Arial" w:eastAsia="Arial" w:hAnsi="Arial"/>
          <w:sz w:val="17"/>
          <w:szCs w:val="17"/>
          <w:b w:val="1"/>
          <w:bCs w:val="1"/>
          <w:color w:val="003551"/>
        </w:rPr>
        <w:t xml:space="preserve"> </w:t>
      </w:r>
      <w:r>
        <w:rPr>
          <w:rFonts w:ascii="Arial" w:cs="Arial" w:eastAsia="Arial" w:hAnsi="Arial"/>
          <w:sz w:val="17"/>
          <w:szCs w:val="17"/>
          <w:color w:val="003551"/>
        </w:rPr>
        <w:t>Participants with the following terms and conditions and with such additional terms and conditions, in either case not inconsistent with the provisions of this Plan, as the Board shall determine in its sole discretion.</w:t>
      </w:r>
    </w:p>
    <w:p>
      <w:pPr>
        <w:spacing w:after="0" w:line="59" w:lineRule="exact"/>
        <w:rPr>
          <w:sz w:val="20"/>
          <w:szCs w:val="20"/>
          <w:color w:val="auto"/>
        </w:rPr>
      </w:pPr>
    </w:p>
    <w:p>
      <w:pPr>
        <w:ind w:left="1280" w:right="419"/>
        <w:spacing w:after="0" w:line="248" w:lineRule="auto"/>
        <w:rPr>
          <w:sz w:val="20"/>
          <w:szCs w:val="20"/>
          <w:color w:val="auto"/>
        </w:rPr>
      </w:pPr>
      <w:r>
        <w:rPr>
          <w:rFonts w:ascii="Arial" w:cs="Arial" w:eastAsia="Arial" w:hAnsi="Arial"/>
          <w:sz w:val="17"/>
          <w:szCs w:val="17"/>
          <w:color w:val="003551"/>
        </w:rPr>
        <w:t>(a)  Performance Awards may be denominated as a cash amount, number of Shares or units or a combination thereof and are Awards that may be earned upon achievement or satisfaction of performance conditions specified by the Board in its sole discretion. In addition, the Board may specify that any other Award shall constitute a Performance Award by conditioning the grant to a Participant or the right of a Participant to exercise the Award or have it settled, and the timing thereof, upon achievement or satisfaction of such performance conditions as may be specified by the Board in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222885</wp:posOffset>
            </wp:positionV>
            <wp:extent cx="6786880" cy="1651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6" w:right="1440"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80" w:right="439"/>
        <w:spacing w:after="0" w:line="251" w:lineRule="auto"/>
        <w:rPr>
          <w:sz w:val="20"/>
          <w:szCs w:val="20"/>
          <w:color w:val="auto"/>
        </w:rPr>
      </w:pPr>
      <w:r>
        <w:rPr>
          <w:rFonts w:ascii="Arial" w:cs="Arial" w:eastAsia="Arial" w:hAnsi="Arial"/>
          <w:sz w:val="17"/>
          <w:szCs w:val="17"/>
          <w:color w:val="003551"/>
        </w:rPr>
        <w:t>sole discretion. The Board may use such business criteria and other measures of performance as it may deem appropriate in establishing any performance conditions. Subject to the terms of this Plan, the performance goals to be achieved during any Performance Period, the length of any Performance Period, the amount of any Performance Award granted and the amount of any payment or transfer to be made pursuant to any Performance Award shall be determined by the Board in its sole discretion.</w:t>
      </w:r>
    </w:p>
    <w:p>
      <w:pPr>
        <w:spacing w:after="0" w:line="65" w:lineRule="exact"/>
        <w:rPr>
          <w:sz w:val="20"/>
          <w:szCs w:val="20"/>
          <w:color w:val="auto"/>
        </w:rPr>
      </w:pPr>
    </w:p>
    <w:p>
      <w:pPr>
        <w:ind w:left="1280" w:right="459"/>
        <w:spacing w:after="0" w:line="244" w:lineRule="auto"/>
        <w:rPr>
          <w:sz w:val="20"/>
          <w:szCs w:val="20"/>
          <w:color w:val="auto"/>
        </w:rPr>
      </w:pPr>
      <w:r>
        <w:rPr>
          <w:rFonts w:ascii="Arial" w:cs="Arial" w:eastAsia="Arial" w:hAnsi="Arial"/>
          <w:sz w:val="17"/>
          <w:szCs w:val="17"/>
          <w:color w:val="003551"/>
        </w:rPr>
        <w:t>(b)  Performance criteria may be measured on an absolute (</w:t>
      </w:r>
      <w:r>
        <w:rPr>
          <w:rFonts w:ascii="Arial" w:cs="Arial" w:eastAsia="Arial" w:hAnsi="Arial"/>
          <w:sz w:val="17"/>
          <w:szCs w:val="17"/>
          <w:i w:val="1"/>
          <w:iCs w:val="1"/>
          <w:color w:val="003551"/>
        </w:rPr>
        <w:t>e.g.</w:t>
      </w:r>
      <w:r>
        <w:rPr>
          <w:rFonts w:ascii="Arial" w:cs="Arial" w:eastAsia="Arial" w:hAnsi="Arial"/>
          <w:sz w:val="17"/>
          <w:szCs w:val="17"/>
          <w:color w:val="003551"/>
        </w:rPr>
        <w:t xml:space="preserve">, plan or budget) or relative basis, and may be established on a corporate-wide basis, with respect to one or more business units, divisions, Subsidiaries or business segments, or on an individual basis. If the Board determines, in its sole discretion, that a change in the business, operations, corporate structure or capital structure of the Company, or the manner in which the Company conducts its business, or other events or circumstances render the performance objectives unsuitable, the Board may modify the performance objectives or the related minimum acceptable level of achievement, in whole or in part, as the Board deems appropriate and equitable such that it does not provide any undue enrichment or harm. Performance measures may vary from Performance Award to Performance Award and from Participant to Participant, and may be established on a stand-alone basis, in tandem or in the alternative. The Board shall have the power to impose such other restrictions on Awards subject to this </w:t>
      </w:r>
      <w:r>
        <w:rPr>
          <w:rFonts w:ascii="Arial" w:cs="Arial" w:eastAsia="Arial" w:hAnsi="Arial"/>
          <w:sz w:val="17"/>
          <w:szCs w:val="17"/>
          <w:u w:val="single" w:color="auto"/>
          <w:color w:val="003551"/>
        </w:rPr>
        <w:t>Section 10(b)</w:t>
      </w:r>
      <w:r>
        <w:rPr>
          <w:rFonts w:ascii="Arial" w:cs="Arial" w:eastAsia="Arial" w:hAnsi="Arial"/>
          <w:sz w:val="17"/>
          <w:szCs w:val="17"/>
          <w:color w:val="003551"/>
        </w:rPr>
        <w:t xml:space="preserve"> as it may deem necessary or appropriate to ensure that such Awards satisfy all requirements of any applicable law, stock market or exchange rules and regulations or accounting or tax rules and regulations.</w:t>
      </w:r>
    </w:p>
    <w:p>
      <w:pPr>
        <w:spacing w:after="0" w:line="73" w:lineRule="exact"/>
        <w:rPr>
          <w:sz w:val="20"/>
          <w:szCs w:val="20"/>
          <w:color w:val="auto"/>
        </w:rPr>
      </w:pPr>
    </w:p>
    <w:p>
      <w:pPr>
        <w:ind w:left="1280" w:right="639"/>
        <w:spacing w:after="0" w:line="283" w:lineRule="auto"/>
        <w:rPr>
          <w:sz w:val="20"/>
          <w:szCs w:val="20"/>
          <w:color w:val="auto"/>
        </w:rPr>
      </w:pPr>
      <w:r>
        <w:rPr>
          <w:rFonts w:ascii="Arial" w:cs="Arial" w:eastAsia="Arial" w:hAnsi="Arial"/>
          <w:sz w:val="17"/>
          <w:szCs w:val="17"/>
          <w:color w:val="003551"/>
        </w:rPr>
        <w:t>(c)  Settlement of Performance Awards shall be in cash, Shares, other Awards, other property, net settlement, or any combination thereof, as determined in the sole discretion of the Board.</w:t>
      </w:r>
    </w:p>
    <w:p>
      <w:pPr>
        <w:spacing w:after="0" w:line="37" w:lineRule="exact"/>
        <w:rPr>
          <w:sz w:val="20"/>
          <w:szCs w:val="20"/>
          <w:color w:val="auto"/>
        </w:rPr>
      </w:pPr>
    </w:p>
    <w:p>
      <w:pPr>
        <w:ind w:left="1280" w:right="379"/>
        <w:spacing w:after="0" w:line="244" w:lineRule="auto"/>
        <w:rPr>
          <w:sz w:val="20"/>
          <w:szCs w:val="20"/>
          <w:color w:val="auto"/>
        </w:rPr>
      </w:pPr>
      <w:r>
        <w:rPr>
          <w:rFonts w:ascii="Arial" w:cs="Arial" w:eastAsia="Arial" w:hAnsi="Arial"/>
          <w:sz w:val="17"/>
          <w:szCs w:val="17"/>
          <w:color w:val="003551"/>
        </w:rPr>
        <w:t>(d)  A Performance Award shall not convey to a Participant the rights and privileges of a shareholder with respect to the Share subject to such Performance Award, such as the right to vote (except as relates to Restricted Stock) or the right to receive dividends, unless and until and to the extent a Share is issued to such Participant to settle such Performance Award. The Board, in its sole discretion, may provide that a Performance Award shall convey the right to receive dividend equivalents on the Shares subject to such Performance Award with respect to any dividends declared during the period that such Performance Award is outstanding, in which case, such dividend equivalent rights shall accumulate and shall be paid in cash or Shares on the settlement date of the Performance Award, subject to the Participant’s earning of the Shares with respect to which such dividend equivalents are paid upon achievement or satisfaction of performance conditions specified by the Board in its sole discretion. Shares delivered upon the vesting and settlement of a Performance Award may be evidenced in such manner as the Board may deem appropriate, including book-entry registration. For the avoidance of doubt, unless otherwise determined by the Board in its sole discretion, no dividend equivalent rights shall be provided with respect to any Shares subject to Performance Awards that are not earned or otherwise do not vest or settle pursuant to their terms.</w:t>
      </w:r>
    </w:p>
    <w:p>
      <w:pPr>
        <w:spacing w:after="0" w:line="71" w:lineRule="exact"/>
        <w:rPr>
          <w:sz w:val="20"/>
          <w:szCs w:val="20"/>
          <w:color w:val="auto"/>
        </w:rPr>
      </w:pPr>
    </w:p>
    <w:p>
      <w:pPr>
        <w:ind w:left="1280" w:right="419"/>
        <w:spacing w:after="0" w:line="283" w:lineRule="auto"/>
        <w:rPr>
          <w:sz w:val="20"/>
          <w:szCs w:val="20"/>
          <w:color w:val="auto"/>
        </w:rPr>
      </w:pPr>
      <w:r>
        <w:rPr>
          <w:rFonts w:ascii="Arial" w:cs="Arial" w:eastAsia="Arial" w:hAnsi="Arial"/>
          <w:sz w:val="17"/>
          <w:szCs w:val="17"/>
          <w:color w:val="003551"/>
        </w:rPr>
        <w:t>(e)  The Board may, in its sole discretion, increase or reduce the amount of a settlement otherwise to be made in connection with a Performance Award.</w:t>
      </w:r>
    </w:p>
    <w:p>
      <w:pPr>
        <w:spacing w:after="0" w:line="37" w:lineRule="exact"/>
        <w:rPr>
          <w:sz w:val="20"/>
          <w:szCs w:val="20"/>
          <w:color w:val="auto"/>
        </w:rPr>
      </w:pPr>
    </w:p>
    <w:p>
      <w:pPr>
        <w:ind w:left="1280" w:right="499"/>
        <w:spacing w:after="0" w:line="251" w:lineRule="auto"/>
        <w:rPr>
          <w:sz w:val="20"/>
          <w:szCs w:val="20"/>
          <w:color w:val="auto"/>
        </w:rPr>
      </w:pPr>
      <w:r>
        <w:rPr>
          <w:rFonts w:ascii="Arial" w:cs="Arial" w:eastAsia="Arial" w:hAnsi="Arial"/>
          <w:sz w:val="17"/>
          <w:szCs w:val="17"/>
          <w:color w:val="003551"/>
        </w:rPr>
        <w:t>(f)  With respect to Performance Awards granted to Participants who are not United States taxpayers, to the extent permitted in the applicable Award Agreement and/or applicable law, the Award Agreement may provide that instead of being settled automatically upon vesting or at a specified time, the Performance Award may be exercised by the Participant, pursuant to the terms of the applicable country addendum.</w:t>
      </w:r>
    </w:p>
    <w:p>
      <w:pPr>
        <w:spacing w:after="0" w:line="63" w:lineRule="exact"/>
        <w:rPr>
          <w:sz w:val="20"/>
          <w:szCs w:val="20"/>
          <w:color w:val="auto"/>
        </w:rPr>
      </w:pPr>
    </w:p>
    <w:p>
      <w:pPr>
        <w:ind w:left="940" w:right="479"/>
        <w:spacing w:after="0" w:line="248" w:lineRule="auto"/>
        <w:rPr>
          <w:sz w:val="20"/>
          <w:szCs w:val="20"/>
          <w:color w:val="auto"/>
        </w:rPr>
      </w:pPr>
      <w:r>
        <w:rPr>
          <w:rFonts w:ascii="Arial" w:cs="Arial" w:eastAsia="Arial" w:hAnsi="Arial"/>
          <w:sz w:val="17"/>
          <w:szCs w:val="17"/>
          <w:b w:val="1"/>
          <w:bCs w:val="1"/>
          <w:color w:val="003551"/>
        </w:rPr>
        <w:t>Section 11.  Other Cash-Based Awards and Other Share-Based Awards</w:t>
      </w:r>
      <w:r>
        <w:rPr>
          <w:rFonts w:ascii="Arial" w:cs="Arial" w:eastAsia="Arial" w:hAnsi="Arial"/>
          <w:sz w:val="17"/>
          <w:szCs w:val="17"/>
          <w:color w:val="003551"/>
        </w:rPr>
        <w:t>. The Board is authorized,</w:t>
      </w:r>
      <w:r>
        <w:rPr>
          <w:rFonts w:ascii="Arial" w:cs="Arial" w:eastAsia="Arial" w:hAnsi="Arial"/>
          <w:sz w:val="17"/>
          <w:szCs w:val="17"/>
          <w:b w:val="1"/>
          <w:bCs w:val="1"/>
          <w:color w:val="003551"/>
        </w:rPr>
        <w:t xml:space="preserve"> </w:t>
      </w:r>
      <w:r>
        <w:rPr>
          <w:rFonts w:ascii="Arial" w:cs="Arial" w:eastAsia="Arial" w:hAnsi="Arial"/>
          <w:sz w:val="17"/>
          <w:szCs w:val="17"/>
          <w:color w:val="003551"/>
        </w:rPr>
        <w:t xml:space="preserve">subject to limitations under applicable law, to grant Other Cash-Based Awards (either independently or as an element of or supplement to any other Award under this Plan) and Other Share-Based Awards. The Board shall determine, in its sole discretion, the terms and conditions of such Awards. Shares delivered pursuant to an Award in the nature of a purchase right granted under this </w:t>
      </w:r>
      <w:r>
        <w:rPr>
          <w:rFonts w:ascii="Arial" w:cs="Arial" w:eastAsia="Arial" w:hAnsi="Arial"/>
          <w:sz w:val="17"/>
          <w:szCs w:val="17"/>
          <w:u w:val="single" w:color="auto"/>
          <w:color w:val="003551"/>
        </w:rPr>
        <w:t>Section 11</w:t>
      </w:r>
      <w:r>
        <w:rPr>
          <w:rFonts w:ascii="Arial" w:cs="Arial" w:eastAsia="Arial" w:hAnsi="Arial"/>
          <w:sz w:val="17"/>
          <w:szCs w:val="17"/>
          <w:color w:val="003551"/>
        </w:rPr>
        <w:t xml:space="preserve"> shall be purchased for such consideration, and paid for at such times, by such methods and in such forms, including cash,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224155</wp:posOffset>
            </wp:positionV>
            <wp:extent cx="6786880" cy="1651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6" w:right="1440"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40" w:right="519"/>
        <w:spacing w:after="0" w:line="262" w:lineRule="auto"/>
        <w:rPr>
          <w:sz w:val="20"/>
          <w:szCs w:val="20"/>
          <w:color w:val="auto"/>
        </w:rPr>
      </w:pPr>
      <w:r>
        <w:rPr>
          <w:rFonts w:ascii="Arial" w:cs="Arial" w:eastAsia="Arial" w:hAnsi="Arial"/>
          <w:sz w:val="17"/>
          <w:szCs w:val="17"/>
          <w:color w:val="003551"/>
        </w:rPr>
        <w:t xml:space="preserve">other Awards, other property, net settlement, broker-assisted cashless exercise or any combination thereof, as the Board shall determine in its sole discretion; </w:t>
      </w:r>
      <w:r>
        <w:rPr>
          <w:rFonts w:ascii="Arial" w:cs="Arial" w:eastAsia="Arial" w:hAnsi="Arial"/>
          <w:sz w:val="17"/>
          <w:szCs w:val="17"/>
          <w:i w:val="1"/>
          <w:iCs w:val="1"/>
          <w:color w:val="003551"/>
        </w:rPr>
        <w:t>provided</w:t>
      </w:r>
      <w:r>
        <w:rPr>
          <w:rFonts w:ascii="Arial" w:cs="Arial" w:eastAsia="Arial" w:hAnsi="Arial"/>
          <w:sz w:val="17"/>
          <w:szCs w:val="17"/>
          <w:color w:val="003551"/>
        </w:rPr>
        <w:t xml:space="preserve"> that the purchase price therefor shall not be less than the Fair Market Value of such Shares on the date of grant of such right.</w:t>
      </w:r>
    </w:p>
    <w:p>
      <w:pPr>
        <w:spacing w:after="0" w:line="78"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003551"/>
        </w:rPr>
        <w:t>Section 12.   Effect of Termination of Service or a Change in Control on Awards</w:t>
      </w:r>
      <w:r>
        <w:rPr>
          <w:rFonts w:ascii="Arial" w:cs="Arial" w:eastAsia="Arial" w:hAnsi="Arial"/>
          <w:sz w:val="17"/>
          <w:szCs w:val="17"/>
          <w:color w:val="003551"/>
        </w:rPr>
        <w:t>.</w:t>
      </w:r>
    </w:p>
    <w:p>
      <w:pPr>
        <w:spacing w:after="0" w:line="108" w:lineRule="exact"/>
        <w:rPr>
          <w:sz w:val="20"/>
          <w:szCs w:val="20"/>
          <w:color w:val="auto"/>
        </w:rPr>
      </w:pPr>
    </w:p>
    <w:p>
      <w:pPr>
        <w:ind w:left="1280" w:right="519"/>
        <w:spacing w:after="0" w:line="251" w:lineRule="auto"/>
        <w:rPr>
          <w:sz w:val="20"/>
          <w:szCs w:val="20"/>
          <w:color w:val="auto"/>
        </w:rPr>
      </w:pPr>
      <w:r>
        <w:rPr>
          <w:rFonts w:ascii="Arial" w:cs="Arial" w:eastAsia="Arial" w:hAnsi="Arial"/>
          <w:sz w:val="17"/>
          <w:szCs w:val="17"/>
          <w:color w:val="003551"/>
        </w:rPr>
        <w:t>(a)  The Board may provide, by rule or regulation or in any applicable Award Agreement, or may determine, in its sole discretion, in any individual case, the circumstances in which, and the extent to which, an Award may be exercised, settled, vested, paid or forfeited in the event of a Participant’s Termination of Service prior to the end of a Performance Period or vesting, exercise or settlement of such Award.</w:t>
      </w:r>
    </w:p>
    <w:p>
      <w:pPr>
        <w:spacing w:after="0" w:line="65" w:lineRule="exact"/>
        <w:rPr>
          <w:sz w:val="20"/>
          <w:szCs w:val="20"/>
          <w:color w:val="auto"/>
        </w:rPr>
      </w:pPr>
    </w:p>
    <w:p>
      <w:pPr>
        <w:ind w:left="1280" w:right="459"/>
        <w:spacing w:after="0" w:line="255" w:lineRule="auto"/>
        <w:rPr>
          <w:sz w:val="20"/>
          <w:szCs w:val="20"/>
          <w:color w:val="auto"/>
        </w:rPr>
      </w:pPr>
      <w:r>
        <w:rPr>
          <w:rFonts w:ascii="Arial" w:cs="Arial" w:eastAsia="Arial" w:hAnsi="Arial"/>
          <w:sz w:val="17"/>
          <w:szCs w:val="17"/>
          <w:color w:val="003551"/>
        </w:rPr>
        <w:t>(b)  The Board may determine, in its sole discretion, whether, and the extent to which, (i) an Award will vest during a leave of absence, (ii) a reduction in service level (for example, from full-time to part-time employment) will cause a reduction, or other change, to an Award and (iii) a leave of absence or reduction in service will be deemed a Termination of Service.</w:t>
      </w:r>
    </w:p>
    <w:p>
      <w:pPr>
        <w:spacing w:after="0" w:line="60" w:lineRule="exact"/>
        <w:rPr>
          <w:sz w:val="20"/>
          <w:szCs w:val="20"/>
          <w:color w:val="auto"/>
        </w:rPr>
      </w:pPr>
    </w:p>
    <w:p>
      <w:pPr>
        <w:jc w:val="both"/>
        <w:ind w:left="1280" w:right="439"/>
        <w:spacing w:after="0" w:line="255" w:lineRule="auto"/>
        <w:rPr>
          <w:sz w:val="20"/>
          <w:szCs w:val="20"/>
          <w:color w:val="auto"/>
        </w:rPr>
      </w:pPr>
      <w:r>
        <w:rPr>
          <w:rFonts w:ascii="Arial" w:cs="Arial" w:eastAsia="Arial" w:hAnsi="Arial"/>
          <w:sz w:val="17"/>
          <w:szCs w:val="17"/>
          <w:color w:val="003551"/>
        </w:rPr>
        <w:t>(c)  In the event of a Change in Control, the Board may, in its sole discretion, and on such terms and conditions as it deems appropriate, take any one or more of the following actions with respect to all or a portion of any outstanding Award, which need not be uniform with respect to all Participants and/or Awards:</w:t>
      </w:r>
    </w:p>
    <w:p>
      <w:pPr>
        <w:spacing w:after="0" w:line="60"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(i)   continuation or assumption of such Award by the Company (if it is the surviving corporation)</w:t>
      </w:r>
    </w:p>
    <w:p>
      <w:pPr>
        <w:spacing w:after="0" w:line="17" w:lineRule="exact"/>
        <w:rPr>
          <w:sz w:val="20"/>
          <w:szCs w:val="20"/>
          <w:color w:val="auto"/>
        </w:rPr>
      </w:pPr>
    </w:p>
    <w:p>
      <w:pPr>
        <w:ind w:left="1640"/>
        <w:spacing w:after="0"/>
        <w:rPr>
          <w:sz w:val="20"/>
          <w:szCs w:val="20"/>
          <w:color w:val="auto"/>
        </w:rPr>
      </w:pPr>
      <w:r>
        <w:rPr>
          <w:rFonts w:ascii="Arial" w:cs="Arial" w:eastAsia="Arial" w:hAnsi="Arial"/>
          <w:sz w:val="17"/>
          <w:szCs w:val="17"/>
          <w:color w:val="003551"/>
        </w:rPr>
        <w:t>or by the successor or surviving entity or its parent;</w:t>
      </w:r>
    </w:p>
    <w:p>
      <w:pPr>
        <w:spacing w:after="0" w:line="90" w:lineRule="exact"/>
        <w:rPr>
          <w:sz w:val="20"/>
          <w:szCs w:val="20"/>
          <w:color w:val="auto"/>
        </w:rPr>
      </w:pPr>
    </w:p>
    <w:p>
      <w:pPr>
        <w:ind w:left="1640" w:right="559"/>
        <w:spacing w:after="0" w:line="251" w:lineRule="auto"/>
        <w:rPr>
          <w:sz w:val="20"/>
          <w:szCs w:val="20"/>
          <w:color w:val="auto"/>
        </w:rPr>
      </w:pPr>
      <w:r>
        <w:rPr>
          <w:rFonts w:ascii="Arial" w:cs="Arial" w:eastAsia="Arial" w:hAnsi="Arial"/>
          <w:sz w:val="17"/>
          <w:szCs w:val="17"/>
          <w:color w:val="003551"/>
        </w:rPr>
        <w:t>(ii)  substitution or replacement of such Award by the successor or surviving entity or its parent with cash, securities, rights or other property to be paid or issued, as the case may be, by the successor or surviving entity (or a parent or Subsidiary thereof), with substantially the same terms and value as such Award (including any applicable performance targets or criteria with respect thereto);</w:t>
      </w:r>
    </w:p>
    <w:p>
      <w:pPr>
        <w:spacing w:after="0" w:line="65" w:lineRule="exact"/>
        <w:rPr>
          <w:sz w:val="20"/>
          <w:szCs w:val="20"/>
          <w:color w:val="auto"/>
        </w:rPr>
      </w:pPr>
    </w:p>
    <w:p>
      <w:pPr>
        <w:ind w:left="1640" w:right="599"/>
        <w:spacing w:after="0" w:line="246" w:lineRule="auto"/>
        <w:rPr>
          <w:sz w:val="20"/>
          <w:szCs w:val="20"/>
          <w:color w:val="auto"/>
        </w:rPr>
      </w:pPr>
      <w:r>
        <w:rPr>
          <w:rFonts w:ascii="Arial" w:cs="Arial" w:eastAsia="Arial" w:hAnsi="Arial"/>
          <w:sz w:val="17"/>
          <w:szCs w:val="17"/>
          <w:color w:val="003551"/>
        </w:rPr>
        <w:t>(iii)  acceleration of the vesting of such Award and the lapse of any restrictions thereon and, in the case of an Option or SAR Award, acceleration of the right to exercise such Award during a specified period (and the termination of such Option or SAR Award without payment of any consideration therefor to the extent such Award is not timely exercised), in each case, either</w:t>
      </w:r>
    </w:p>
    <w:p>
      <w:pPr>
        <w:ind w:left="1640" w:right="379" w:hanging="4"/>
        <w:spacing w:after="0" w:line="244" w:lineRule="auto"/>
        <w:tabs>
          <w:tab w:leader="none" w:pos="1921" w:val="left"/>
        </w:tabs>
        <w:numPr>
          <w:ilvl w:val="0"/>
          <w:numId w:val="218"/>
        </w:numPr>
        <w:rPr>
          <w:rFonts w:ascii="Arial" w:cs="Arial" w:eastAsia="Arial" w:hAnsi="Arial"/>
          <w:sz w:val="17"/>
          <w:szCs w:val="17"/>
          <w:color w:val="003551"/>
        </w:rPr>
      </w:pPr>
      <w:r>
        <w:rPr>
          <w:rFonts w:ascii="Arial" w:cs="Arial" w:eastAsia="Arial" w:hAnsi="Arial"/>
          <w:sz w:val="17"/>
          <w:szCs w:val="17"/>
          <w:color w:val="003551"/>
        </w:rPr>
        <w:t>immediately prior to or as of the date of the Change in Control, (B) upon a Participant’s involuntary Termination of Service (including upon a termination of the Participant’s employment by the Company (or a successor corporation or its parent) without “cause,” by a Participant for “good reason” and/or due to a Participant’s death or “disability”, as such terms may be defined in the applicable Award Agreement and/or a Participant’s service agreement, as the case may be) on or within a specified period prior to or following the Change in Control or (C) upon the failure of the successor or surviving entity (or its parent) to continue or assume such Award on no less favorable terms and conditions;</w:t>
      </w:r>
    </w:p>
    <w:p>
      <w:pPr>
        <w:spacing w:after="0" w:line="71" w:lineRule="exact"/>
        <w:rPr>
          <w:sz w:val="20"/>
          <w:szCs w:val="20"/>
          <w:color w:val="auto"/>
        </w:rPr>
      </w:pPr>
    </w:p>
    <w:p>
      <w:pPr>
        <w:ind w:left="1640" w:right="1119"/>
        <w:spacing w:after="0" w:line="283" w:lineRule="auto"/>
        <w:rPr>
          <w:sz w:val="20"/>
          <w:szCs w:val="20"/>
          <w:color w:val="auto"/>
        </w:rPr>
      </w:pPr>
      <w:r>
        <w:rPr>
          <w:rFonts w:ascii="Arial" w:cs="Arial" w:eastAsia="Arial" w:hAnsi="Arial"/>
          <w:sz w:val="17"/>
          <w:szCs w:val="17"/>
          <w:color w:val="003551"/>
        </w:rPr>
        <w:t>(iv)  in the case of a Performance Award, determination of the level of attainment of the applicable performance condition(s) (including waiving any such conditions); and</w:t>
      </w:r>
    </w:p>
    <w:p>
      <w:pPr>
        <w:spacing w:after="0" w:line="37" w:lineRule="exact"/>
        <w:rPr>
          <w:sz w:val="20"/>
          <w:szCs w:val="20"/>
          <w:color w:val="auto"/>
        </w:rPr>
      </w:pPr>
    </w:p>
    <w:p>
      <w:pPr>
        <w:ind w:left="1640" w:right="399"/>
        <w:spacing w:after="0" w:line="245" w:lineRule="auto"/>
        <w:rPr>
          <w:sz w:val="20"/>
          <w:szCs w:val="20"/>
          <w:color w:val="auto"/>
        </w:rPr>
      </w:pPr>
      <w:r>
        <w:rPr>
          <w:rFonts w:ascii="Arial" w:cs="Arial" w:eastAsia="Arial" w:hAnsi="Arial"/>
          <w:sz w:val="17"/>
          <w:szCs w:val="17"/>
          <w:color w:val="003551"/>
        </w:rPr>
        <w:t xml:space="preserve">(v)  cancellation of such Award in consideration of a payment, with the form, amount and timing of such payment determined by the Board in its sole discretion, subject to the following: (A) such payment shall be made in cash, securities, rights and/or other property; (B) the amount of such payment shall equal the value of such Award, as determined by the Board in its sole discretion; </w:t>
      </w:r>
      <w:r>
        <w:rPr>
          <w:rFonts w:ascii="Arial" w:cs="Arial" w:eastAsia="Arial" w:hAnsi="Arial"/>
          <w:sz w:val="17"/>
          <w:szCs w:val="17"/>
          <w:i w:val="1"/>
          <w:iCs w:val="1"/>
          <w:color w:val="003551"/>
        </w:rPr>
        <w:t xml:space="preserve">provided </w:t>
      </w:r>
      <w:r>
        <w:rPr>
          <w:rFonts w:ascii="Arial" w:cs="Arial" w:eastAsia="Arial" w:hAnsi="Arial"/>
          <w:sz w:val="17"/>
          <w:szCs w:val="17"/>
          <w:color w:val="003551"/>
        </w:rPr>
        <w:t>that, in the case of an Option or SAR Award, if such value equals the Intrinsic Value of</w:t>
      </w:r>
      <w:r>
        <w:rPr>
          <w:rFonts w:ascii="Arial" w:cs="Arial" w:eastAsia="Arial" w:hAnsi="Arial"/>
          <w:sz w:val="17"/>
          <w:szCs w:val="17"/>
          <w:i w:val="1"/>
          <w:iCs w:val="1"/>
          <w:color w:val="003551"/>
        </w:rPr>
        <w:t xml:space="preserve"> </w:t>
      </w:r>
      <w:r>
        <w:rPr>
          <w:rFonts w:ascii="Arial" w:cs="Arial" w:eastAsia="Arial" w:hAnsi="Arial"/>
          <w:sz w:val="17"/>
          <w:szCs w:val="17"/>
          <w:color w:val="003551"/>
        </w:rPr>
        <w:t xml:space="preserve">such Award, such value shall be deemed to be valid; </w:t>
      </w:r>
      <w:r>
        <w:rPr>
          <w:rFonts w:ascii="Arial" w:cs="Arial" w:eastAsia="Arial" w:hAnsi="Arial"/>
          <w:sz w:val="17"/>
          <w:szCs w:val="17"/>
          <w:i w:val="1"/>
          <w:iCs w:val="1"/>
          <w:color w:val="003551"/>
        </w:rPr>
        <w:t>provided further</w:t>
      </w:r>
      <w:r>
        <w:rPr>
          <w:rFonts w:ascii="Arial" w:cs="Arial" w:eastAsia="Arial" w:hAnsi="Arial"/>
          <w:sz w:val="17"/>
          <w:szCs w:val="17"/>
          <w:color w:val="003551"/>
        </w:rPr>
        <w:t xml:space="preserve"> that, if the Intrinsic Value of an Option or SAR Award is equal to or less than zero, the Board may, in its sole discretion, provide for the cancellation of such Award without payment of any consideration therefor (for the avoidance of doubt, in the event of a Change in Control, the Board may, in its sole discretion, terminate any Option or SAR Awards for which the exercise or hurdle price is equal to or exceeds the per Share value of the consideration to be paid in the Change in Control transaction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105410</wp:posOffset>
            </wp:positionV>
            <wp:extent cx="6786880" cy="1651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6" w:right="1440"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640" w:right="439"/>
        <w:spacing w:after="0" w:line="262" w:lineRule="auto"/>
        <w:rPr>
          <w:sz w:val="20"/>
          <w:szCs w:val="20"/>
          <w:color w:val="auto"/>
        </w:rPr>
      </w:pPr>
      <w:r>
        <w:rPr>
          <w:rFonts w:ascii="Arial" w:cs="Arial" w:eastAsia="Arial" w:hAnsi="Arial"/>
          <w:sz w:val="17"/>
          <w:szCs w:val="17"/>
          <w:color w:val="003551"/>
        </w:rPr>
        <w:t xml:space="preserve">payment of consideration therefor); and (C) such payment shall be made promptly following such Change in Control or on a specified date or dates following such Change in Control; </w:t>
      </w:r>
      <w:r>
        <w:rPr>
          <w:rFonts w:ascii="Arial" w:cs="Arial" w:eastAsia="Arial" w:hAnsi="Arial"/>
          <w:sz w:val="17"/>
          <w:szCs w:val="17"/>
          <w:i w:val="1"/>
          <w:iCs w:val="1"/>
          <w:color w:val="003551"/>
        </w:rPr>
        <w:t>provided</w:t>
      </w:r>
      <w:r>
        <w:rPr>
          <w:rFonts w:ascii="Arial" w:cs="Arial" w:eastAsia="Arial" w:hAnsi="Arial"/>
          <w:sz w:val="17"/>
          <w:szCs w:val="17"/>
          <w:color w:val="003551"/>
        </w:rPr>
        <w:t xml:space="preserve"> </w:t>
      </w:r>
      <w:r>
        <w:rPr>
          <w:rFonts w:ascii="Arial" w:cs="Arial" w:eastAsia="Arial" w:hAnsi="Arial"/>
          <w:sz w:val="17"/>
          <w:szCs w:val="17"/>
          <w:i w:val="1"/>
          <w:iCs w:val="1"/>
          <w:color w:val="003551"/>
        </w:rPr>
        <w:t xml:space="preserve">further </w:t>
      </w:r>
      <w:r>
        <w:rPr>
          <w:rFonts w:ascii="Arial" w:cs="Arial" w:eastAsia="Arial" w:hAnsi="Arial"/>
          <w:sz w:val="17"/>
          <w:szCs w:val="17"/>
          <w:color w:val="003551"/>
        </w:rPr>
        <w:t>that the timing of such payment shall comply with Section 409A.</w:t>
      </w:r>
    </w:p>
    <w:p>
      <w:pPr>
        <w:spacing w:after="0" w:line="91"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003551"/>
        </w:rPr>
        <w:t>Section 13.   General Provisions Applicable to Awards</w:t>
      </w:r>
      <w:r>
        <w:rPr>
          <w:rFonts w:ascii="Arial" w:cs="Arial" w:eastAsia="Arial" w:hAnsi="Arial"/>
          <w:sz w:val="17"/>
          <w:szCs w:val="17"/>
          <w:color w:val="003551"/>
        </w:rPr>
        <w:t>.</w:t>
      </w:r>
    </w:p>
    <w:p>
      <w:pPr>
        <w:spacing w:after="0" w:line="108" w:lineRule="exact"/>
        <w:rPr>
          <w:sz w:val="20"/>
          <w:szCs w:val="20"/>
          <w:color w:val="auto"/>
        </w:rPr>
      </w:pPr>
    </w:p>
    <w:p>
      <w:pPr>
        <w:ind w:left="1280" w:right="499"/>
        <w:spacing w:after="0" w:line="262" w:lineRule="auto"/>
        <w:rPr>
          <w:sz w:val="20"/>
          <w:szCs w:val="20"/>
          <w:color w:val="auto"/>
        </w:rPr>
      </w:pPr>
      <w:r>
        <w:rPr>
          <w:rFonts w:ascii="Arial" w:cs="Arial" w:eastAsia="Arial" w:hAnsi="Arial"/>
          <w:sz w:val="17"/>
          <w:szCs w:val="17"/>
          <w:color w:val="003551"/>
        </w:rPr>
        <w:t xml:space="preserve">(a)  Awards shall be granted for such cash or other consideration, if any, as the Board determines in its sole discretion; </w:t>
      </w:r>
      <w:r>
        <w:rPr>
          <w:rFonts w:ascii="Arial" w:cs="Arial" w:eastAsia="Arial" w:hAnsi="Arial"/>
          <w:sz w:val="17"/>
          <w:szCs w:val="17"/>
          <w:i w:val="1"/>
          <w:iCs w:val="1"/>
          <w:color w:val="003551"/>
        </w:rPr>
        <w:t>provided</w:t>
      </w:r>
      <w:r>
        <w:rPr>
          <w:rFonts w:ascii="Arial" w:cs="Arial" w:eastAsia="Arial" w:hAnsi="Arial"/>
          <w:sz w:val="17"/>
          <w:szCs w:val="17"/>
          <w:color w:val="003551"/>
        </w:rPr>
        <w:t xml:space="preserve"> that in no event shall Awards be issued for less than such minimal consideration as may be required by applicable law.</w:t>
      </w:r>
    </w:p>
    <w:p>
      <w:pPr>
        <w:spacing w:after="0" w:line="54" w:lineRule="exact"/>
        <w:rPr>
          <w:sz w:val="20"/>
          <w:szCs w:val="20"/>
          <w:color w:val="auto"/>
        </w:rPr>
      </w:pPr>
    </w:p>
    <w:p>
      <w:pPr>
        <w:ind w:left="1280" w:right="699"/>
        <w:spacing w:after="0" w:line="251" w:lineRule="auto"/>
        <w:rPr>
          <w:sz w:val="20"/>
          <w:szCs w:val="20"/>
          <w:color w:val="auto"/>
        </w:rPr>
      </w:pPr>
      <w:r>
        <w:rPr>
          <w:rFonts w:ascii="Arial" w:cs="Arial" w:eastAsia="Arial" w:hAnsi="Arial"/>
          <w:sz w:val="17"/>
          <w:szCs w:val="17"/>
          <w:color w:val="003551"/>
        </w:rPr>
        <w:t>(b)  Awards may, in the sole discretion of the Board, be granted either alone or in addition to or in tandem with any other Award or any award granted under any other plan of the Company. Awards granted in addition to or in tandem with other Awards, or in addition to or in tandem with awards granted under any other plan of the Company, may be granted either at the same time as or at a different time from the grant of such other Awards or awards.</w:t>
      </w:r>
    </w:p>
    <w:p>
      <w:pPr>
        <w:spacing w:after="0" w:line="65" w:lineRule="exact"/>
        <w:rPr>
          <w:sz w:val="20"/>
          <w:szCs w:val="20"/>
          <w:color w:val="auto"/>
        </w:rPr>
      </w:pPr>
    </w:p>
    <w:p>
      <w:pPr>
        <w:ind w:left="1280" w:right="479"/>
        <w:spacing w:after="0" w:line="247" w:lineRule="auto"/>
        <w:rPr>
          <w:sz w:val="20"/>
          <w:szCs w:val="20"/>
          <w:color w:val="auto"/>
        </w:rPr>
      </w:pPr>
      <w:r>
        <w:rPr>
          <w:rFonts w:ascii="Arial" w:cs="Arial" w:eastAsia="Arial" w:hAnsi="Arial"/>
          <w:sz w:val="17"/>
          <w:szCs w:val="17"/>
          <w:color w:val="003551"/>
        </w:rPr>
        <w:t>(c)  Subject to the terms of this Plan, payments or transfers to be made by the Company upon the grant, exercise or settlement of an Award may be made in the form of cash, Shares, other Awards, other property, net settlement, or any combination thereof, as determined by the Board in its sole discretion at the time of grant, and may be made in a single payment or transfer, in installments or on a deferred basis, in each case in accordance with rules and procedures established by the Board in its sole discretion. Such rules and procedures may include provisions for the payment or crediting of reasonable interest on installment or deferred payments or the grant or crediting of dividend equivalents in respect of installment or deferred payments.</w:t>
      </w:r>
    </w:p>
    <w:p>
      <w:pPr>
        <w:spacing w:after="0" w:line="67" w:lineRule="exact"/>
        <w:rPr>
          <w:sz w:val="20"/>
          <w:szCs w:val="20"/>
          <w:color w:val="auto"/>
        </w:rPr>
      </w:pPr>
    </w:p>
    <w:p>
      <w:pPr>
        <w:ind w:left="1280" w:right="419"/>
        <w:spacing w:after="0" w:line="247" w:lineRule="auto"/>
        <w:rPr>
          <w:sz w:val="20"/>
          <w:szCs w:val="20"/>
          <w:color w:val="auto"/>
        </w:rPr>
      </w:pPr>
      <w:r>
        <w:rPr>
          <w:rFonts w:ascii="Arial" w:cs="Arial" w:eastAsia="Arial" w:hAnsi="Arial"/>
          <w:sz w:val="17"/>
          <w:szCs w:val="17"/>
          <w:color w:val="003551"/>
        </w:rPr>
        <w:t xml:space="preserve">(d)  Except as may be permitted by the Board in its sole discretion or as specifically provided in an Award Agreement, (i) no Award and no right under any Award shall be assignable, alienable, saleable or transferable by a Participant other than by will, the laws of descent and distribution, or pursuant to </w:t>
      </w:r>
      <w:r>
        <w:rPr>
          <w:rFonts w:ascii="Arial" w:cs="Arial" w:eastAsia="Arial" w:hAnsi="Arial"/>
          <w:sz w:val="17"/>
          <w:szCs w:val="17"/>
          <w:u w:val="single" w:color="auto"/>
          <w:color w:val="003551"/>
        </w:rPr>
        <w:t>Section 13(d)</w:t>
      </w:r>
      <w:r>
        <w:rPr>
          <w:rFonts w:ascii="Arial" w:cs="Arial" w:eastAsia="Arial" w:hAnsi="Arial"/>
          <w:sz w:val="17"/>
          <w:szCs w:val="17"/>
          <w:color w:val="003551"/>
        </w:rPr>
        <w:t xml:space="preserve"> and (ii) during a Participant’s lifetime, each Award, and each right under any Award, shall be exercisable only by such Participant or, if permissible under applicable law, by such Participant’s guardian or legal representative. Except as required by applicable law, the provisions of this </w:t>
      </w:r>
      <w:r>
        <w:rPr>
          <w:rFonts w:ascii="Arial" w:cs="Arial" w:eastAsia="Arial" w:hAnsi="Arial"/>
          <w:sz w:val="17"/>
          <w:szCs w:val="17"/>
          <w:u w:val="single" w:color="auto"/>
          <w:color w:val="003551"/>
        </w:rPr>
        <w:t>Section 13(d)</w:t>
      </w:r>
      <w:r>
        <w:rPr>
          <w:rFonts w:ascii="Arial" w:cs="Arial" w:eastAsia="Arial" w:hAnsi="Arial"/>
          <w:sz w:val="17"/>
          <w:szCs w:val="17"/>
          <w:color w:val="003551"/>
        </w:rPr>
        <w:t xml:space="preserve"> shall not apply to any Award that has been fully exercised or settled, as the case may be, and shall not preclude forfeiture of an Award in accordance with the terms thereof. </w:t>
      </w:r>
    </w:p>
    <w:p>
      <w:pPr>
        <w:spacing w:after="0" w:line="67" w:lineRule="exact"/>
        <w:rPr>
          <w:sz w:val="20"/>
          <w:szCs w:val="20"/>
          <w:color w:val="auto"/>
        </w:rPr>
      </w:pPr>
    </w:p>
    <w:p>
      <w:pPr>
        <w:ind w:left="1280" w:right="539"/>
        <w:spacing w:after="0" w:line="262" w:lineRule="auto"/>
        <w:rPr>
          <w:sz w:val="20"/>
          <w:szCs w:val="20"/>
          <w:color w:val="auto"/>
        </w:rPr>
      </w:pPr>
      <w:r>
        <w:rPr>
          <w:rFonts w:ascii="Arial" w:cs="Arial" w:eastAsia="Arial" w:hAnsi="Arial"/>
          <w:sz w:val="17"/>
          <w:szCs w:val="17"/>
          <w:color w:val="003551"/>
        </w:rPr>
        <w:t>(e)  A Participant may designate a Beneficiary or change a previous Beneficiary designation only at such times as prescribed by the Board, in its sole discretion, and only by using forms and following procedures approved or accepted by the Board for that purpose.</w:t>
      </w:r>
    </w:p>
    <w:p>
      <w:pPr>
        <w:spacing w:after="0" w:line="54" w:lineRule="exact"/>
        <w:rPr>
          <w:sz w:val="20"/>
          <w:szCs w:val="20"/>
          <w:color w:val="auto"/>
        </w:rPr>
      </w:pPr>
    </w:p>
    <w:p>
      <w:pPr>
        <w:ind w:left="1280" w:right="419"/>
        <w:spacing w:after="0" w:line="248" w:lineRule="auto"/>
        <w:rPr>
          <w:sz w:val="20"/>
          <w:szCs w:val="20"/>
          <w:color w:val="auto"/>
        </w:rPr>
      </w:pPr>
      <w:r>
        <w:rPr>
          <w:rFonts w:ascii="Arial" w:cs="Arial" w:eastAsia="Arial" w:hAnsi="Arial"/>
          <w:sz w:val="17"/>
          <w:szCs w:val="17"/>
          <w:color w:val="003551"/>
        </w:rPr>
        <w:t>(f)  All certificates, if any, for Shares and/or other securities delivered under this Plan pursuant to any Award or the exercise or settlement thereof shall be subject to such stop transfer orders and other restrictions as the Board may deem advisable solely in accordance with the terms of this Plan or the rules, regulations and other requirements of the Securities and Exchange Commission, any stock market or exchange upon which such Shares or other securities are then quoted, traded or listed, and any applicable securities laws, and the Board may cause a legend or legends to be put on any such certificates to make appropriate reference to such restrictions.</w:t>
      </w:r>
    </w:p>
    <w:p>
      <w:pPr>
        <w:spacing w:after="0" w:line="66" w:lineRule="exact"/>
        <w:rPr>
          <w:sz w:val="20"/>
          <w:szCs w:val="20"/>
          <w:color w:val="auto"/>
        </w:rPr>
      </w:pPr>
    </w:p>
    <w:p>
      <w:pPr>
        <w:ind w:left="1280" w:right="379"/>
        <w:spacing w:after="0" w:line="245" w:lineRule="auto"/>
        <w:rPr>
          <w:sz w:val="20"/>
          <w:szCs w:val="20"/>
          <w:color w:val="auto"/>
        </w:rPr>
      </w:pPr>
      <w:r>
        <w:rPr>
          <w:rFonts w:ascii="Arial" w:cs="Arial" w:eastAsia="Arial" w:hAnsi="Arial"/>
          <w:sz w:val="17"/>
          <w:szCs w:val="17"/>
          <w:color w:val="003551"/>
        </w:rPr>
        <w:t>(g)  The Company will not be obligated to deliver any Shares under this Plan or remove restrictions from Shares previously delivered under this Plan until (i) all Award conditions have been met or removed to the Board’s satisfaction, (ii) as determined by the Board in its sole discretion, all other legal matters regarding the issuance and delivery of such Shares have been satisfied, including any applicable securities laws, stock market or exchange rules and regulations or accounting or tax rules and regulations and (iii) the Participant has executed and delivered to the Company such representations or agreements as the Board deems necessary or appropriate to satisfy any applicable laws. The Company’s inability to obtain authority from any regulatory body having jurisdiction, which the Board determines, in its sole discretion, is necessary to the lawful issuance and sale of any Shares, will relieve the Company of any liability for failing to issue or sell such Shares as to which such requisite authority has not been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97155</wp:posOffset>
            </wp:positionV>
            <wp:extent cx="6786880" cy="1651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6" w:right="1440"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80" w:right="399"/>
        <w:spacing w:after="0" w:line="262" w:lineRule="auto"/>
        <w:rPr>
          <w:sz w:val="20"/>
          <w:szCs w:val="20"/>
          <w:color w:val="auto"/>
        </w:rPr>
      </w:pPr>
      <w:r>
        <w:rPr>
          <w:rFonts w:ascii="Arial" w:cs="Arial" w:eastAsia="Arial" w:hAnsi="Arial"/>
          <w:sz w:val="17"/>
          <w:szCs w:val="17"/>
          <w:color w:val="003551"/>
        </w:rPr>
        <w:t>(h)  The Company may, in its sole discretion, set a minimum number of Awards (to the extent exercisable) that are permitted to be exercised by a Participant as part of a single Award exercise and a minimum time period between partial exercise of such Award.</w:t>
      </w:r>
    </w:p>
    <w:p>
      <w:pPr>
        <w:spacing w:after="0" w:line="54" w:lineRule="exact"/>
        <w:rPr>
          <w:sz w:val="20"/>
          <w:szCs w:val="20"/>
          <w:color w:val="auto"/>
        </w:rPr>
      </w:pPr>
    </w:p>
    <w:p>
      <w:pPr>
        <w:ind w:left="1280" w:right="399"/>
        <w:spacing w:after="0" w:line="249" w:lineRule="auto"/>
        <w:rPr>
          <w:sz w:val="20"/>
          <w:szCs w:val="20"/>
          <w:color w:val="auto"/>
        </w:rPr>
      </w:pPr>
      <w:r>
        <w:rPr>
          <w:rFonts w:ascii="Arial" w:cs="Arial" w:eastAsia="Arial" w:hAnsi="Arial"/>
          <w:sz w:val="17"/>
          <w:szCs w:val="17"/>
          <w:color w:val="003551"/>
        </w:rPr>
        <w:t>(i)  Awards under this Plan may be subject to additional country-specific provisions set forth in a country addendum, which addendum shall govern in the case of any inconsistency between an Award Agreement and the addendum. One or more country addenda may apply depending on the applicable law that the Company reasonably determines may apply under the Participant’s particular circumstances. The Board has the authority to determine, in its sole discretion, which addendum or addenda may apply and to reconcile any inconsistencies between applicable addenda.</w:t>
      </w:r>
    </w:p>
    <w:p>
      <w:pPr>
        <w:spacing w:after="0" w:line="104"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003551"/>
        </w:rPr>
        <w:t>Section 14.   Amendments and Terminations</w:t>
      </w:r>
      <w:r>
        <w:rPr>
          <w:rFonts w:ascii="Arial" w:cs="Arial" w:eastAsia="Arial" w:hAnsi="Arial"/>
          <w:sz w:val="17"/>
          <w:szCs w:val="17"/>
          <w:color w:val="003551"/>
        </w:rPr>
        <w:t>.</w:t>
      </w:r>
    </w:p>
    <w:p>
      <w:pPr>
        <w:spacing w:after="0" w:line="108" w:lineRule="exact"/>
        <w:rPr>
          <w:sz w:val="20"/>
          <w:szCs w:val="20"/>
          <w:color w:val="auto"/>
        </w:rPr>
      </w:pPr>
    </w:p>
    <w:p>
      <w:pPr>
        <w:ind w:left="1280" w:right="379"/>
        <w:spacing w:after="0" w:line="244" w:lineRule="auto"/>
        <w:rPr>
          <w:sz w:val="20"/>
          <w:szCs w:val="20"/>
          <w:color w:val="auto"/>
        </w:rPr>
      </w:pPr>
      <w:r>
        <w:rPr>
          <w:rFonts w:ascii="Arial" w:cs="Arial" w:eastAsia="Arial" w:hAnsi="Arial"/>
          <w:sz w:val="17"/>
          <w:szCs w:val="17"/>
          <w:color w:val="003551"/>
        </w:rPr>
        <w:t xml:space="preserve">(a)  </w:t>
      </w:r>
      <w:r>
        <w:rPr>
          <w:rFonts w:ascii="Arial" w:cs="Arial" w:eastAsia="Arial" w:hAnsi="Arial"/>
          <w:sz w:val="17"/>
          <w:szCs w:val="17"/>
          <w:i w:val="1"/>
          <w:iCs w:val="1"/>
          <w:color w:val="003551"/>
        </w:rPr>
        <w:t>Amendment or Termination of this Plan</w:t>
      </w:r>
      <w:r>
        <w:rPr>
          <w:rFonts w:ascii="Arial" w:cs="Arial" w:eastAsia="Arial" w:hAnsi="Arial"/>
          <w:sz w:val="17"/>
          <w:szCs w:val="17"/>
          <w:color w:val="003551"/>
        </w:rPr>
        <w:t xml:space="preserve">. Except to the extent prohibited by applicable law and unless otherwise expressly provided in an Award Agreement or in this Plan, the Board may amend, alter, suspend, discontinue or terminate this Plan or any portion thereof at any time; </w:t>
      </w:r>
      <w:r>
        <w:rPr>
          <w:rFonts w:ascii="Arial" w:cs="Arial" w:eastAsia="Arial" w:hAnsi="Arial"/>
          <w:sz w:val="17"/>
          <w:szCs w:val="17"/>
          <w:i w:val="1"/>
          <w:iCs w:val="1"/>
          <w:color w:val="003551"/>
        </w:rPr>
        <w:t>provided</w:t>
      </w:r>
      <w:r>
        <w:rPr>
          <w:rFonts w:ascii="Arial" w:cs="Arial" w:eastAsia="Arial" w:hAnsi="Arial"/>
          <w:sz w:val="17"/>
          <w:szCs w:val="17"/>
          <w:color w:val="003551"/>
        </w:rPr>
        <w:t xml:space="preserve">, </w:t>
      </w:r>
      <w:r>
        <w:rPr>
          <w:rFonts w:ascii="Arial" w:cs="Arial" w:eastAsia="Arial" w:hAnsi="Arial"/>
          <w:sz w:val="17"/>
          <w:szCs w:val="17"/>
          <w:i w:val="1"/>
          <w:iCs w:val="1"/>
          <w:color w:val="003551"/>
        </w:rPr>
        <w:t>however</w:t>
      </w:r>
      <w:r>
        <w:rPr>
          <w:rFonts w:ascii="Arial" w:cs="Arial" w:eastAsia="Arial" w:hAnsi="Arial"/>
          <w:sz w:val="17"/>
          <w:szCs w:val="17"/>
          <w:color w:val="003551"/>
        </w:rPr>
        <w:t>, that no such amendment, alteration, suspension, discontinuation or termination shall be</w:t>
      </w:r>
      <w:r>
        <w:rPr>
          <w:rFonts w:ascii="Arial" w:cs="Arial" w:eastAsia="Arial" w:hAnsi="Arial"/>
          <w:sz w:val="17"/>
          <w:szCs w:val="17"/>
          <w:i w:val="1"/>
          <w:iCs w:val="1"/>
          <w:color w:val="003551"/>
        </w:rPr>
        <w:t xml:space="preserve"> </w:t>
      </w:r>
      <w:r>
        <w:rPr>
          <w:rFonts w:ascii="Arial" w:cs="Arial" w:eastAsia="Arial" w:hAnsi="Arial"/>
          <w:sz w:val="17"/>
          <w:szCs w:val="17"/>
          <w:color w:val="003551"/>
        </w:rPr>
        <w:t xml:space="preserve">made without (i) shareholder approval if such approval is required by applicable law or the rules of the stock market or exchange, if any, on which the Shares are principally quoted or traded or (ii) subject to </w:t>
      </w:r>
      <w:r>
        <w:rPr>
          <w:rFonts w:ascii="Arial" w:cs="Arial" w:eastAsia="Arial" w:hAnsi="Arial"/>
          <w:sz w:val="17"/>
          <w:szCs w:val="17"/>
          <w:u w:val="single" w:color="auto"/>
          <w:color w:val="003551"/>
        </w:rPr>
        <w:t>Section 5(d)</w:t>
      </w:r>
      <w:r>
        <w:rPr>
          <w:rFonts w:ascii="Arial" w:cs="Arial" w:eastAsia="Arial" w:hAnsi="Arial"/>
          <w:sz w:val="17"/>
          <w:szCs w:val="17"/>
          <w:color w:val="003551"/>
        </w:rPr>
        <w:t xml:space="preserve"> and </w:t>
      </w:r>
      <w:r>
        <w:rPr>
          <w:rFonts w:ascii="Arial" w:cs="Arial" w:eastAsia="Arial" w:hAnsi="Arial"/>
          <w:sz w:val="17"/>
          <w:szCs w:val="17"/>
          <w:u w:val="single" w:color="auto"/>
          <w:color w:val="003551"/>
        </w:rPr>
        <w:t>Section 12</w:t>
      </w:r>
      <w:r>
        <w:rPr>
          <w:rFonts w:ascii="Arial" w:cs="Arial" w:eastAsia="Arial" w:hAnsi="Arial"/>
          <w:sz w:val="17"/>
          <w:szCs w:val="17"/>
          <w:color w:val="003551"/>
        </w:rPr>
        <w:t xml:space="preserve">, the consent of the affected Participant, if such action would materially adversely affect the rights of such Participant under any outstanding Award, except (x) to the extent any such amendment, alteration, suspension, discontinuance or termination is made to cause this Plan to comply with applicable law, stock market or exchange rules and regulations or accounting or tax rules and regulations or (y) to impose any “clawback” or recoupment provisions on any Awards (including any amounts or benefits arising from such Awards) in accordance with </w:t>
      </w:r>
      <w:r>
        <w:rPr>
          <w:rFonts w:ascii="Arial" w:cs="Arial" w:eastAsia="Arial" w:hAnsi="Arial"/>
          <w:sz w:val="17"/>
          <w:szCs w:val="17"/>
          <w:u w:val="single" w:color="auto"/>
          <w:color w:val="003551"/>
        </w:rPr>
        <w:t>Section 18</w:t>
      </w:r>
      <w:r>
        <w:rPr>
          <w:rFonts w:ascii="Arial" w:cs="Arial" w:eastAsia="Arial" w:hAnsi="Arial"/>
          <w:sz w:val="17"/>
          <w:szCs w:val="17"/>
          <w:color w:val="003551"/>
        </w:rPr>
        <w:t>. Notwithstanding anything to the contrary in this Plan, the Board may amend this Plan, or create sub-plans, in such manner as may be necessary or desirable to enable this Plan to achieve its stated purposes in any jurisdiction in a tax-efficient manner and in compliance with local rules and regulations. </w:t>
      </w:r>
    </w:p>
    <w:p>
      <w:pPr>
        <w:spacing w:after="0" w:line="267" w:lineRule="exact"/>
        <w:rPr>
          <w:sz w:val="20"/>
          <w:szCs w:val="20"/>
          <w:color w:val="auto"/>
        </w:rPr>
      </w:pPr>
    </w:p>
    <w:p>
      <w:pPr>
        <w:ind w:left="1280" w:right="759"/>
        <w:spacing w:after="0" w:line="262" w:lineRule="auto"/>
        <w:rPr>
          <w:sz w:val="20"/>
          <w:szCs w:val="20"/>
          <w:color w:val="auto"/>
        </w:rPr>
      </w:pPr>
      <w:r>
        <w:rPr>
          <w:rFonts w:ascii="Arial" w:cs="Arial" w:eastAsia="Arial" w:hAnsi="Arial"/>
          <w:sz w:val="17"/>
          <w:szCs w:val="17"/>
          <w:color w:val="003551"/>
        </w:rPr>
        <w:t xml:space="preserve">(b)  </w:t>
      </w:r>
      <w:r>
        <w:rPr>
          <w:rFonts w:ascii="Arial" w:cs="Arial" w:eastAsia="Arial" w:hAnsi="Arial"/>
          <w:sz w:val="17"/>
          <w:szCs w:val="17"/>
          <w:i w:val="1"/>
          <w:iCs w:val="1"/>
          <w:color w:val="003551"/>
        </w:rPr>
        <w:t>Dissolution or Liquidation</w:t>
      </w:r>
      <w:r>
        <w:rPr>
          <w:rFonts w:ascii="Arial" w:cs="Arial" w:eastAsia="Arial" w:hAnsi="Arial"/>
          <w:sz w:val="17"/>
          <w:szCs w:val="17"/>
          <w:color w:val="003551"/>
        </w:rPr>
        <w:t>. In the event of the dissolution or liquidation of the Company, each Award shall terminate immediately prior to the consummation of such action, unless otherwise determined by the Board in its sole discretion.</w:t>
      </w:r>
    </w:p>
    <w:p>
      <w:pPr>
        <w:spacing w:after="0" w:line="54" w:lineRule="exact"/>
        <w:rPr>
          <w:sz w:val="20"/>
          <w:szCs w:val="20"/>
          <w:color w:val="auto"/>
        </w:rPr>
      </w:pPr>
    </w:p>
    <w:p>
      <w:pPr>
        <w:ind w:left="1280" w:right="399"/>
        <w:spacing w:after="0" w:line="244" w:lineRule="auto"/>
        <w:rPr>
          <w:sz w:val="20"/>
          <w:szCs w:val="20"/>
          <w:color w:val="auto"/>
        </w:rPr>
      </w:pPr>
      <w:r>
        <w:rPr>
          <w:rFonts w:ascii="Arial" w:cs="Arial" w:eastAsia="Arial" w:hAnsi="Arial"/>
          <w:sz w:val="17"/>
          <w:szCs w:val="17"/>
          <w:color w:val="003551"/>
        </w:rPr>
        <w:t xml:space="preserve">(c)  </w:t>
      </w:r>
      <w:r>
        <w:rPr>
          <w:rFonts w:ascii="Arial" w:cs="Arial" w:eastAsia="Arial" w:hAnsi="Arial"/>
          <w:sz w:val="17"/>
          <w:szCs w:val="17"/>
          <w:i w:val="1"/>
          <w:iCs w:val="1"/>
          <w:color w:val="003551"/>
        </w:rPr>
        <w:t>Terms of Awards</w:t>
      </w:r>
      <w:r>
        <w:rPr>
          <w:rFonts w:ascii="Arial" w:cs="Arial" w:eastAsia="Arial" w:hAnsi="Arial"/>
          <w:sz w:val="17"/>
          <w:szCs w:val="17"/>
          <w:color w:val="003551"/>
        </w:rPr>
        <w:t xml:space="preserve">. The Board may waive any conditions or rights under, amend any terms of, or amend, alter, suspend, discontinue or terminate any Award theretofore granted (including by substituting another Award of the same or a different type), prospectively or retroactively, without the consent of any relevant Participant or holder or Beneficiary of an Award; </w:t>
      </w:r>
      <w:r>
        <w:rPr>
          <w:rFonts w:ascii="Arial" w:cs="Arial" w:eastAsia="Arial" w:hAnsi="Arial"/>
          <w:sz w:val="17"/>
          <w:szCs w:val="17"/>
          <w:i w:val="1"/>
          <w:iCs w:val="1"/>
          <w:color w:val="003551"/>
        </w:rPr>
        <w:t>provided</w:t>
      </w:r>
      <w:r>
        <w:rPr>
          <w:rFonts w:ascii="Arial" w:cs="Arial" w:eastAsia="Arial" w:hAnsi="Arial"/>
          <w:sz w:val="17"/>
          <w:szCs w:val="17"/>
          <w:color w:val="003551"/>
        </w:rPr>
        <w:t xml:space="preserve">, </w:t>
      </w:r>
      <w:r>
        <w:rPr>
          <w:rFonts w:ascii="Arial" w:cs="Arial" w:eastAsia="Arial" w:hAnsi="Arial"/>
          <w:sz w:val="17"/>
          <w:szCs w:val="17"/>
          <w:i w:val="1"/>
          <w:iCs w:val="1"/>
          <w:color w:val="003551"/>
        </w:rPr>
        <w:t>however</w:t>
      </w:r>
      <w:r>
        <w:rPr>
          <w:rFonts w:ascii="Arial" w:cs="Arial" w:eastAsia="Arial" w:hAnsi="Arial"/>
          <w:sz w:val="17"/>
          <w:szCs w:val="17"/>
          <w:color w:val="003551"/>
        </w:rPr>
        <w:t xml:space="preserve">, that, subject to </w:t>
      </w:r>
      <w:r>
        <w:rPr>
          <w:rFonts w:ascii="Arial" w:cs="Arial" w:eastAsia="Arial" w:hAnsi="Arial"/>
          <w:sz w:val="17"/>
          <w:szCs w:val="17"/>
          <w:u w:val="single" w:color="auto"/>
          <w:color w:val="003551"/>
        </w:rPr>
        <w:t>Section 5(d)</w:t>
      </w:r>
      <w:r>
        <w:rPr>
          <w:rFonts w:ascii="Arial" w:cs="Arial" w:eastAsia="Arial" w:hAnsi="Arial"/>
          <w:sz w:val="17"/>
          <w:szCs w:val="17"/>
          <w:color w:val="003551"/>
        </w:rPr>
        <w:t xml:space="preserve"> and </w:t>
      </w:r>
      <w:r>
        <w:rPr>
          <w:rFonts w:ascii="Arial" w:cs="Arial" w:eastAsia="Arial" w:hAnsi="Arial"/>
          <w:sz w:val="17"/>
          <w:szCs w:val="17"/>
          <w:u w:val="single" w:color="auto"/>
          <w:color w:val="003551"/>
        </w:rPr>
        <w:t>Section 12</w:t>
      </w:r>
      <w:r>
        <w:rPr>
          <w:rFonts w:ascii="Arial" w:cs="Arial" w:eastAsia="Arial" w:hAnsi="Arial"/>
          <w:sz w:val="17"/>
          <w:szCs w:val="17"/>
          <w:color w:val="003551"/>
        </w:rPr>
        <w:t xml:space="preserve">, no such action shall materially adversely affect the rights of any affected Participant or holder or Beneficiary under any Award theretofore granted under this Plan, except (x) to the extent any such action is made to cause this Plan or Award to comply with applicable law, stock market or exchange rules and regulations or accounting or tax rules and regulations, or (y) to impose any “clawback” or recoupment provisions on any Awards (including any amounts or benefits arising from such Awards) in accordance with </w:t>
      </w:r>
      <w:r>
        <w:rPr>
          <w:rFonts w:ascii="Arial" w:cs="Arial" w:eastAsia="Arial" w:hAnsi="Arial"/>
          <w:sz w:val="17"/>
          <w:szCs w:val="17"/>
          <w:u w:val="single" w:color="auto"/>
          <w:color w:val="003551"/>
        </w:rPr>
        <w:t>Section 18</w:t>
      </w:r>
      <w:r>
        <w:rPr>
          <w:rFonts w:ascii="Arial" w:cs="Arial" w:eastAsia="Arial" w:hAnsi="Arial"/>
          <w:sz w:val="17"/>
          <w:szCs w:val="17"/>
          <w:color w:val="003551"/>
        </w:rPr>
        <w:t xml:space="preserve">. The Board shall be authorized to make adjustments in the terms and conditions of, and the criteria included in, Awards in recognition of events (including the events described in </w:t>
      </w:r>
      <w:r>
        <w:rPr>
          <w:rFonts w:ascii="Arial" w:cs="Arial" w:eastAsia="Arial" w:hAnsi="Arial"/>
          <w:sz w:val="17"/>
          <w:szCs w:val="17"/>
          <w:u w:val="single" w:color="auto"/>
          <w:color w:val="003551"/>
        </w:rPr>
        <w:t>Section 5(d)</w:t>
      </w:r>
      <w:r>
        <w:rPr>
          <w:rFonts w:ascii="Arial" w:cs="Arial" w:eastAsia="Arial" w:hAnsi="Arial"/>
          <w:sz w:val="17"/>
          <w:szCs w:val="17"/>
          <w:color w:val="003551"/>
        </w:rPr>
        <w:t>) affecting the Company, the financial statements of the Company or changes in applicable laws, regulations or accounting principles, whenever the Board determines, in its sole discretion, that such adjustments are appropriate in order to prevent dilution or enlargement of the benefits or potential benefits intended to be made available under this Plan.</w:t>
      </w:r>
    </w:p>
    <w:p>
      <w:pPr>
        <w:spacing w:after="0" w:line="267" w:lineRule="exact"/>
        <w:rPr>
          <w:sz w:val="20"/>
          <w:szCs w:val="20"/>
          <w:color w:val="auto"/>
        </w:rPr>
      </w:pPr>
    </w:p>
    <w:p>
      <w:pPr>
        <w:ind w:left="1280" w:right="539"/>
        <w:spacing w:after="0" w:line="249" w:lineRule="auto"/>
        <w:rPr>
          <w:sz w:val="20"/>
          <w:szCs w:val="20"/>
          <w:color w:val="auto"/>
        </w:rPr>
      </w:pPr>
      <w:r>
        <w:rPr>
          <w:rFonts w:ascii="Arial" w:cs="Arial" w:eastAsia="Arial" w:hAnsi="Arial"/>
          <w:sz w:val="17"/>
          <w:szCs w:val="17"/>
          <w:color w:val="003551"/>
        </w:rPr>
        <w:t xml:space="preserve">(d)  </w:t>
      </w:r>
      <w:r>
        <w:rPr>
          <w:rFonts w:ascii="Arial" w:cs="Arial" w:eastAsia="Arial" w:hAnsi="Arial"/>
          <w:sz w:val="17"/>
          <w:szCs w:val="17"/>
          <w:i w:val="1"/>
          <w:iCs w:val="1"/>
          <w:color w:val="003551"/>
        </w:rPr>
        <w:t>No Repricing</w:t>
      </w:r>
      <w:r>
        <w:rPr>
          <w:rFonts w:ascii="Arial" w:cs="Arial" w:eastAsia="Arial" w:hAnsi="Arial"/>
          <w:sz w:val="17"/>
          <w:szCs w:val="17"/>
          <w:color w:val="003551"/>
        </w:rPr>
        <w:t xml:space="preserve">. Except as provided in </w:t>
      </w:r>
      <w:r>
        <w:rPr>
          <w:rFonts w:ascii="Arial" w:cs="Arial" w:eastAsia="Arial" w:hAnsi="Arial"/>
          <w:sz w:val="17"/>
          <w:szCs w:val="17"/>
          <w:u w:val="single" w:color="auto"/>
          <w:color w:val="003551"/>
        </w:rPr>
        <w:t>Section 5(d)</w:t>
      </w:r>
      <w:r>
        <w:rPr>
          <w:rFonts w:ascii="Arial" w:cs="Arial" w:eastAsia="Arial" w:hAnsi="Arial"/>
          <w:sz w:val="17"/>
          <w:szCs w:val="17"/>
          <w:color w:val="003551"/>
        </w:rPr>
        <w:t>, the Board may not, without shareholder approval, seek to effect any re-pricing of any previously granted “underwater” Option, SAR or similar Award by: (i) amending or modifying the terms of the Option, SAR or similar Award to lower the exercise or hurdle price; (ii) cancelling the “underwater” Option, SAR or similar Award and granting either (A) replacement Options, SARs or similar Awards having a lower exercise or hurdle price or (B) Restricted Stock, RSUs, Performance Awards or Other Share-Based Awards in exchange;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94615</wp:posOffset>
            </wp:positionV>
            <wp:extent cx="6786880" cy="1651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80" w:right="379" w:firstLine="6"/>
        <w:spacing w:after="0" w:line="255" w:lineRule="auto"/>
        <w:tabs>
          <w:tab w:leader="none" w:pos="1561" w:val="left"/>
        </w:tabs>
        <w:numPr>
          <w:ilvl w:val="0"/>
          <w:numId w:val="219"/>
        </w:numPr>
        <w:rPr>
          <w:rFonts w:ascii="Arial" w:cs="Arial" w:eastAsia="Arial" w:hAnsi="Arial"/>
          <w:sz w:val="17"/>
          <w:szCs w:val="17"/>
          <w:color w:val="003551"/>
        </w:rPr>
      </w:pPr>
      <w:r>
        <w:rPr>
          <w:rFonts w:ascii="Arial" w:cs="Arial" w:eastAsia="Arial" w:hAnsi="Arial"/>
          <w:sz w:val="17"/>
          <w:szCs w:val="17"/>
          <w:color w:val="003551"/>
        </w:rPr>
        <w:t>cancelling or repurchasing the “underwater” Options, SARs or similar Awards for cash or other securities. An Option, SAR or similar Award will be deemed to be “underwater” at any time when the Fair Market Value of the Shares covered by such Award is less than the exercise or hurdle price of the Award.</w:t>
      </w:r>
    </w:p>
    <w:p>
      <w:pPr>
        <w:spacing w:after="0" w:line="97"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003551"/>
        </w:rPr>
        <w:t>Section 15.   Miscellaneous</w:t>
      </w:r>
      <w:r>
        <w:rPr>
          <w:rFonts w:ascii="Arial" w:cs="Arial" w:eastAsia="Arial" w:hAnsi="Arial"/>
          <w:sz w:val="17"/>
          <w:szCs w:val="17"/>
          <w:color w:val="003551"/>
        </w:rPr>
        <w:t>.</w:t>
      </w:r>
    </w:p>
    <w:p>
      <w:pPr>
        <w:spacing w:after="0" w:line="108" w:lineRule="exact"/>
        <w:rPr>
          <w:sz w:val="20"/>
          <w:szCs w:val="20"/>
          <w:color w:val="auto"/>
        </w:rPr>
      </w:pPr>
    </w:p>
    <w:p>
      <w:pPr>
        <w:ind w:left="1280" w:right="399"/>
        <w:spacing w:after="0" w:line="249" w:lineRule="auto"/>
        <w:rPr>
          <w:sz w:val="20"/>
          <w:szCs w:val="20"/>
          <w:color w:val="auto"/>
        </w:rPr>
      </w:pPr>
      <w:r>
        <w:rPr>
          <w:rFonts w:ascii="Arial" w:cs="Arial" w:eastAsia="Arial" w:hAnsi="Arial"/>
          <w:sz w:val="17"/>
          <w:szCs w:val="17"/>
          <w:color w:val="003551"/>
        </w:rPr>
        <w:t>(a)  No Employee, Consultant, non-employee Director, Participant, or other Person shall have any claim to be granted any Award under this Plan, and there is no obligation for uniformity of treatment of employees, Participants or holders or Beneficiaries of Awards under this Plan. The terms and conditions of Awards need not be the same with respect to each recipient. Any Award granted under this Plan shall be a one-time Award that does not constitute a promise of future grants. The Company, in its sole discretion, maintains the right to make available future grants under this Plan.</w:t>
      </w:r>
    </w:p>
    <w:p>
      <w:pPr>
        <w:spacing w:after="0" w:line="67" w:lineRule="exact"/>
        <w:rPr>
          <w:sz w:val="20"/>
          <w:szCs w:val="20"/>
          <w:color w:val="auto"/>
        </w:rPr>
      </w:pPr>
    </w:p>
    <w:p>
      <w:pPr>
        <w:ind w:left="1280" w:right="439"/>
        <w:spacing w:after="0" w:line="249" w:lineRule="auto"/>
        <w:rPr>
          <w:sz w:val="20"/>
          <w:szCs w:val="20"/>
          <w:color w:val="auto"/>
        </w:rPr>
      </w:pPr>
      <w:r>
        <w:rPr>
          <w:rFonts w:ascii="Arial" w:cs="Arial" w:eastAsia="Arial" w:hAnsi="Arial"/>
          <w:sz w:val="17"/>
          <w:szCs w:val="17"/>
          <w:color w:val="003551"/>
        </w:rPr>
        <w:t>(b)  The grant of an Award shall not be construed as giving a Participant the right to be retained in the employ of, or to continue to provide services to, any member of the Group. Further, an applicable member of the Group may at any time dismiss a Participant, free from any liability, or any claim under this Plan, unless otherwise expressly provided in this Plan or in any Award Agreement or in any other agreement binding on the parties. The receipt of any Award under this Plan is not intended to confer any rights on the receiving Participant except as set forth in the applicable Award Agreement.</w:t>
      </w:r>
    </w:p>
    <w:p>
      <w:pPr>
        <w:spacing w:after="0" w:line="67" w:lineRule="exact"/>
        <w:rPr>
          <w:sz w:val="20"/>
          <w:szCs w:val="20"/>
          <w:color w:val="auto"/>
        </w:rPr>
      </w:pPr>
    </w:p>
    <w:p>
      <w:pPr>
        <w:jc w:val="both"/>
        <w:ind w:left="1280" w:right="439"/>
        <w:spacing w:after="0" w:line="255" w:lineRule="auto"/>
        <w:rPr>
          <w:sz w:val="20"/>
          <w:szCs w:val="20"/>
          <w:color w:val="auto"/>
        </w:rPr>
      </w:pPr>
      <w:r>
        <w:rPr>
          <w:rFonts w:ascii="Arial" w:cs="Arial" w:eastAsia="Arial" w:hAnsi="Arial"/>
          <w:sz w:val="17"/>
          <w:szCs w:val="17"/>
          <w:color w:val="003551"/>
        </w:rPr>
        <w:t>(c)  No payment pursuant to this Plan shall be taken into account in determining any benefits under any severance, pension, retirement, savings, profit sharing, group insurance, welfare or other benefit plan of any member of the Group, except to the extent otherwise expressly provided in writing in such other plan or an agreement thereunder.</w:t>
      </w:r>
    </w:p>
    <w:p>
      <w:pPr>
        <w:spacing w:after="0" w:line="60" w:lineRule="exact"/>
        <w:rPr>
          <w:sz w:val="20"/>
          <w:szCs w:val="20"/>
          <w:color w:val="auto"/>
        </w:rPr>
      </w:pPr>
    </w:p>
    <w:p>
      <w:pPr>
        <w:ind w:left="1280" w:right="379"/>
        <w:spacing w:after="0" w:line="255" w:lineRule="auto"/>
        <w:rPr>
          <w:sz w:val="20"/>
          <w:szCs w:val="20"/>
          <w:color w:val="auto"/>
        </w:rPr>
      </w:pPr>
      <w:r>
        <w:rPr>
          <w:rFonts w:ascii="Arial" w:cs="Arial" w:eastAsia="Arial" w:hAnsi="Arial"/>
          <w:sz w:val="17"/>
          <w:szCs w:val="17"/>
          <w:color w:val="003551"/>
        </w:rPr>
        <w:t>(d)  Nothing contained in this Plan shall prevent any member of the Group from adopting or continuing in effect other or additional compensation arrangements, including the grant of Options and Other Share-Based Awards, and such arrangements may be either generally applicable or applicable only in specific cases.</w:t>
      </w:r>
    </w:p>
    <w:p>
      <w:pPr>
        <w:spacing w:after="0" w:line="60" w:lineRule="exact"/>
        <w:rPr>
          <w:sz w:val="20"/>
          <w:szCs w:val="20"/>
          <w:color w:val="auto"/>
        </w:rPr>
      </w:pPr>
    </w:p>
    <w:p>
      <w:pPr>
        <w:ind w:left="1280" w:right="419"/>
        <w:spacing w:after="0" w:line="246" w:lineRule="auto"/>
        <w:rPr>
          <w:sz w:val="20"/>
          <w:szCs w:val="20"/>
          <w:color w:val="auto"/>
        </w:rPr>
      </w:pPr>
      <w:r>
        <w:rPr>
          <w:rFonts w:ascii="Arial" w:cs="Arial" w:eastAsia="Arial" w:hAnsi="Arial"/>
          <w:sz w:val="17"/>
          <w:szCs w:val="17"/>
          <w:color w:val="003551"/>
        </w:rPr>
        <w:t>(e)  The Company shall be authorized to withhold from any Award granted or any payment due or transfer made under any Award or under this Plan or from any compensation or other amount owing to a Participant the amount (in cash, Shares, other Awards, other property, net settlement, sell-to-cover arrangements, or any combination thereof) of applicable withholding taxes due in respect of an Award, its exercise or settlement or any payment or transfer under such Award or under this Plan and to take such other action (including providing for elective payment of such amounts in cash or Shares by such Participant) as may be necessary to satisfy all obligations for the payment of such taxes and, unless otherwise determined by the Board in its sole discretion, to the extent such withholding would not result in liability classification of such Award (or any portion thereof) pursuant to FASB ASC Subtopic 718-10.</w:t>
      </w:r>
    </w:p>
    <w:p>
      <w:pPr>
        <w:spacing w:after="0" w:line="266" w:lineRule="exact"/>
        <w:rPr>
          <w:sz w:val="20"/>
          <w:szCs w:val="20"/>
          <w:color w:val="auto"/>
        </w:rPr>
      </w:pPr>
    </w:p>
    <w:p>
      <w:pPr>
        <w:ind w:left="1280" w:right="459"/>
        <w:spacing w:after="0" w:line="247" w:lineRule="auto"/>
        <w:rPr>
          <w:sz w:val="20"/>
          <w:szCs w:val="20"/>
          <w:color w:val="auto"/>
        </w:rPr>
      </w:pPr>
      <w:r>
        <w:rPr>
          <w:rFonts w:ascii="Arial" w:cs="Arial" w:eastAsia="Arial" w:hAnsi="Arial"/>
          <w:sz w:val="17"/>
          <w:szCs w:val="17"/>
          <w:color w:val="003551"/>
        </w:rPr>
        <w:t>(f)  If any provision of this Plan or any Award Agreement is or becomes or is deemed to be invalid, illegal or unenforceable in any jurisdiction, or as to any Person or Award, or would disqualify this Plan or any Award under any law deemed applicable by the Board in its sole discretion, such provision shall be construed or deemed amended to conform to applicable laws, or if it cannot be so construed or deemed amended without, in the determination of the Board, materially altering the intent of this Plan or the Award Agreement, such provision shall be stricken as to such jurisdiction, Person or Award, and the remainder of this Plan and any such Award Agreement shall remain in full force and effect.</w:t>
      </w:r>
    </w:p>
    <w:p>
      <w:pPr>
        <w:spacing w:after="0" w:line="268" w:lineRule="exact"/>
        <w:rPr>
          <w:sz w:val="20"/>
          <w:szCs w:val="20"/>
          <w:color w:val="auto"/>
        </w:rPr>
      </w:pPr>
    </w:p>
    <w:p>
      <w:pPr>
        <w:ind w:left="1280" w:right="379"/>
        <w:spacing w:after="0" w:line="255" w:lineRule="auto"/>
        <w:rPr>
          <w:sz w:val="20"/>
          <w:szCs w:val="20"/>
          <w:color w:val="auto"/>
        </w:rPr>
      </w:pPr>
      <w:r>
        <w:rPr>
          <w:rFonts w:ascii="Arial" w:cs="Arial" w:eastAsia="Arial" w:hAnsi="Arial"/>
          <w:sz w:val="17"/>
          <w:szCs w:val="17"/>
          <w:color w:val="003551"/>
        </w:rPr>
        <w:t>(g)  Neither this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90170</wp:posOffset>
            </wp:positionV>
            <wp:extent cx="6786880" cy="1651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6" w:right="1440"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80" w:right="719"/>
        <w:spacing w:after="0" w:line="255" w:lineRule="auto"/>
        <w:rPr>
          <w:sz w:val="20"/>
          <w:szCs w:val="20"/>
          <w:color w:val="auto"/>
        </w:rPr>
      </w:pPr>
      <w:r>
        <w:rPr>
          <w:rFonts w:ascii="Arial" w:cs="Arial" w:eastAsia="Arial" w:hAnsi="Arial"/>
          <w:sz w:val="17"/>
          <w:szCs w:val="17"/>
          <w:color w:val="003551"/>
        </w:rPr>
        <w:t>(h)  No fractional Shares shall be issued or delivered pursuant to this Plan or any Award, and the Board shall determine, in its sole discretion, whether cash or other securities shall be paid or transferred in lieu of any fractional Shares, or whether such fractional Shares or any rights thereto shall be canceled, terminated or otherwise eliminated.</w:t>
      </w:r>
    </w:p>
    <w:p>
      <w:pPr>
        <w:spacing w:after="0" w:line="60" w:lineRule="exact"/>
        <w:rPr>
          <w:sz w:val="20"/>
          <w:szCs w:val="20"/>
          <w:color w:val="auto"/>
        </w:rPr>
      </w:pPr>
    </w:p>
    <w:p>
      <w:pPr>
        <w:ind w:left="1280" w:right="439"/>
        <w:spacing w:after="0" w:line="248" w:lineRule="auto"/>
        <w:rPr>
          <w:sz w:val="20"/>
          <w:szCs w:val="20"/>
          <w:color w:val="auto"/>
        </w:rPr>
      </w:pPr>
      <w:r>
        <w:rPr>
          <w:rFonts w:ascii="Arial" w:cs="Arial" w:eastAsia="Arial" w:hAnsi="Arial"/>
          <w:sz w:val="17"/>
          <w:szCs w:val="17"/>
          <w:color w:val="003551"/>
        </w:rPr>
        <w:t>(i)  Awards may be granted to Participants who are non-United States nationals or employed or providing services outside the United States, or both, on such terms and conditions different from those applicable to Awards to Participants who are employed or providing services in the United States as may, in the judgment of the Board, be necessary or desirable to recognize differences in local law, tax policy or custom. The Board also may impose conditions on the exercise or vesting of Awards in order to minimize the Company’s obligation with respect to tax equalization for Participants on assignments outside their home country.</w:t>
      </w:r>
    </w:p>
    <w:p>
      <w:pPr>
        <w:spacing w:after="0" w:line="90"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003551"/>
        </w:rPr>
        <w:t>Section 16.   Effective Date of this Plan</w:t>
      </w:r>
      <w:r>
        <w:rPr>
          <w:rFonts w:ascii="Arial" w:cs="Arial" w:eastAsia="Arial" w:hAnsi="Arial"/>
          <w:sz w:val="17"/>
          <w:szCs w:val="17"/>
          <w:color w:val="003551"/>
        </w:rPr>
        <w:t>. The Plan shall be effective as of the Effective Date.</w:t>
      </w:r>
    </w:p>
    <w:p>
      <w:pPr>
        <w:spacing w:after="0" w:line="106"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003551"/>
        </w:rPr>
        <w:t>Section 17.   Term of this Plan</w:t>
      </w:r>
      <w:r>
        <w:rPr>
          <w:rFonts w:ascii="Arial" w:cs="Arial" w:eastAsia="Arial" w:hAnsi="Arial"/>
          <w:sz w:val="17"/>
          <w:szCs w:val="17"/>
          <w:color w:val="003551"/>
        </w:rPr>
        <w:t>. No Award shall be granted under this Plan after the earliest to occur of</w:t>
      </w:r>
    </w:p>
    <w:p>
      <w:pPr>
        <w:spacing w:after="0" w:line="19" w:lineRule="exact"/>
        <w:rPr>
          <w:sz w:val="20"/>
          <w:szCs w:val="20"/>
          <w:color w:val="auto"/>
        </w:rPr>
      </w:pPr>
    </w:p>
    <w:p>
      <w:pPr>
        <w:ind w:left="940" w:right="379" w:hanging="3"/>
        <w:spacing w:after="0" w:line="245" w:lineRule="auto"/>
        <w:tabs>
          <w:tab w:leader="none" w:pos="1144" w:val="left"/>
        </w:tabs>
        <w:numPr>
          <w:ilvl w:val="0"/>
          <w:numId w:val="220"/>
        </w:numPr>
        <w:rPr>
          <w:rFonts w:ascii="Arial" w:cs="Arial" w:eastAsia="Arial" w:hAnsi="Arial"/>
          <w:sz w:val="17"/>
          <w:szCs w:val="17"/>
          <w:color w:val="003551"/>
        </w:rPr>
      </w:pPr>
      <w:r>
        <w:rPr>
          <w:rFonts w:ascii="Arial" w:cs="Arial" w:eastAsia="Arial" w:hAnsi="Arial"/>
          <w:sz w:val="17"/>
          <w:szCs w:val="17"/>
          <w:color w:val="003551"/>
        </w:rPr>
        <w:t xml:space="preserve">the ten (10)-year anniversary of the Effective Date; (ii) the maximum number of Shares available for issuance under this Plan have been issued; or (iii) the Plan is terminated in accordance with </w:t>
      </w:r>
      <w:r>
        <w:rPr>
          <w:rFonts w:ascii="Arial" w:cs="Arial" w:eastAsia="Arial" w:hAnsi="Arial"/>
          <w:sz w:val="17"/>
          <w:szCs w:val="17"/>
          <w:u w:val="single" w:color="auto"/>
          <w:color w:val="003551"/>
        </w:rPr>
        <w:t>Section 14(a)</w:t>
      </w:r>
      <w:r>
        <w:rPr>
          <w:rFonts w:ascii="Arial" w:cs="Arial" w:eastAsia="Arial" w:hAnsi="Arial"/>
          <w:sz w:val="17"/>
          <w:szCs w:val="17"/>
          <w:color w:val="003551"/>
        </w:rPr>
        <w:t>. However, unless otherwise expressly provided in this Plan or in an applicable Award Agreement, any Award theretofore granted may extend beyond such date, and the authority of the Board to amend, alter, adjust, suspend, discontinue or terminate any such Award, to waive any conditions or rights under any such Award or to amend this Plan, shall extend beyond such date.</w:t>
      </w:r>
    </w:p>
    <w:p>
      <w:pPr>
        <w:spacing w:after="0" w:line="108"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003551"/>
        </w:rPr>
        <w:t>Section 18.   Cancellation or “Clawback” of Awards</w:t>
      </w:r>
      <w:r>
        <w:rPr>
          <w:rFonts w:ascii="Arial" w:cs="Arial" w:eastAsia="Arial" w:hAnsi="Arial"/>
          <w:sz w:val="17"/>
          <w:szCs w:val="17"/>
          <w:color w:val="003551"/>
        </w:rPr>
        <w:t>.</w:t>
      </w:r>
    </w:p>
    <w:p>
      <w:pPr>
        <w:spacing w:after="0" w:line="108" w:lineRule="exact"/>
        <w:rPr>
          <w:sz w:val="20"/>
          <w:szCs w:val="20"/>
          <w:color w:val="auto"/>
        </w:rPr>
      </w:pPr>
    </w:p>
    <w:p>
      <w:pPr>
        <w:ind w:left="1280" w:right="399"/>
        <w:spacing w:after="0" w:line="245" w:lineRule="auto"/>
        <w:rPr>
          <w:sz w:val="20"/>
          <w:szCs w:val="20"/>
          <w:color w:val="auto"/>
        </w:rPr>
      </w:pPr>
      <w:r>
        <w:rPr>
          <w:rFonts w:ascii="Arial" w:cs="Arial" w:eastAsia="Arial" w:hAnsi="Arial"/>
          <w:sz w:val="17"/>
          <w:szCs w:val="17"/>
          <w:color w:val="003551"/>
        </w:rPr>
        <w:t>(a)  The Board may specify in an Award Agreement that a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may include a Termination of Service with or without “cause” (and, in the case of any cause that is resulting from an indictment or other non-final determination, the Board may provide for such Award to be held in escrow or abeyance until a final resolution of the matters related to such event occurs, at which time the Award shall either be reduced, cancelled or forfeited (as provided in such Award Agreement) or remain in effect, depending on the outcome), violation of material policies, breach of non-competition, non-solicitation, non-disparagement, confidentiality or other restrictive covenants, or requirements to comply with minimum share ownership requirements, that may apply to the Participant, or other conduct by the Participant that is detrimental to the business or reputation of the Group.</w:t>
      </w:r>
    </w:p>
    <w:p>
      <w:pPr>
        <w:spacing w:after="0" w:line="68" w:lineRule="exact"/>
        <w:rPr>
          <w:sz w:val="20"/>
          <w:szCs w:val="20"/>
          <w:color w:val="auto"/>
        </w:rPr>
      </w:pPr>
    </w:p>
    <w:p>
      <w:pPr>
        <w:ind w:left="1280" w:right="379"/>
        <w:spacing w:after="0" w:line="247" w:lineRule="auto"/>
        <w:rPr>
          <w:sz w:val="20"/>
          <w:szCs w:val="20"/>
          <w:color w:val="auto"/>
        </w:rPr>
      </w:pPr>
      <w:r>
        <w:rPr>
          <w:rFonts w:ascii="Arial" w:cs="Arial" w:eastAsia="Arial" w:hAnsi="Arial"/>
          <w:sz w:val="17"/>
          <w:szCs w:val="17"/>
          <w:color w:val="003551"/>
        </w:rPr>
        <w:t>(b)  Any Awards granted under this Plan (including any amounts or benefits arising from such Awards) shall be subject to any “clawback” or recoupment arrangements or policies the Company has in place from time to time (including, without limitation, the Company’s Restatement Clawback Policy, as well as any applicable laws, regulations or stock exchange listing standards) and the Board may, to the extent permitted by applicable law and stock exchange rules or by any applicable Company policy or arrangement, and shall, to the extent required, cancel or require reimbursement of any Awards granted to the Participant or any Shares issued or cash received upon vesting, exercise or settlement of any such Awards or sale of Shares underlying such Awards.</w:t>
      </w:r>
    </w:p>
    <w:p>
      <w:pPr>
        <w:spacing w:after="0" w:line="65" w:lineRule="exact"/>
        <w:rPr>
          <w:sz w:val="20"/>
          <w:szCs w:val="20"/>
          <w:color w:val="auto"/>
        </w:rPr>
      </w:pPr>
    </w:p>
    <w:p>
      <w:pPr>
        <w:ind w:left="940" w:right="419"/>
        <w:spacing w:after="0" w:line="246" w:lineRule="auto"/>
        <w:rPr>
          <w:sz w:val="20"/>
          <w:szCs w:val="20"/>
          <w:color w:val="auto"/>
        </w:rPr>
      </w:pPr>
      <w:r>
        <w:rPr>
          <w:rFonts w:ascii="Arial" w:cs="Arial" w:eastAsia="Arial" w:hAnsi="Arial"/>
          <w:sz w:val="17"/>
          <w:szCs w:val="17"/>
          <w:b w:val="1"/>
          <w:bCs w:val="1"/>
          <w:color w:val="003551"/>
        </w:rPr>
        <w:t>Section 19.  Section 409A and Section 457A</w:t>
      </w:r>
      <w:r>
        <w:rPr>
          <w:rFonts w:ascii="Arial" w:cs="Arial" w:eastAsia="Arial" w:hAnsi="Arial"/>
          <w:sz w:val="17"/>
          <w:szCs w:val="17"/>
          <w:color w:val="003551"/>
        </w:rPr>
        <w:t>. With respect to Awards subject to Section 409A and</w:t>
      </w:r>
      <w:r>
        <w:rPr>
          <w:rFonts w:ascii="Arial" w:cs="Arial" w:eastAsia="Arial" w:hAnsi="Arial"/>
          <w:sz w:val="17"/>
          <w:szCs w:val="17"/>
          <w:b w:val="1"/>
          <w:bCs w:val="1"/>
          <w:color w:val="003551"/>
        </w:rPr>
        <w:t xml:space="preserve"> </w:t>
      </w:r>
      <w:r>
        <w:rPr>
          <w:rFonts w:ascii="Arial" w:cs="Arial" w:eastAsia="Arial" w:hAnsi="Arial"/>
          <w:sz w:val="17"/>
          <w:szCs w:val="17"/>
          <w:color w:val="003551"/>
        </w:rPr>
        <w:t>Section 457A of the Code (“</w:t>
      </w:r>
      <w:r>
        <w:rPr>
          <w:rFonts w:ascii="Arial" w:cs="Arial" w:eastAsia="Arial" w:hAnsi="Arial"/>
          <w:sz w:val="17"/>
          <w:szCs w:val="17"/>
          <w:b w:val="1"/>
          <w:bCs w:val="1"/>
          <w:color w:val="003551"/>
        </w:rPr>
        <w:t>Section 457A</w:t>
      </w:r>
      <w:r>
        <w:rPr>
          <w:rFonts w:ascii="Arial" w:cs="Arial" w:eastAsia="Arial" w:hAnsi="Arial"/>
          <w:sz w:val="17"/>
          <w:szCs w:val="17"/>
          <w:color w:val="003551"/>
        </w:rPr>
        <w:t>”), this Plan is intended to comply with the requirements of Section 409A and Section 457A, and the provisions of this Plan and any Award Agreement shall be interpreted in a manner that satisfies the requirements of Section 409A and Section 457A, and this Plan shall be operated accordingly. If any provision of this Plan or any term or condition of any Award would otherwise frustrate or conflict with this intent, the provision, term or condition shall be interpreted and deemed amended so as to avoid this conflict. Notwithstanding anything in this Plan to the contrary, if the Board considers a Participant to be a “specified employee” under Section 409A at the time of such Participant’s “separation from service” (as defined in Section 409A), and any amount hereunder is “deferred compensation” subject to Section 409A, any distribution of such amount that otherwise would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95250</wp:posOffset>
            </wp:positionV>
            <wp:extent cx="6786880" cy="1651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615315" cy="32448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61531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40" w:right="579"/>
        <w:spacing w:after="0" w:line="246" w:lineRule="auto"/>
        <w:rPr>
          <w:sz w:val="20"/>
          <w:szCs w:val="20"/>
          <w:color w:val="auto"/>
        </w:rPr>
      </w:pPr>
      <w:r>
        <w:rPr>
          <w:rFonts w:ascii="Arial" w:cs="Arial" w:eastAsia="Arial" w:hAnsi="Arial"/>
          <w:sz w:val="17"/>
          <w:szCs w:val="17"/>
          <w:color w:val="003551"/>
        </w:rPr>
        <w:t>made to such Participant with respect to an Award as a result of such “separation from service” shall not be made until the date that is six months after such “separation from service,” except to the extent that earlier distribution would not result in such Participant’s incurring interest or additional tax under Section 409A. If an Award includes a “series of installment payments” (within the meaning of</w:t>
      </w:r>
    </w:p>
    <w:p>
      <w:pPr>
        <w:ind w:left="940" w:right="479"/>
        <w:spacing w:after="0" w:line="244" w:lineRule="auto"/>
        <w:rPr>
          <w:sz w:val="20"/>
          <w:szCs w:val="20"/>
          <w:color w:val="auto"/>
        </w:rPr>
      </w:pPr>
      <w:r>
        <w:rPr>
          <w:rFonts w:ascii="Arial" w:cs="Arial" w:eastAsia="Arial" w:hAnsi="Arial"/>
          <w:sz w:val="17"/>
          <w:szCs w:val="17"/>
          <w:color w:val="003551"/>
        </w:rPr>
        <w:t>Section 1.409A-2(b)(2)(iii) of the Treasury Regulations), a Participant’s right to such series of installment payments shall be treated as a right to a series of separate payments and not as a right to a single payment, and if an Award includes “dividend equivalents” (within the meaning of Section 1.409A-3(e) of the Treasury Regulations), a Participant’s right to such dividend equivalents shall be treated separately from the right to other amounts under the Award. Notwithstanding the foregoing, the tax treatment of the benefits provided under this Plan or any Award Agreement is not warranted or guaranteed, and in no event shall the Company be liable for all or any portion of any taxes, penalties, interest or other expenses that may be incurred by a Participant on account of non-compliance with Section 409A and Section 457A. </w:t>
      </w:r>
    </w:p>
    <w:p>
      <w:pPr>
        <w:spacing w:after="0" w:line="265" w:lineRule="exact"/>
        <w:rPr>
          <w:sz w:val="20"/>
          <w:szCs w:val="20"/>
          <w:color w:val="auto"/>
        </w:rPr>
      </w:pPr>
    </w:p>
    <w:p>
      <w:pPr>
        <w:ind w:left="940" w:right="579"/>
        <w:spacing w:after="0" w:line="263" w:lineRule="auto"/>
        <w:rPr>
          <w:sz w:val="20"/>
          <w:szCs w:val="20"/>
          <w:color w:val="auto"/>
        </w:rPr>
      </w:pPr>
      <w:r>
        <w:rPr>
          <w:rFonts w:ascii="Arial" w:cs="Arial" w:eastAsia="Arial" w:hAnsi="Arial"/>
          <w:sz w:val="17"/>
          <w:szCs w:val="17"/>
          <w:b w:val="1"/>
          <w:bCs w:val="1"/>
          <w:color w:val="003551"/>
        </w:rPr>
        <w:t>Section 20.  Successors and Assigns</w:t>
      </w:r>
      <w:r>
        <w:rPr>
          <w:rFonts w:ascii="Arial" w:cs="Arial" w:eastAsia="Arial" w:hAnsi="Arial"/>
          <w:sz w:val="17"/>
          <w:szCs w:val="17"/>
          <w:color w:val="003551"/>
        </w:rPr>
        <w:t>. The terms of this Plan and each Award Agreement shall be</w:t>
      </w:r>
      <w:r>
        <w:rPr>
          <w:rFonts w:ascii="Arial" w:cs="Arial" w:eastAsia="Arial" w:hAnsi="Arial"/>
          <w:sz w:val="17"/>
          <w:szCs w:val="17"/>
          <w:b w:val="1"/>
          <w:bCs w:val="1"/>
          <w:color w:val="003551"/>
        </w:rPr>
        <w:t xml:space="preserve"> </w:t>
      </w:r>
      <w:r>
        <w:rPr>
          <w:rFonts w:ascii="Arial" w:cs="Arial" w:eastAsia="Arial" w:hAnsi="Arial"/>
          <w:sz w:val="17"/>
          <w:szCs w:val="17"/>
          <w:color w:val="003551"/>
        </w:rPr>
        <w:t xml:space="preserve">binding upon and inure to the benefit of the Company and any successor entity, including any successor entity contemplated by </w:t>
      </w:r>
      <w:r>
        <w:rPr>
          <w:rFonts w:ascii="Arial" w:cs="Arial" w:eastAsia="Arial" w:hAnsi="Arial"/>
          <w:sz w:val="17"/>
          <w:szCs w:val="17"/>
          <w:u w:val="single" w:color="auto"/>
          <w:color w:val="003551"/>
        </w:rPr>
        <w:t>Section 12(c)</w:t>
      </w:r>
      <w:r>
        <w:rPr>
          <w:rFonts w:ascii="Arial" w:cs="Arial" w:eastAsia="Arial" w:hAnsi="Arial"/>
          <w:sz w:val="17"/>
          <w:szCs w:val="17"/>
          <w:color w:val="003551"/>
        </w:rPr>
        <w:t>.</w:t>
      </w:r>
    </w:p>
    <w:p>
      <w:pPr>
        <w:spacing w:after="0" w:line="52" w:lineRule="exact"/>
        <w:rPr>
          <w:sz w:val="20"/>
          <w:szCs w:val="20"/>
          <w:color w:val="auto"/>
        </w:rPr>
      </w:pPr>
    </w:p>
    <w:p>
      <w:pPr>
        <w:ind w:left="940" w:right="379"/>
        <w:spacing w:after="0" w:line="252" w:lineRule="auto"/>
        <w:rPr>
          <w:sz w:val="20"/>
          <w:szCs w:val="20"/>
          <w:color w:val="auto"/>
        </w:rPr>
      </w:pPr>
      <w:r>
        <w:rPr>
          <w:rFonts w:ascii="Arial" w:cs="Arial" w:eastAsia="Arial" w:hAnsi="Arial"/>
          <w:sz w:val="17"/>
          <w:szCs w:val="17"/>
          <w:b w:val="1"/>
          <w:bCs w:val="1"/>
          <w:color w:val="003551"/>
        </w:rPr>
        <w:t>Section 21.  Data Protection</w:t>
      </w:r>
      <w:r>
        <w:rPr>
          <w:rFonts w:ascii="Arial" w:cs="Arial" w:eastAsia="Arial" w:hAnsi="Arial"/>
          <w:sz w:val="17"/>
          <w:szCs w:val="17"/>
          <w:color w:val="003551"/>
        </w:rPr>
        <w:t>. In connection with this Plan, the Group may need to process personal</w:t>
      </w:r>
      <w:r>
        <w:rPr>
          <w:rFonts w:ascii="Arial" w:cs="Arial" w:eastAsia="Arial" w:hAnsi="Arial"/>
          <w:sz w:val="17"/>
          <w:szCs w:val="17"/>
          <w:b w:val="1"/>
          <w:bCs w:val="1"/>
          <w:color w:val="003551"/>
        </w:rPr>
        <w:t xml:space="preserve"> </w:t>
      </w:r>
      <w:r>
        <w:rPr>
          <w:rFonts w:ascii="Arial" w:cs="Arial" w:eastAsia="Arial" w:hAnsi="Arial"/>
          <w:sz w:val="17"/>
          <w:szCs w:val="17"/>
          <w:color w:val="003551"/>
        </w:rPr>
        <w:t>data collected from and about the Participant by the Group, third-party service providers and others acting on the Company’s behalf. Examples of such personal data may include, without limitation, the Participant’s name, account information, social security number, tax number and contact information. The Group may process such personal data in its legitimate business interests for all purposes relating to the operation and performance of this Plan, including but not limited to</w:t>
      </w:r>
      <w:r>
        <w:rPr>
          <w:rFonts w:ascii="Arial" w:cs="Arial" w:eastAsia="Arial" w:hAnsi="Arial"/>
          <w:sz w:val="17"/>
          <w:szCs w:val="17"/>
          <w:b w:val="1"/>
          <w:bCs w:val="1"/>
          <w:color w:val="003551"/>
        </w:rPr>
        <w:t>:</w:t>
      </w:r>
    </w:p>
    <w:p>
      <w:pPr>
        <w:spacing w:after="0" w:line="80" w:lineRule="exact"/>
        <w:rPr>
          <w:sz w:val="20"/>
          <w:szCs w:val="20"/>
          <w:color w:val="auto"/>
        </w:rPr>
      </w:pPr>
    </w:p>
    <w:p>
      <w:pPr>
        <w:ind w:left="1280"/>
        <w:spacing w:after="0"/>
        <w:rPr>
          <w:sz w:val="20"/>
          <w:szCs w:val="20"/>
          <w:color w:val="auto"/>
        </w:rPr>
      </w:pPr>
      <w:r>
        <w:rPr>
          <w:rFonts w:ascii="Arial" w:cs="Arial" w:eastAsia="Arial" w:hAnsi="Arial"/>
          <w:sz w:val="17"/>
          <w:szCs w:val="17"/>
          <w:color w:val="003551"/>
        </w:rPr>
        <w:t>(a)   administering and maintaining Participant records;</w:t>
      </w:r>
    </w:p>
    <w:p>
      <w:pPr>
        <w:spacing w:after="0" w:line="145" w:lineRule="exact"/>
        <w:rPr>
          <w:sz w:val="20"/>
          <w:szCs w:val="20"/>
          <w:color w:val="auto"/>
        </w:rPr>
      </w:pPr>
    </w:p>
    <w:p>
      <w:pPr>
        <w:ind w:left="1280"/>
        <w:spacing w:after="0"/>
        <w:rPr>
          <w:sz w:val="20"/>
          <w:szCs w:val="20"/>
          <w:color w:val="auto"/>
        </w:rPr>
      </w:pPr>
      <w:r>
        <w:rPr>
          <w:rFonts w:ascii="Arial" w:cs="Arial" w:eastAsia="Arial" w:hAnsi="Arial"/>
          <w:sz w:val="17"/>
          <w:szCs w:val="17"/>
          <w:color w:val="003551"/>
        </w:rPr>
        <w:t>(b)   providing the services described in this Plan;</w:t>
      </w:r>
    </w:p>
    <w:p>
      <w:pPr>
        <w:spacing w:after="0" w:line="106" w:lineRule="exact"/>
        <w:rPr>
          <w:sz w:val="20"/>
          <w:szCs w:val="20"/>
          <w:color w:val="auto"/>
        </w:rPr>
      </w:pPr>
    </w:p>
    <w:p>
      <w:pPr>
        <w:ind w:left="1280" w:right="379"/>
        <w:spacing w:after="0" w:line="283" w:lineRule="auto"/>
        <w:rPr>
          <w:sz w:val="20"/>
          <w:szCs w:val="20"/>
          <w:color w:val="auto"/>
        </w:rPr>
      </w:pPr>
      <w:r>
        <w:rPr>
          <w:rFonts w:ascii="Arial" w:cs="Arial" w:eastAsia="Arial" w:hAnsi="Arial"/>
          <w:sz w:val="17"/>
          <w:szCs w:val="17"/>
          <w:color w:val="003551"/>
        </w:rPr>
        <w:t>(c)  providing information to future purchasers or merger partners of any member of the Group, or the business in which such Participant works; and</w:t>
      </w:r>
    </w:p>
    <w:p>
      <w:pPr>
        <w:spacing w:after="0" w:line="7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003551"/>
        </w:rPr>
        <w:t>(d)   responding to public authorities, court orders and legal investigations, as applicable.</w:t>
      </w:r>
    </w:p>
    <w:p>
      <w:pPr>
        <w:spacing w:after="0" w:line="106" w:lineRule="exact"/>
        <w:rPr>
          <w:sz w:val="20"/>
          <w:szCs w:val="20"/>
          <w:color w:val="auto"/>
        </w:rPr>
      </w:pPr>
    </w:p>
    <w:p>
      <w:pPr>
        <w:ind w:left="940" w:right="499"/>
        <w:spacing w:after="0" w:line="255" w:lineRule="auto"/>
        <w:rPr>
          <w:sz w:val="20"/>
          <w:szCs w:val="20"/>
          <w:color w:val="auto"/>
        </w:rPr>
      </w:pPr>
      <w:r>
        <w:rPr>
          <w:rFonts w:ascii="Arial" w:cs="Arial" w:eastAsia="Arial" w:hAnsi="Arial"/>
          <w:sz w:val="17"/>
          <w:szCs w:val="17"/>
          <w:color w:val="003551"/>
        </w:rPr>
        <w:t>The Group may share the Participant’s personal data with (i) any other member of the Group, (ii) trustees of any employee benefit trust, (iii) registrars, (iv) brokers, (v) third-party administrators of this Plan, (vi) third-party service providers acting on the Group’s behalf to provide the services described above or (vii) regulators and others, as required by law.</w:t>
      </w:r>
    </w:p>
    <w:p>
      <w:pPr>
        <w:spacing w:after="0" w:line="60" w:lineRule="exact"/>
        <w:rPr>
          <w:sz w:val="20"/>
          <w:szCs w:val="20"/>
          <w:color w:val="auto"/>
        </w:rPr>
      </w:pPr>
    </w:p>
    <w:p>
      <w:pPr>
        <w:ind w:left="940" w:right="419"/>
        <w:spacing w:after="0" w:line="255" w:lineRule="auto"/>
        <w:rPr>
          <w:sz w:val="20"/>
          <w:szCs w:val="20"/>
          <w:color w:val="auto"/>
        </w:rPr>
      </w:pPr>
      <w:r>
        <w:rPr>
          <w:rFonts w:ascii="Arial" w:cs="Arial" w:eastAsia="Arial" w:hAnsi="Arial"/>
          <w:sz w:val="17"/>
          <w:szCs w:val="17"/>
          <w:color w:val="003551"/>
        </w:rPr>
        <w:t>If necessary, the Group may transfer the Participant’s personal data to any of the parties mentioned above in a country or territory that may not provide the same protection for the information as the Participant’s home country. Any transfer of the Participant’s personal data to recipients in a third country will be made subject to appropriate safeguards or applicable derogations provided for under applicable law.</w:t>
      </w:r>
    </w:p>
    <w:p>
      <w:pPr>
        <w:spacing w:after="0" w:line="60" w:lineRule="exact"/>
        <w:rPr>
          <w:sz w:val="20"/>
          <w:szCs w:val="20"/>
          <w:color w:val="auto"/>
        </w:rPr>
      </w:pPr>
    </w:p>
    <w:p>
      <w:pPr>
        <w:ind w:left="940" w:right="919"/>
        <w:spacing w:after="0" w:line="283" w:lineRule="auto"/>
        <w:rPr>
          <w:sz w:val="20"/>
          <w:szCs w:val="20"/>
          <w:color w:val="auto"/>
        </w:rPr>
      </w:pPr>
      <w:r>
        <w:rPr>
          <w:rFonts w:ascii="Arial" w:cs="Arial" w:eastAsia="Arial" w:hAnsi="Arial"/>
          <w:sz w:val="17"/>
          <w:szCs w:val="17"/>
          <w:color w:val="003551"/>
        </w:rPr>
        <w:t>The Group will keep personal data collected in connection with this Plan for as long as necessary to operate this Plan or as necessary to comply with any legal or regulatory requirements.</w:t>
      </w:r>
    </w:p>
    <w:p>
      <w:pPr>
        <w:spacing w:after="0" w:line="37" w:lineRule="exact"/>
        <w:rPr>
          <w:sz w:val="20"/>
          <w:szCs w:val="20"/>
          <w:color w:val="auto"/>
        </w:rPr>
      </w:pPr>
    </w:p>
    <w:p>
      <w:pPr>
        <w:ind w:left="940" w:right="499"/>
        <w:spacing w:after="0" w:line="251" w:lineRule="auto"/>
        <w:rPr>
          <w:sz w:val="20"/>
          <w:szCs w:val="20"/>
          <w:color w:val="auto"/>
        </w:rPr>
      </w:pPr>
      <w:r>
        <w:rPr>
          <w:rFonts w:ascii="Arial" w:cs="Arial" w:eastAsia="Arial" w:hAnsi="Arial"/>
          <w:sz w:val="17"/>
          <w:szCs w:val="17"/>
          <w:color w:val="003551"/>
        </w:rPr>
        <w:t>A Participant has a right, to the extent provided for by applicable law, to (i) request access to and rectification or erasure of the personal data provided, (ii) request the restriction of the processing of his or her personal data, (iii) object to the processing of his or her personal data, (iv) receive the personal data provided to the Group and transmit such data to another party, and (v) to lodge a complaint with a supervisory authority.</w:t>
      </w:r>
    </w:p>
    <w:p>
      <w:pPr>
        <w:spacing w:after="0" w:line="63" w:lineRule="exact"/>
        <w:rPr>
          <w:sz w:val="20"/>
          <w:szCs w:val="20"/>
          <w:color w:val="auto"/>
        </w:rPr>
      </w:pPr>
    </w:p>
    <w:p>
      <w:pPr>
        <w:ind w:left="940" w:right="699"/>
        <w:spacing w:after="0" w:line="286" w:lineRule="auto"/>
        <w:rPr>
          <w:sz w:val="20"/>
          <w:szCs w:val="20"/>
          <w:color w:val="auto"/>
        </w:rPr>
      </w:pPr>
      <w:r>
        <w:rPr>
          <w:rFonts w:ascii="Arial" w:cs="Arial" w:eastAsia="Arial" w:hAnsi="Arial"/>
          <w:sz w:val="17"/>
          <w:szCs w:val="17"/>
          <w:b w:val="1"/>
          <w:bCs w:val="1"/>
          <w:color w:val="003551"/>
        </w:rPr>
        <w:t>Section 22.  Governing Law</w:t>
      </w:r>
      <w:r>
        <w:rPr>
          <w:rFonts w:ascii="Arial" w:cs="Arial" w:eastAsia="Arial" w:hAnsi="Arial"/>
          <w:sz w:val="17"/>
          <w:szCs w:val="17"/>
          <w:color w:val="003551"/>
        </w:rPr>
        <w:t>. The Plan and each Award Agreement shall be governed by the laws of</w:t>
      </w:r>
      <w:r>
        <w:rPr>
          <w:rFonts w:ascii="Arial" w:cs="Arial" w:eastAsia="Arial" w:hAnsi="Arial"/>
          <w:sz w:val="17"/>
          <w:szCs w:val="17"/>
          <w:b w:val="1"/>
          <w:bCs w:val="1"/>
          <w:color w:val="003551"/>
        </w:rPr>
        <w:t xml:space="preserve"> </w:t>
      </w:r>
      <w:r>
        <w:rPr>
          <w:rFonts w:ascii="Arial" w:cs="Arial" w:eastAsia="Arial" w:hAnsi="Arial"/>
          <w:sz w:val="17"/>
          <w:szCs w:val="17"/>
          <w:color w:val="003551"/>
        </w:rPr>
        <w:t>New South Wales, Australia, without application of the conflicts of law principles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73660</wp:posOffset>
            </wp:positionV>
            <wp:extent cx="6786880" cy="1651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103505</wp:posOffset>
            </wp:positionV>
            <wp:extent cx="6445885" cy="834263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6445885" cy="8342630"/>
                    </a:xfrm>
                    <a:prstGeom prst="rect">
                      <a:avLst/>
                    </a:prstGeom>
                    <a:noFill/>
                  </pic:spPr>
                </pic:pic>
              </a:graphicData>
            </a:graphic>
          </wp:anchor>
        </w:drawing>
      </w:r>
    </w:p>
    <w:p>
      <w:pPr>
        <w:sectPr>
          <w:pgSz w:w="11900" w:h="16838" w:orient="portrait"/>
          <w:cols w:equalWidth="0" w:num="1">
            <w:col w:w="9879"/>
          </w:cols>
          <w:pgMar w:left="580" w:top="1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119380</wp:posOffset>
            </wp:positionV>
            <wp:extent cx="6786880" cy="1651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6786880" cy="16510"/>
                    </a:xfrm>
                    <a:prstGeom prst="rect">
                      <a:avLst/>
                    </a:prstGeom>
                    <a:noFill/>
                  </pic:spPr>
                </pic:pic>
              </a:graphicData>
            </a:graphic>
          </wp:anchor>
        </w:drawing>
      </w:r>
    </w:p>
    <w:p>
      <w:pPr>
        <w:sectPr>
          <w:pgSz w:w="11900" w:h="16838" w:orient="portrait"/>
          <w:cols w:equalWidth="0" w:num="1">
            <w:col w:w="9879"/>
          </w:cols>
          <w:pgMar w:left="580" w:top="116" w:right="1440" w:bottom="1440" w:gutter="0" w:footer="0" w:header="0"/>
          <w:type w:val="continuous"/>
        </w:sectPr>
      </w:pPr>
    </w:p>
    <w:bookmarkStart w:id="171" w:name="page172"/>
    <w:bookmarkEnd w:id="171"/>
    <w:p>
      <w:pPr>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103505</wp:posOffset>
            </wp:positionV>
            <wp:extent cx="6445885" cy="834263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6445885" cy="8342630"/>
                    </a:xfrm>
                    <a:prstGeom prst="rect">
                      <a:avLst/>
                    </a:prstGeom>
                    <a:noFill/>
                  </pic:spPr>
                </pic:pic>
              </a:graphicData>
            </a:graphic>
          </wp:anchor>
        </w:drawing>
      </w:r>
    </w:p>
    <w:p>
      <w:pPr>
        <w:sectPr>
          <w:pgSz w:w="11900" w:h="16838" w:orient="portrait"/>
          <w:cols w:equalWidth="0" w:num="1">
            <w:col w:w="9879"/>
          </w:cols>
          <w:pgMar w:left="580" w:top="1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 </w:t>
      </w:r>
    </w:p>
    <w:sectPr>
      <w:pgSz w:w="11900" w:h="16838" w:orient="portrait"/>
      <w:cols w:equalWidth="0" w:num="1">
        <w:col w:w="9879"/>
      </w:cols>
      <w:pgMar w:left="580" w:top="11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A0C5FA"/>
    <w:multiLevelType w:val="hybridMultilevel"/>
    <w:lvl w:ilvl="0">
      <w:lvlJc w:val="left"/>
      <w:lvlText w:val="☒"/>
      <w:numFmt w:val="bullet"/>
      <w:start w:val="1"/>
    </w:lvl>
  </w:abstractNum>
  <w:abstractNum w:abstractNumId="1">
    <w:nsid w:val="53584BCB"/>
    <w:multiLevelType w:val="hybridMultilevel"/>
    <w:lvl w:ilvl="0">
      <w:lvlJc w:val="left"/>
      <w:lvlText w:val="☒"/>
      <w:numFmt w:val="bullet"/>
      <w:start w:val="1"/>
    </w:lvl>
  </w:abstractNum>
  <w:abstractNum w:abstractNumId="2">
    <w:nsid w:val="415E286C"/>
    <w:multiLevelType w:val="hybridMultilevel"/>
    <w:lvl w:ilvl="0">
      <w:lvlJc w:val="left"/>
      <w:lvlText w:val="☒"/>
      <w:numFmt w:val="bullet"/>
      <w:start w:val="1"/>
    </w:lvl>
  </w:abstractNum>
  <w:abstractNum w:abstractNumId="3">
    <w:nsid w:val="7C58FD05"/>
    <w:multiLevelType w:val="hybridMultilevel"/>
    <w:lvl w:ilvl="0">
      <w:lvlJc w:val="left"/>
      <w:lvlText w:val="%1)"/>
      <w:numFmt w:val="lowerLetter"/>
      <w:start w:val="1"/>
    </w:lvl>
  </w:abstractNum>
  <w:abstractNum w:abstractNumId="4">
    <w:nsid w:val="23D86AAC"/>
    <w:multiLevelType w:val="hybridMultilevel"/>
    <w:lvl w:ilvl="0">
      <w:lvlJc w:val="left"/>
      <w:lvlText w:val="(%1)"/>
      <w:numFmt w:val="decimal"/>
      <w:start w:val="1"/>
    </w:lvl>
  </w:abstractNum>
  <w:abstractNum w:abstractNumId="5">
    <w:nsid w:val="45E6D486"/>
    <w:multiLevelType w:val="hybridMultilevel"/>
    <w:lvl w:ilvl="0">
      <w:lvlJc w:val="left"/>
      <w:lvlText w:val="•"/>
      <w:numFmt w:val="bullet"/>
      <w:start w:val="1"/>
    </w:lvl>
  </w:abstractNum>
  <w:abstractNum w:abstractNumId="6">
    <w:nsid w:val="5C10FE21"/>
    <w:multiLevelType w:val="hybridMultilevel"/>
    <w:lvl w:ilvl="0">
      <w:lvlJc w:val="left"/>
      <w:lvlText w:val="•"/>
      <w:numFmt w:val="bullet"/>
      <w:start w:val="1"/>
    </w:lvl>
  </w:abstractNum>
  <w:abstractNum w:abstractNumId="7">
    <w:nsid w:val="E7FFA2B"/>
    <w:multiLevelType w:val="hybridMultilevel"/>
    <w:lvl w:ilvl="0">
      <w:lvlJc w:val="left"/>
      <w:lvlText w:val="•"/>
      <w:numFmt w:val="bullet"/>
      <w:start w:val="1"/>
    </w:lvl>
  </w:abstractNum>
  <w:abstractNum w:abstractNumId="8">
    <w:nsid w:val="3C5991AA"/>
    <w:multiLevelType w:val="hybridMultilevel"/>
    <w:lvl w:ilvl="0">
      <w:lvlJc w:val="left"/>
      <w:lvlText w:val="(%1)"/>
      <w:numFmt w:val="decimal"/>
      <w:start w:val="1"/>
    </w:lvl>
  </w:abstractNum>
  <w:abstractNum w:abstractNumId="9">
    <w:nsid w:val="4BD8591A"/>
    <w:multiLevelType w:val="hybridMultilevel"/>
    <w:lvl w:ilvl="0">
      <w:lvlJc w:val="left"/>
      <w:lvlText w:val="(%1)"/>
      <w:numFmt w:val="decimal"/>
      <w:start w:val="1"/>
    </w:lvl>
  </w:abstractNum>
  <w:abstractNum w:abstractNumId="10">
    <w:nsid w:val="78DF6A55"/>
    <w:multiLevelType w:val="hybridMultilevel"/>
    <w:lvl w:ilvl="0">
      <w:lvlJc w:val="left"/>
      <w:lvlText w:val="•"/>
      <w:numFmt w:val="bullet"/>
      <w:start w:val="1"/>
    </w:lvl>
  </w:abstractNum>
  <w:abstractNum w:abstractNumId="11">
    <w:nsid w:val="39B7AAA2"/>
    <w:multiLevelType w:val="hybridMultilevel"/>
    <w:lvl w:ilvl="0">
      <w:lvlJc w:val="left"/>
      <w:lvlText w:val="•"/>
      <w:numFmt w:val="bullet"/>
      <w:start w:val="1"/>
    </w:lvl>
  </w:abstractNum>
  <w:abstractNum w:abstractNumId="12">
    <w:nsid w:val="2B0D8DBE"/>
    <w:multiLevelType w:val="hybridMultilevel"/>
    <w:lvl w:ilvl="0">
      <w:lvlJc w:val="left"/>
      <w:lvlText w:val="•"/>
      <w:numFmt w:val="bullet"/>
      <w:start w:val="1"/>
    </w:lvl>
  </w:abstractNum>
  <w:abstractNum w:abstractNumId="13">
    <w:nsid w:val="6C80EC70"/>
    <w:multiLevelType w:val="hybridMultilevel"/>
    <w:lvl w:ilvl="0">
      <w:lvlJc w:val="left"/>
      <w:lvlText w:val="•"/>
      <w:numFmt w:val="bullet"/>
      <w:start w:val="1"/>
    </w:lvl>
  </w:abstractNum>
  <w:abstractNum w:abstractNumId="14">
    <w:nsid w:val="379E21B5"/>
    <w:multiLevelType w:val="hybridMultilevel"/>
    <w:lvl w:ilvl="0">
      <w:lvlJc w:val="left"/>
      <w:lvlText w:val="•"/>
      <w:numFmt w:val="bullet"/>
      <w:start w:val="1"/>
    </w:lvl>
  </w:abstractNum>
  <w:abstractNum w:abstractNumId="15">
    <w:nsid w:val="69E373"/>
    <w:multiLevelType w:val="hybridMultilevel"/>
    <w:lvl w:ilvl="0">
      <w:lvlJc w:val="left"/>
      <w:lvlText w:val="•"/>
      <w:numFmt w:val="bullet"/>
      <w:start w:val="1"/>
    </w:lvl>
  </w:abstractNum>
  <w:abstractNum w:abstractNumId="16">
    <w:nsid w:val="2C27173B"/>
    <w:multiLevelType w:val="hybridMultilevel"/>
    <w:lvl w:ilvl="0">
      <w:lvlJc w:val="left"/>
      <w:lvlText w:val="•"/>
      <w:numFmt w:val="bullet"/>
      <w:start w:val="1"/>
    </w:lvl>
  </w:abstractNum>
  <w:abstractNum w:abstractNumId="17">
    <w:nsid w:val="4C9B0904"/>
    <w:multiLevelType w:val="hybridMultilevel"/>
    <w:lvl w:ilvl="0">
      <w:lvlJc w:val="left"/>
      <w:lvlText w:val="•"/>
      <w:numFmt w:val="bullet"/>
      <w:start w:val="1"/>
    </w:lvl>
  </w:abstractNum>
  <w:abstractNum w:abstractNumId="18">
    <w:nsid w:val="6AA7B75C"/>
    <w:multiLevelType w:val="hybridMultilevel"/>
    <w:lvl w:ilvl="0">
      <w:lvlJc w:val="left"/>
      <w:lvlText w:val="(%1)"/>
      <w:numFmt w:val="decimal"/>
      <w:start w:val="1"/>
    </w:lvl>
  </w:abstractNum>
  <w:abstractNum w:abstractNumId="19">
    <w:nsid w:val="1DF029D3"/>
    <w:multiLevelType w:val="hybridMultilevel"/>
    <w:lvl w:ilvl="0">
      <w:lvlJc w:val="left"/>
      <w:lvlText w:val="(%1)"/>
      <w:numFmt w:val="decimal"/>
      <w:start w:val="1"/>
    </w:lvl>
  </w:abstractNum>
  <w:abstractNum w:abstractNumId="20">
    <w:nsid w:val="5675FF36"/>
    <w:multiLevelType w:val="hybridMultilevel"/>
    <w:lvl w:ilvl="0">
      <w:lvlJc w:val="left"/>
      <w:lvlText w:val="(%1)"/>
      <w:numFmt w:val="decimal"/>
      <w:start w:val="1"/>
    </w:lvl>
  </w:abstractNum>
  <w:abstractNum w:abstractNumId="21">
    <w:nsid w:val="3DD15094"/>
    <w:multiLevelType w:val="hybridMultilevel"/>
    <w:lvl w:ilvl="0">
      <w:lvlJc w:val="left"/>
      <w:lvlText w:val="•"/>
      <w:numFmt w:val="bullet"/>
      <w:start w:val="1"/>
    </w:lvl>
  </w:abstractNum>
  <w:abstractNum w:abstractNumId="22">
    <w:nsid w:val="3DB012B3"/>
    <w:multiLevelType w:val="hybridMultilevel"/>
    <w:lvl w:ilvl="0">
      <w:lvlJc w:val="left"/>
      <w:lvlText w:val="•"/>
      <w:numFmt w:val="bullet"/>
      <w:start w:val="1"/>
    </w:lvl>
  </w:abstractNum>
  <w:abstractNum w:abstractNumId="23">
    <w:nsid w:val="2708C9AF"/>
    <w:multiLevelType w:val="hybridMultilevel"/>
    <w:lvl w:ilvl="0">
      <w:lvlJc w:val="left"/>
      <w:lvlText w:val="•"/>
      <w:numFmt w:val="bullet"/>
      <w:start w:val="1"/>
    </w:lvl>
  </w:abstractNum>
  <w:abstractNum w:abstractNumId="24">
    <w:nsid w:val="5B25ACE2"/>
    <w:multiLevelType w:val="hybridMultilevel"/>
    <w:lvl w:ilvl="0">
      <w:lvlJc w:val="left"/>
      <w:lvlText w:val="•"/>
      <w:numFmt w:val="bullet"/>
      <w:start w:val="1"/>
    </w:lvl>
  </w:abstractNum>
  <w:abstractNum w:abstractNumId="25">
    <w:nsid w:val="175DFCF0"/>
    <w:multiLevelType w:val="hybridMultilevel"/>
    <w:lvl w:ilvl="0">
      <w:lvlJc w:val="left"/>
      <w:lvlText w:val="•"/>
      <w:numFmt w:val="bullet"/>
      <w:start w:val="1"/>
    </w:lvl>
  </w:abstractNum>
  <w:abstractNum w:abstractNumId="26">
    <w:nsid w:val="4F97E3E4"/>
    <w:multiLevelType w:val="hybridMultilevel"/>
    <w:lvl w:ilvl="0">
      <w:lvlJc w:val="left"/>
      <w:lvlText w:val="•"/>
      <w:numFmt w:val="bullet"/>
      <w:start w:val="1"/>
    </w:lvl>
  </w:abstractNum>
  <w:abstractNum w:abstractNumId="27">
    <w:nsid w:val="53B0A9E"/>
    <w:multiLevelType w:val="hybridMultilevel"/>
    <w:lvl w:ilvl="0">
      <w:lvlJc w:val="left"/>
      <w:lvlText w:val="•"/>
      <w:numFmt w:val="bullet"/>
      <w:start w:val="1"/>
    </w:lvl>
  </w:abstractNum>
  <w:abstractNum w:abstractNumId="28">
    <w:nsid w:val="34FD6B4F"/>
    <w:multiLevelType w:val="hybridMultilevel"/>
    <w:lvl w:ilvl="0">
      <w:lvlJc w:val="left"/>
      <w:lvlText w:val="(%1)"/>
      <w:numFmt w:val="decimal"/>
      <w:start w:val="1"/>
    </w:lvl>
  </w:abstractNum>
  <w:abstractNum w:abstractNumId="29">
    <w:nsid w:val="5915FF32"/>
    <w:multiLevelType w:val="hybridMultilevel"/>
    <w:lvl w:ilvl="0">
      <w:lvlJc w:val="left"/>
      <w:lvlText w:val="(%1)"/>
      <w:numFmt w:val="decimal"/>
      <w:start w:val="1"/>
    </w:lvl>
  </w:abstractNum>
  <w:abstractNum w:abstractNumId="30">
    <w:nsid w:val="56438D15"/>
    <w:multiLevelType w:val="hybridMultilevel"/>
    <w:lvl w:ilvl="0">
      <w:lvlJc w:val="left"/>
      <w:lvlText w:val="•"/>
      <w:numFmt w:val="bullet"/>
      <w:start w:val="1"/>
    </w:lvl>
  </w:abstractNum>
  <w:abstractNum w:abstractNumId="31">
    <w:nsid w:val="519E3149"/>
    <w:multiLevelType w:val="hybridMultilevel"/>
    <w:lvl w:ilvl="0">
      <w:lvlJc w:val="left"/>
      <w:lvlText w:val="•"/>
      <w:numFmt w:val="bullet"/>
      <w:start w:val="1"/>
    </w:lvl>
  </w:abstractNum>
  <w:abstractNum w:abstractNumId="32">
    <w:nsid w:val="2C6E4AFD"/>
    <w:multiLevelType w:val="hybridMultilevel"/>
    <w:lvl w:ilvl="0">
      <w:lvlJc w:val="left"/>
      <w:lvlText w:val="(%1)"/>
      <w:numFmt w:val="decimal"/>
      <w:start w:val="1"/>
    </w:lvl>
  </w:abstractNum>
  <w:abstractNum w:abstractNumId="33">
    <w:nsid w:val="17A1B582"/>
    <w:multiLevelType w:val="hybridMultilevel"/>
    <w:lvl w:ilvl="0">
      <w:lvlJc w:val="left"/>
      <w:lvlText w:val="(%1)"/>
      <w:numFmt w:val="decimal"/>
      <w:start w:val="2"/>
    </w:lvl>
  </w:abstractNum>
  <w:abstractNum w:abstractNumId="34">
    <w:nsid w:val="4DF72E4E"/>
    <w:multiLevelType w:val="hybridMultilevel"/>
    <w:lvl w:ilvl="0">
      <w:lvlJc w:val="left"/>
      <w:lvlText w:val="(%1)"/>
      <w:numFmt w:val="decimal"/>
      <w:start w:val="1"/>
    </w:lvl>
  </w:abstractNum>
  <w:abstractNum w:abstractNumId="35">
    <w:nsid w:val="5046B5A9"/>
    <w:multiLevelType w:val="hybridMultilevel"/>
    <w:lvl w:ilvl="0">
      <w:lvlJc w:val="left"/>
      <w:lvlText w:val="(%1)"/>
      <w:numFmt w:val="decimal"/>
      <w:start w:val="4"/>
    </w:lvl>
  </w:abstractNum>
  <w:abstractNum w:abstractNumId="36">
    <w:nsid w:val="5D888A08"/>
    <w:multiLevelType w:val="hybridMultilevel"/>
    <w:lvl w:ilvl="0">
      <w:lvlJc w:val="left"/>
      <w:lvlText w:val="(%1)"/>
      <w:numFmt w:val="decimal"/>
      <w:start w:val="1"/>
    </w:lvl>
  </w:abstractNum>
  <w:abstractNum w:abstractNumId="37">
    <w:nsid w:val="2A082C70"/>
    <w:multiLevelType w:val="hybridMultilevel"/>
    <w:lvl w:ilvl="0">
      <w:lvlJc w:val="left"/>
      <w:lvlText w:val="(%1)"/>
      <w:numFmt w:val="decimal"/>
      <w:start w:val="3"/>
    </w:lvl>
  </w:abstractNum>
  <w:abstractNum w:abstractNumId="38">
    <w:nsid w:val="5EC6AFD4"/>
    <w:multiLevelType w:val="hybridMultilevel"/>
    <w:lvl w:ilvl="0">
      <w:lvlJc w:val="left"/>
      <w:lvlText w:val="(%1)"/>
      <w:numFmt w:val="decimal"/>
      <w:start w:val="1"/>
    </w:lvl>
  </w:abstractNum>
  <w:abstractNum w:abstractNumId="39">
    <w:nsid w:val="19E21BB2"/>
    <w:multiLevelType w:val="hybridMultilevel"/>
    <w:lvl w:ilvl="0">
      <w:lvlJc w:val="left"/>
      <w:lvlText w:val="•"/>
      <w:numFmt w:val="bullet"/>
      <w:start w:val="1"/>
    </w:lvl>
  </w:abstractNum>
  <w:abstractNum w:abstractNumId="40">
    <w:nsid w:val="75E0858A"/>
    <w:multiLevelType w:val="hybridMultilevel"/>
    <w:lvl w:ilvl="0">
      <w:lvlJc w:val="left"/>
      <w:lvlText w:val="•"/>
      <w:numFmt w:val="bullet"/>
      <w:start w:val="1"/>
    </w:lvl>
  </w:abstractNum>
  <w:abstractNum w:abstractNumId="41">
    <w:nsid w:val="57A61A29"/>
    <w:multiLevelType w:val="hybridMultilevel"/>
    <w:lvl w:ilvl="0">
      <w:lvlJc w:val="left"/>
      <w:lvlText w:val="•"/>
      <w:numFmt w:val="bullet"/>
      <w:start w:val="1"/>
    </w:lvl>
  </w:abstractNum>
  <w:abstractNum w:abstractNumId="42">
    <w:nsid w:val="5399C654"/>
    <w:multiLevelType w:val="hybridMultilevel"/>
    <w:lvl w:ilvl="0">
      <w:lvlJc w:val="left"/>
      <w:lvlText w:val="(%1)"/>
      <w:numFmt w:val="decimal"/>
      <w:start w:val="1"/>
    </w:lvl>
  </w:abstractNum>
  <w:abstractNum w:abstractNumId="43">
    <w:nsid w:val="20EE1348"/>
    <w:multiLevelType w:val="hybridMultilevel"/>
    <w:lvl w:ilvl="0">
      <w:lvlJc w:val="left"/>
      <w:lvlText w:val="%1"/>
      <w:numFmt w:val="decimal"/>
      <w:start w:val="1"/>
    </w:lvl>
    <w:lvl w:ilvl="1">
      <w:lvlJc w:val="left"/>
      <w:lvlText w:val="(%2)"/>
      <w:numFmt w:val="lowerLetter"/>
      <w:start w:val="1"/>
    </w:lvl>
  </w:abstractNum>
  <w:abstractNum w:abstractNumId="44">
    <w:nsid w:val="4427069A"/>
    <w:multiLevelType w:val="hybridMultilevel"/>
    <w:lvl w:ilvl="0">
      <w:lvlJc w:val="left"/>
      <w:lvlText w:val="(%1)"/>
      <w:numFmt w:val="decimal"/>
      <w:start w:val="3"/>
    </w:lvl>
    <w:lvl w:ilvl="1">
      <w:lvlJc w:val="left"/>
      <w:lvlText w:val="%2"/>
      <w:numFmt w:val="lowerLetter"/>
      <w:start w:val="1"/>
    </w:lvl>
  </w:abstractNum>
  <w:abstractNum w:abstractNumId="45">
    <w:nsid w:val="B37E80A"/>
    <w:multiLevelType w:val="hybridMultilevel"/>
    <w:lvl w:ilvl="0">
      <w:lvlJc w:val="left"/>
      <w:lvlText w:val="(%1)"/>
      <w:numFmt w:val="decimal"/>
      <w:start w:val="1"/>
    </w:lvl>
  </w:abstractNum>
  <w:abstractNum w:abstractNumId="46">
    <w:nsid w:val="2157F6BC"/>
    <w:multiLevelType w:val="hybridMultilevel"/>
    <w:lvl w:ilvl="0">
      <w:lvlJc w:val="left"/>
      <w:lvlText w:val="(%1)"/>
      <w:numFmt w:val="decimal"/>
      <w:start w:val="3"/>
    </w:lvl>
  </w:abstractNum>
  <w:abstractNum w:abstractNumId="47">
    <w:nsid w:val="704E1DD5"/>
    <w:multiLevelType w:val="hybridMultilevel"/>
    <w:lvl w:ilvl="0">
      <w:lvlJc w:val="left"/>
      <w:lvlText w:val="(%1)"/>
      <w:numFmt w:val="decimal"/>
      <w:start w:val="4"/>
    </w:lvl>
  </w:abstractNum>
  <w:abstractNum w:abstractNumId="48">
    <w:nsid w:val="57D2F10E"/>
    <w:multiLevelType w:val="hybridMultilevel"/>
    <w:lvl w:ilvl="0">
      <w:lvlJc w:val="left"/>
      <w:lvlText w:val="•"/>
      <w:numFmt w:val="bullet"/>
      <w:start w:val="1"/>
    </w:lvl>
  </w:abstractNum>
  <w:abstractNum w:abstractNumId="49">
    <w:nsid w:val="BFFAE18"/>
    <w:multiLevelType w:val="hybridMultilevel"/>
    <w:lvl w:ilvl="0">
      <w:lvlJc w:val="left"/>
      <w:lvlText w:val="(%1)"/>
      <w:numFmt w:val="lowerRoman"/>
      <w:start w:val="3"/>
    </w:lvl>
  </w:abstractNum>
  <w:abstractNum w:abstractNumId="50">
    <w:nsid w:val="E3E47A8"/>
    <w:multiLevelType w:val="hybridMultilevel"/>
    <w:lvl w:ilvl="0">
      <w:lvlJc w:val="left"/>
      <w:lvlText w:val="*"/>
      <w:numFmt w:val="bullet"/>
      <w:start w:val="1"/>
    </w:lvl>
  </w:abstractNum>
  <w:abstractNum w:abstractNumId="51">
    <w:nsid w:val="2E48F044"/>
    <w:multiLevelType w:val="hybridMultilevel"/>
    <w:lvl w:ilvl="0">
      <w:lvlJc w:val="left"/>
      <w:lvlText w:val="(%1)"/>
      <w:numFmt w:val="decimal"/>
      <w:start w:val="1"/>
    </w:lvl>
  </w:abstractNum>
  <w:abstractNum w:abstractNumId="52">
    <w:nsid w:val="49D0FEAC"/>
    <w:multiLevelType w:val="hybridMultilevel"/>
    <w:lvl w:ilvl="0">
      <w:lvlJc w:val="left"/>
      <w:lvlText w:val="•"/>
      <w:numFmt w:val="bullet"/>
      <w:start w:val="1"/>
    </w:lvl>
  </w:abstractNum>
  <w:abstractNum w:abstractNumId="53">
    <w:nsid w:val="4BEE5A5B"/>
    <w:multiLevelType w:val="hybridMultilevel"/>
    <w:lvl w:ilvl="0">
      <w:lvlJc w:val="left"/>
      <w:lvlText w:val="•"/>
      <w:numFmt w:val="bullet"/>
      <w:start w:val="1"/>
    </w:lvl>
  </w:abstractNum>
  <w:abstractNum w:abstractNumId="54">
    <w:nsid w:val="5551B9F3"/>
    <w:multiLevelType w:val="hybridMultilevel"/>
    <w:lvl w:ilvl="0">
      <w:lvlJc w:val="left"/>
      <w:lvlText w:val="•"/>
      <w:numFmt w:val="bullet"/>
      <w:start w:val="1"/>
    </w:lvl>
    <w:lvl w:ilvl="1">
      <w:lvlJc w:val="left"/>
      <w:lvlText w:val="○"/>
      <w:numFmt w:val="bullet"/>
      <w:start w:val="1"/>
    </w:lvl>
  </w:abstractNum>
  <w:abstractNum w:abstractNumId="55">
    <w:nsid w:val="24F6AB8E"/>
    <w:multiLevelType w:val="hybridMultilevel"/>
    <w:lvl w:ilvl="0">
      <w:lvlJc w:val="left"/>
      <w:lvlText w:val="•"/>
      <w:numFmt w:val="bullet"/>
      <w:start w:val="1"/>
    </w:lvl>
  </w:abstractNum>
  <w:abstractNum w:abstractNumId="56">
    <w:nsid w:val="634C574C"/>
    <w:multiLevelType w:val="hybridMultilevel"/>
    <w:lvl w:ilvl="0">
      <w:lvlJc w:val="left"/>
      <w:lvlText w:val="•"/>
      <w:numFmt w:val="bullet"/>
      <w:start w:val="1"/>
    </w:lvl>
  </w:abstractNum>
  <w:abstractNum w:abstractNumId="57">
    <w:nsid w:val="24E99DD7"/>
    <w:multiLevelType w:val="hybridMultilevel"/>
    <w:lvl w:ilvl="0">
      <w:lvlJc w:val="left"/>
      <w:lvlText w:val="•"/>
      <w:numFmt w:val="bullet"/>
      <w:start w:val="1"/>
    </w:lvl>
  </w:abstractNum>
  <w:abstractNum w:abstractNumId="58">
    <w:nsid w:val="2A31B62D"/>
    <w:multiLevelType w:val="hybridMultilevel"/>
    <w:lvl w:ilvl="0">
      <w:lvlJc w:val="left"/>
      <w:lvlText w:val="•"/>
      <w:numFmt w:val="bullet"/>
      <w:start w:val="1"/>
    </w:lvl>
  </w:abstractNum>
  <w:abstractNum w:abstractNumId="59">
    <w:nsid w:val="1849C29B"/>
    <w:multiLevelType w:val="hybridMultilevel"/>
    <w:lvl w:ilvl="0">
      <w:lvlJc w:val="left"/>
      <w:lvlText w:val="•"/>
      <w:numFmt w:val="bullet"/>
      <w:start w:val="1"/>
    </w:lvl>
  </w:abstractNum>
  <w:abstractNum w:abstractNumId="60">
    <w:nsid w:val="7DFF9D09"/>
    <w:multiLevelType w:val="hybridMultilevel"/>
    <w:lvl w:ilvl="0">
      <w:lvlJc w:val="left"/>
      <w:lvlText w:val="(%1)"/>
      <w:numFmt w:val="lowerRoman"/>
      <w:start w:val="1"/>
    </w:lvl>
  </w:abstractNum>
  <w:abstractNum w:abstractNumId="61">
    <w:nsid w:val="754342"/>
    <w:multiLevelType w:val="hybridMultilevel"/>
    <w:lvl w:ilvl="0">
      <w:lvlJc w:val="left"/>
      <w:lvlText w:val="(%1)"/>
      <w:numFmt w:val="lowerRoman"/>
      <w:start w:val="4"/>
    </w:lvl>
  </w:abstractNum>
  <w:abstractNum w:abstractNumId="62">
    <w:nsid w:val="69E7F3E5"/>
    <w:multiLevelType w:val="hybridMultilevel"/>
    <w:lvl w:ilvl="0">
      <w:lvlJc w:val="left"/>
      <w:lvlText w:val="•"/>
      <w:numFmt w:val="bullet"/>
      <w:start w:val="1"/>
    </w:lvl>
  </w:abstractNum>
  <w:abstractNum w:abstractNumId="63">
    <w:nsid w:val="2A6DE806"/>
    <w:multiLevelType w:val="hybridMultilevel"/>
    <w:lvl w:ilvl="0">
      <w:lvlJc w:val="left"/>
      <w:lvlText w:val="•"/>
      <w:numFmt w:val="bullet"/>
      <w:start w:val="1"/>
    </w:lvl>
  </w:abstractNum>
  <w:abstractNum w:abstractNumId="64">
    <w:nsid w:val="1816F8C4"/>
    <w:multiLevelType w:val="hybridMultilevel"/>
    <w:lvl w:ilvl="0">
      <w:lvlJc w:val="left"/>
      <w:lvlText w:val="•"/>
      <w:numFmt w:val="bullet"/>
      <w:start w:val="1"/>
    </w:lvl>
  </w:abstractNum>
  <w:abstractNum w:abstractNumId="65">
    <w:nsid w:val="37DF2233"/>
    <w:multiLevelType w:val="hybridMultilevel"/>
    <w:lvl w:ilvl="0">
      <w:lvlJc w:val="left"/>
      <w:lvlText w:val="•"/>
      <w:numFmt w:val="bullet"/>
      <w:start w:val="1"/>
    </w:lvl>
  </w:abstractNum>
  <w:abstractNum w:abstractNumId="66">
    <w:nsid w:val="7AB49DAF"/>
    <w:multiLevelType w:val="hybridMultilevel"/>
    <w:lvl w:ilvl="0">
      <w:lvlJc w:val="left"/>
      <w:lvlText w:val="•"/>
      <w:numFmt w:val="bullet"/>
      <w:start w:val="1"/>
    </w:lvl>
  </w:abstractNum>
  <w:abstractNum w:abstractNumId="67">
    <w:nsid w:val="759F82CD"/>
    <w:multiLevelType w:val="hybridMultilevel"/>
    <w:lvl w:ilvl="0">
      <w:lvlJc w:val="left"/>
      <w:lvlText w:val="1"/>
      <w:numFmt w:val="bullet"/>
      <w:start w:val="1"/>
    </w:lvl>
  </w:abstractNum>
  <w:abstractNum w:abstractNumId="68">
    <w:nsid w:val="61E74EA3"/>
    <w:multiLevelType w:val="hybridMultilevel"/>
    <w:lvl w:ilvl="0">
      <w:lvlJc w:val="left"/>
      <w:lvlText w:val="(%1)"/>
      <w:numFmt w:val="lowerLetter"/>
      <w:start w:val="1"/>
    </w:lvl>
  </w:abstractNum>
  <w:abstractNum w:abstractNumId="69">
    <w:nsid w:val="597B4D84"/>
    <w:multiLevelType w:val="hybridMultilevel"/>
    <w:lvl w:ilvl="0">
      <w:lvlJc w:val="left"/>
      <w:lvlText w:val="(%1)"/>
      <w:numFmt w:val="lowerLetter"/>
      <w:start w:val="1"/>
    </w:lvl>
  </w:abstractNum>
  <w:abstractNum w:abstractNumId="70">
    <w:nsid w:val="F819E7F"/>
    <w:multiLevelType w:val="hybridMultilevel"/>
    <w:lvl w:ilvl="0">
      <w:lvlJc w:val="left"/>
      <w:lvlText w:val="(%1)"/>
      <w:numFmt w:val="lowerLetter"/>
      <w:start w:val="1"/>
    </w:lvl>
    <w:lvl w:ilvl="1">
      <w:lvlJc w:val="left"/>
      <w:lvlText w:val="(%2)"/>
      <w:numFmt w:val="lowerRoman"/>
      <w:start w:val="1"/>
    </w:lvl>
  </w:abstractNum>
  <w:abstractNum w:abstractNumId="71">
    <w:nsid w:val="57C7D42D"/>
    <w:multiLevelType w:val="hybridMultilevel"/>
    <w:lvl w:ilvl="0">
      <w:lvlJc w:val="left"/>
      <w:lvlText w:val="(%1)"/>
      <w:numFmt w:val="lowerLetter"/>
      <w:start w:val="11"/>
    </w:lvl>
  </w:abstractNum>
  <w:abstractNum w:abstractNumId="72">
    <w:nsid w:val="312167AD"/>
    <w:multiLevelType w:val="hybridMultilevel"/>
    <w:lvl w:ilvl="0">
      <w:lvlJc w:val="left"/>
      <w:lvlText w:val="(%1)"/>
      <w:numFmt w:val="lowerLetter"/>
      <w:start w:val="1"/>
    </w:lvl>
  </w:abstractNum>
  <w:abstractNum w:abstractNumId="73">
    <w:nsid w:val="631B64D4"/>
    <w:multiLevelType w:val="hybridMultilevel"/>
    <w:lvl w:ilvl="0">
      <w:lvlJc w:val="left"/>
      <w:lvlText w:val="(%1)"/>
      <w:numFmt w:val="lowerLetter"/>
      <w:start w:val="2"/>
    </w:lvl>
  </w:abstractNum>
  <w:abstractNum w:abstractNumId="74">
    <w:nsid w:val="78B5E776"/>
    <w:multiLevelType w:val="hybridMultilevel"/>
    <w:lvl w:ilvl="0">
      <w:lvlJc w:val="left"/>
      <w:lvlText w:val="(%1)"/>
      <w:numFmt w:val="lowerLetter"/>
      <w:start w:val="1"/>
    </w:lvl>
  </w:abstractNum>
  <w:abstractNum w:abstractNumId="75">
    <w:nsid w:val="75486E47"/>
    <w:multiLevelType w:val="hybridMultilevel"/>
    <w:lvl w:ilvl="0">
      <w:lvlJc w:val="left"/>
      <w:lvlText w:val="2"/>
      <w:numFmt w:val="bullet"/>
      <w:start w:val="1"/>
    </w:lvl>
  </w:abstractNum>
  <w:abstractNum w:abstractNumId="76">
    <w:nsid w:val="6E534CDE"/>
    <w:multiLevelType w:val="hybridMultilevel"/>
    <w:lvl w:ilvl="0">
      <w:lvlJc w:val="left"/>
      <w:lvlText w:val="(%1)"/>
      <w:numFmt w:val="lowerLetter"/>
      <w:start w:val="1"/>
    </w:lvl>
  </w:abstractNum>
  <w:abstractNum w:abstractNumId="77">
    <w:nsid w:val="1A0DDE32"/>
    <w:multiLevelType w:val="hybridMultilevel"/>
    <w:lvl w:ilvl="0">
      <w:lvlJc w:val="left"/>
      <w:lvlText w:val="3"/>
      <w:numFmt w:val="bullet"/>
      <w:start w:val="1"/>
    </w:lvl>
  </w:abstractNum>
  <w:abstractNum w:abstractNumId="78">
    <w:nsid w:val="65968C1C"/>
    <w:multiLevelType w:val="hybridMultilevel"/>
    <w:lvl w:ilvl="0">
      <w:lvlJc w:val="left"/>
      <w:lvlText w:val="(%1)"/>
      <w:numFmt w:val="lowerLetter"/>
      <w:start w:val="1"/>
    </w:lvl>
    <w:lvl w:ilvl="1">
      <w:lvlJc w:val="left"/>
      <w:lvlText w:val="(%2)"/>
      <w:numFmt w:val="lowerRoman"/>
      <w:start w:val="1"/>
    </w:lvl>
  </w:abstractNum>
  <w:abstractNum w:abstractNumId="79">
    <w:nsid w:val="46263DEC"/>
    <w:multiLevelType w:val="hybridMultilevel"/>
    <w:lvl w:ilvl="0">
      <w:lvlJc w:val="left"/>
      <w:lvlText w:val="(%1)"/>
      <w:numFmt w:val="lowerLetter"/>
      <w:start w:val="2"/>
    </w:lvl>
  </w:abstractNum>
  <w:abstractNum w:abstractNumId="80">
    <w:nsid w:val="260D8C4A"/>
    <w:multiLevelType w:val="hybridMultilevel"/>
    <w:lvl w:ilvl="0">
      <w:lvlJc w:val="left"/>
      <w:lvlText w:val="(%1)"/>
      <w:numFmt w:val="lowerLetter"/>
      <w:start w:val="1"/>
    </w:lvl>
  </w:abstractNum>
  <w:abstractNum w:abstractNumId="81">
    <w:nsid w:val="73D4D3C4"/>
    <w:multiLevelType w:val="hybridMultilevel"/>
    <w:lvl w:ilvl="0">
      <w:lvlJc w:val="left"/>
      <w:lvlText w:val="(%1)"/>
      <w:numFmt w:val="lowerLetter"/>
      <w:start w:val="1"/>
    </w:lvl>
    <w:lvl w:ilvl="1">
      <w:lvlJc w:val="left"/>
      <w:lvlText w:val="(%2)"/>
      <w:numFmt w:val="lowerLetter"/>
      <w:start w:val="9"/>
    </w:lvl>
  </w:abstractNum>
  <w:abstractNum w:abstractNumId="82">
    <w:nsid w:val="746F2E30"/>
    <w:multiLevelType w:val="hybridMultilevel"/>
    <w:lvl w:ilvl="0">
      <w:lvlJc w:val="left"/>
      <w:lvlText w:val="(%1)"/>
      <w:numFmt w:val="lowerRoman"/>
      <w:start w:val="2"/>
    </w:lvl>
  </w:abstractNum>
  <w:abstractNum w:abstractNumId="83">
    <w:nsid w:val="6FDE8AF6"/>
    <w:multiLevelType w:val="hybridMultilevel"/>
    <w:lvl w:ilvl="0">
      <w:lvlJc w:val="left"/>
      <w:lvlText w:val="(%1)"/>
      <w:numFmt w:val="lowerLetter"/>
      <w:start w:val="2"/>
    </w:lvl>
  </w:abstractNum>
  <w:abstractNum w:abstractNumId="84">
    <w:nsid w:val="3FC32E20"/>
    <w:multiLevelType w:val="hybridMultilevel"/>
    <w:lvl w:ilvl="0">
      <w:lvlJc w:val="left"/>
      <w:lvlText w:val="(%1)"/>
      <w:numFmt w:val="lowerLetter"/>
      <w:start w:val="1"/>
    </w:lvl>
  </w:abstractNum>
  <w:abstractNum w:abstractNumId="85">
    <w:nsid w:val="49C0E823"/>
    <w:multiLevelType w:val="hybridMultilevel"/>
    <w:lvl w:ilvl="0">
      <w:lvlJc w:val="left"/>
      <w:lvlText w:val="4"/>
      <w:numFmt w:val="bullet"/>
      <w:start w:val="1"/>
    </w:lvl>
  </w:abstractNum>
  <w:abstractNum w:abstractNumId="86">
    <w:nsid w:val="14D53685"/>
    <w:multiLevelType w:val="hybridMultilevel"/>
    <w:lvl w:ilvl="0">
      <w:lvlJc w:val="left"/>
      <w:lvlText w:val="(%1)"/>
      <w:numFmt w:val="lowerLetter"/>
      <w:start w:val="1"/>
    </w:lvl>
    <w:lvl w:ilvl="1">
      <w:lvlJc w:val="left"/>
      <w:lvlText w:val="(%2)"/>
      <w:numFmt w:val="lowerRoman"/>
      <w:start w:val="1"/>
    </w:lvl>
  </w:abstractNum>
  <w:abstractNum w:abstractNumId="87">
    <w:nsid w:val="230F856C"/>
    <w:multiLevelType w:val="hybridMultilevel"/>
    <w:lvl w:ilvl="0">
      <w:lvlJc w:val="left"/>
      <w:lvlText w:val="(%1)"/>
      <w:numFmt w:val="lowerLetter"/>
      <w:start w:val="6"/>
    </w:lvl>
  </w:abstractNum>
  <w:abstractNum w:abstractNumId="88">
    <w:nsid w:val="6EAA85FB"/>
    <w:multiLevelType w:val="hybridMultilevel"/>
    <w:lvl w:ilvl="0">
      <w:lvlJc w:val="left"/>
      <w:lvlText w:val="(%1)"/>
      <w:numFmt w:val="lowerLetter"/>
      <w:start w:val="1"/>
    </w:lvl>
    <w:lvl w:ilvl="1">
      <w:lvlJc w:val="left"/>
      <w:lvlText w:val="(%2)"/>
      <w:numFmt w:val="lowerRoman"/>
      <w:start w:val="1"/>
    </w:lvl>
  </w:abstractNum>
  <w:abstractNum w:abstractNumId="89">
    <w:nsid w:val="3F06ECB2"/>
    <w:multiLevelType w:val="hybridMultilevel"/>
    <w:lvl w:ilvl="0">
      <w:lvlJc w:val="left"/>
      <w:lvlText w:val="(%1)"/>
      <w:numFmt w:val="lowerLetter"/>
      <w:start w:val="5"/>
    </w:lvl>
  </w:abstractNum>
  <w:abstractNum w:abstractNumId="90">
    <w:nsid w:val="3B594807"/>
    <w:multiLevelType w:val="hybridMultilevel"/>
    <w:lvl w:ilvl="0">
      <w:lvlJc w:val="left"/>
      <w:lvlText w:val="(%1)"/>
      <w:numFmt w:val="lowerLetter"/>
      <w:start w:val="1"/>
    </w:lvl>
    <w:lvl w:ilvl="1">
      <w:lvlJc w:val="left"/>
      <w:lvlText w:val="(%2)"/>
      <w:numFmt w:val="lowerRoman"/>
      <w:start w:val="1"/>
    </w:lvl>
  </w:abstractNum>
  <w:abstractNum w:abstractNumId="91">
    <w:nsid w:val="6CAA2304"/>
    <w:multiLevelType w:val="hybridMultilevel"/>
    <w:lvl w:ilvl="0">
      <w:lvlJc w:val="left"/>
      <w:lvlText w:val="5"/>
      <w:numFmt w:val="bullet"/>
      <w:start w:val="1"/>
    </w:lvl>
  </w:abstractNum>
  <w:abstractNum w:abstractNumId="92">
    <w:nsid w:val="3F7C2FF4"/>
    <w:multiLevelType w:val="hybridMultilevel"/>
    <w:lvl w:ilvl="0">
      <w:lvlJc w:val="left"/>
      <w:lvlText w:val="6"/>
      <w:numFmt w:val="bullet"/>
      <w:start w:val="1"/>
    </w:lvl>
    <w:lvl w:ilvl="1">
      <w:lvlJc w:val="left"/>
      <w:lvlText w:val="(%2)"/>
      <w:numFmt w:val="lowerLetter"/>
      <w:start w:val="1"/>
    </w:lvl>
  </w:abstractNum>
  <w:abstractNum w:abstractNumId="93">
    <w:nsid w:val="25413BEC"/>
    <w:multiLevelType w:val="hybridMultilevel"/>
    <w:lvl w:ilvl="0">
      <w:lvlJc w:val="left"/>
      <w:lvlText w:val="(%1)"/>
      <w:numFmt w:val="lowerLetter"/>
      <w:start w:val="1"/>
    </w:lvl>
    <w:lvl w:ilvl="1">
      <w:lvlJc w:val="left"/>
      <w:lvlText w:val="(%2)"/>
      <w:numFmt w:val="lowerRoman"/>
      <w:start w:val="1"/>
    </w:lvl>
  </w:abstractNum>
  <w:abstractNum w:abstractNumId="94">
    <w:nsid w:val="17180B0B"/>
    <w:multiLevelType w:val="hybridMultilevel"/>
    <w:lvl w:ilvl="0">
      <w:lvlJc w:val="left"/>
      <w:lvlText w:val="(%1)"/>
      <w:numFmt w:val="lowerLetter"/>
      <w:start w:val="1"/>
    </w:lvl>
    <w:lvl w:ilvl="1">
      <w:lvlJc w:val="left"/>
      <w:lvlText w:val="(%2)"/>
      <w:numFmt w:val="lowerRoman"/>
      <w:start w:val="1"/>
    </w:lvl>
  </w:abstractNum>
  <w:abstractNum w:abstractNumId="95">
    <w:nsid w:val="579328B9"/>
    <w:multiLevelType w:val="hybridMultilevel"/>
    <w:lvl w:ilvl="0">
      <w:lvlJc w:val="left"/>
      <w:lvlText w:val="%1"/>
      <w:numFmt w:val="lowerLetter"/>
      <w:start w:val="1"/>
    </w:lvl>
    <w:lvl w:ilvl="1">
      <w:lvlJc w:val="left"/>
      <w:lvlText w:val="(%2)"/>
      <w:numFmt w:val="lowerLetter"/>
      <w:start w:val="35"/>
    </w:lvl>
  </w:abstractNum>
  <w:abstractNum w:abstractNumId="96">
    <w:nsid w:val="5D205E20"/>
    <w:multiLevelType w:val="hybridMultilevel"/>
    <w:lvl w:ilvl="0">
      <w:lvlJc w:val="left"/>
      <w:lvlText w:val="(%1)"/>
      <w:numFmt w:val="lowerLetter"/>
      <w:start w:val="2"/>
    </w:lvl>
    <w:lvl w:ilvl="1">
      <w:lvlJc w:val="left"/>
      <w:lvlText w:val="%2"/>
      <w:numFmt w:val="lowerLetter"/>
      <w:start w:val="1"/>
    </w:lvl>
  </w:abstractNum>
  <w:abstractNum w:abstractNumId="97">
    <w:nsid w:val="11CCA8BA"/>
    <w:multiLevelType w:val="hybridMultilevel"/>
    <w:lvl w:ilvl="0">
      <w:lvlJc w:val="left"/>
      <w:lvlText w:val="(%1)"/>
      <w:numFmt w:val="lowerLetter"/>
      <w:start w:val="1"/>
    </w:lvl>
  </w:abstractNum>
  <w:abstractNum w:abstractNumId="98">
    <w:nsid w:val="4D32AB86"/>
    <w:multiLevelType w:val="hybridMultilevel"/>
    <w:lvl w:ilvl="0">
      <w:lvlJc w:val="left"/>
      <w:lvlText w:val="7"/>
      <w:numFmt w:val="bullet"/>
      <w:start w:val="1"/>
    </w:lvl>
  </w:abstractNum>
  <w:abstractNum w:abstractNumId="99">
    <w:nsid w:val="3F07ACC3"/>
    <w:multiLevelType w:val="hybridMultilevel"/>
    <w:lvl w:ilvl="0">
      <w:lvlJc w:val="left"/>
      <w:lvlText w:val="(%1)"/>
      <w:numFmt w:val="lowerLetter"/>
      <w:start w:val="1"/>
    </w:lvl>
  </w:abstractNum>
  <w:abstractNum w:abstractNumId="100">
    <w:nsid w:val="6B47F63E"/>
    <w:multiLevelType w:val="hybridMultilevel"/>
    <w:lvl w:ilvl="0">
      <w:lvlJc w:val="left"/>
      <w:lvlText w:val="(%1)"/>
      <w:numFmt w:val="lowerLetter"/>
      <w:start w:val="1"/>
    </w:lvl>
  </w:abstractNum>
  <w:abstractNum w:abstractNumId="101">
    <w:nsid w:val="5CB44A05"/>
    <w:multiLevelType w:val="hybridMultilevel"/>
    <w:lvl w:ilvl="0">
      <w:lvlJc w:val="left"/>
      <w:lvlText w:val="(%1)"/>
      <w:numFmt w:val="lowerLetter"/>
      <w:start w:val="1"/>
    </w:lvl>
  </w:abstractNum>
  <w:abstractNum w:abstractNumId="102">
    <w:nsid w:val="16CF80F1"/>
    <w:multiLevelType w:val="hybridMultilevel"/>
    <w:lvl w:ilvl="0">
      <w:lvlJc w:val="left"/>
      <w:lvlText w:val="8"/>
      <w:numFmt w:val="bullet"/>
      <w:start w:val="1"/>
    </w:lvl>
    <w:lvl w:ilvl="1">
      <w:lvlJc w:val="left"/>
      <w:lvlText w:val="(%2)"/>
      <w:numFmt w:val="lowerLetter"/>
      <w:start w:val="1"/>
    </w:lvl>
    <w:lvl w:ilvl="2">
      <w:lvlJc w:val="left"/>
      <w:lvlText w:val="(%3)"/>
      <w:numFmt w:val="lowerLetter"/>
      <w:start w:val="9"/>
    </w:lvl>
  </w:abstractNum>
  <w:abstractNum w:abstractNumId="103">
    <w:nsid w:val="1C695DEC"/>
    <w:multiLevelType w:val="hybridMultilevel"/>
    <w:lvl w:ilvl="0">
      <w:lvlJc w:val="left"/>
      <w:lvlText w:val="(%1)"/>
      <w:numFmt w:val="lowerRoman"/>
      <w:start w:val="2"/>
    </w:lvl>
  </w:abstractNum>
  <w:abstractNum w:abstractNumId="104">
    <w:nsid w:val="3FCFAED9"/>
    <w:multiLevelType w:val="hybridMultilevel"/>
    <w:lvl w:ilvl="0">
      <w:lvlJc w:val="left"/>
      <w:lvlText w:val="(%1)"/>
      <w:numFmt w:val="lowerLetter"/>
      <w:start w:val="1"/>
    </w:lvl>
  </w:abstractNum>
  <w:abstractNum w:abstractNumId="105">
    <w:nsid w:val="F856867"/>
    <w:multiLevelType w:val="hybridMultilevel"/>
    <w:lvl w:ilvl="0">
      <w:lvlJc w:val="left"/>
      <w:lvlText w:val="(%1)"/>
      <w:numFmt w:val="lowerLetter"/>
      <w:start w:val="2"/>
    </w:lvl>
  </w:abstractNum>
  <w:abstractNum w:abstractNumId="106">
    <w:nsid w:val="11B1CC33"/>
    <w:multiLevelType w:val="hybridMultilevel"/>
    <w:lvl w:ilvl="0">
      <w:lvlJc w:val="left"/>
      <w:lvlText w:val="(%1)"/>
      <w:numFmt w:val="lowerLetter"/>
      <w:start w:val="1"/>
    </w:lvl>
  </w:abstractNum>
  <w:abstractNum w:abstractNumId="107">
    <w:nsid w:val="2E22FBB7"/>
    <w:multiLevelType w:val="hybridMultilevel"/>
    <w:lvl w:ilvl="0">
      <w:lvlJc w:val="left"/>
      <w:lvlText w:val="9"/>
      <w:numFmt w:val="bullet"/>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08">
    <w:nsid w:val="29934699"/>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4"/>
    </w:lvl>
  </w:abstractNum>
  <w:abstractNum w:abstractNumId="109">
    <w:nsid w:val="77485850"/>
    <w:multiLevelType w:val="hybridMultilevel"/>
    <w:lvl w:ilvl="0">
      <w:lvlJc w:val="left"/>
      <w:lvlText w:val="(%1)"/>
      <w:numFmt w:val="lowerRoman"/>
      <w:start w:val="3"/>
    </w:lvl>
    <w:lvl w:ilvl="1">
      <w:lvlJc w:val="left"/>
      <w:lvlText w:val="(%2)"/>
      <w:numFmt w:val="lowerRoman"/>
      <w:start w:val="3"/>
    </w:lvl>
    <w:lvl w:ilvl="2">
      <w:lvlJc w:val="left"/>
      <w:lvlText w:val="(%3)"/>
      <w:numFmt w:val="upperLetter"/>
      <w:start w:val="1"/>
    </w:lvl>
  </w:abstractNum>
  <w:abstractNum w:abstractNumId="110">
    <w:nsid w:val="744939A3"/>
    <w:multiLevelType w:val="hybridMultilevel"/>
    <w:lvl w:ilvl="0">
      <w:lvlJc w:val="left"/>
      <w:lvlText w:val="(%1)"/>
      <w:numFmt w:val="lowerLetter"/>
      <w:start w:val="2"/>
    </w:lvl>
  </w:abstractNum>
  <w:abstractNum w:abstractNumId="111">
    <w:nsid w:val="4FA0D2E3"/>
    <w:multiLevelType w:val="hybridMultilevel"/>
    <w:lvl w:ilvl="0">
      <w:lvlJc w:val="left"/>
      <w:lvlText w:val="(%1)"/>
      <w:numFmt w:val="lowerLetter"/>
      <w:start w:val="1"/>
    </w:lvl>
  </w:abstractNum>
  <w:abstractNum w:abstractNumId="112">
    <w:nsid w:val="6B1D2C14"/>
    <w:multiLevelType w:val="hybridMultilevel"/>
    <w:lvl w:ilvl="0">
      <w:lvlJc w:val="left"/>
      <w:lvlText w:val="(%1)"/>
      <w:numFmt w:val="lowerLetter"/>
      <w:start w:val="1"/>
    </w:lvl>
  </w:abstractNum>
  <w:abstractNum w:abstractNumId="113">
    <w:nsid w:val="68B867D3"/>
    <w:multiLevelType w:val="hybridMultilevel"/>
    <w:lvl w:ilvl="0">
      <w:lvlJc w:val="left"/>
      <w:lvlText w:val="(%1)"/>
      <w:numFmt w:val="lowerLetter"/>
      <w:start w:val="1"/>
    </w:lvl>
    <w:lvl w:ilvl="1">
      <w:lvlJc w:val="left"/>
      <w:lvlText w:val="(%2)"/>
      <w:numFmt w:val="lowerRoman"/>
      <w:start w:val="1"/>
    </w:lvl>
  </w:abstractNum>
  <w:abstractNum w:abstractNumId="114">
    <w:nsid w:val="3F7F5DD9"/>
    <w:multiLevelType w:val="hybridMultilevel"/>
    <w:lvl w:ilvl="0">
      <w:lvlJc w:val="left"/>
      <w:lvlText w:val="(%1)"/>
      <w:numFmt w:val="lowerLetter"/>
      <w:start w:val="1"/>
    </w:lvl>
  </w:abstractNum>
  <w:abstractNum w:abstractNumId="115">
    <w:nsid w:val="2AE05A34"/>
    <w:multiLevelType w:val="hybridMultilevel"/>
    <w:lvl w:ilvl="0">
      <w:lvlJc w:val="left"/>
      <w:lvlText w:val="(%1)"/>
      <w:numFmt w:val="lowerLetter"/>
      <w:start w:val="1"/>
    </w:lvl>
  </w:abstractNum>
  <w:abstractNum w:abstractNumId="116">
    <w:nsid w:val="32794FF7"/>
    <w:multiLevelType w:val="hybridMultilevel"/>
    <w:lvl w:ilvl="0">
      <w:lvlJc w:val="left"/>
      <w:lvlText w:val="(%1)"/>
      <w:numFmt w:val="lowerLetter"/>
      <w:start w:val="1"/>
    </w:lvl>
  </w:abstractNum>
  <w:abstractNum w:abstractNumId="117">
    <w:nsid w:val="5454945E"/>
    <w:multiLevelType w:val="hybridMultilevel"/>
    <w:lvl w:ilvl="0">
      <w:lvlJc w:val="left"/>
      <w:lvlText w:val="(%1)"/>
      <w:numFmt w:val="lowerLetter"/>
      <w:start w:val="2"/>
    </w:lvl>
  </w:abstractNum>
  <w:abstractNum w:abstractNumId="118">
    <w:nsid w:val="4DEFDFA0"/>
    <w:multiLevelType w:val="hybridMultilevel"/>
    <w:lvl w:ilvl="0">
      <w:lvlJc w:val="left"/>
      <w:lvlText w:val="(%1)"/>
      <w:numFmt w:val="lowerLetter"/>
      <w:start w:val="1"/>
    </w:lvl>
  </w:abstractNum>
  <w:abstractNum w:abstractNumId="119">
    <w:nsid w:val="2123D5F2"/>
    <w:multiLevelType w:val="hybridMultilevel"/>
    <w:lvl w:ilvl="0">
      <w:lvlJc w:val="left"/>
      <w:lvlText w:val="(%1)"/>
      <w:numFmt w:val="lowerLetter"/>
      <w:start w:val="1"/>
    </w:lvl>
  </w:abstractNum>
  <w:abstractNum w:abstractNumId="120">
    <w:nsid w:val="135B8110"/>
    <w:multiLevelType w:val="hybridMultilevel"/>
    <w:lvl w:ilvl="0">
      <w:lvlJc w:val="left"/>
      <w:lvlText w:val="%1"/>
      <w:numFmt w:val="decimal"/>
      <w:start w:val="10"/>
    </w:lvl>
  </w:abstractNum>
  <w:abstractNum w:abstractNumId="121">
    <w:nsid w:val="94927A8"/>
    <w:multiLevelType w:val="hybridMultilevel"/>
    <w:lvl w:ilvl="0">
      <w:lvlJc w:val="left"/>
      <w:lvlText w:val="(%1)"/>
      <w:numFmt w:val="lowerLetter"/>
      <w:start w:val="1"/>
    </w:lvl>
  </w:abstractNum>
  <w:abstractNum w:abstractNumId="122">
    <w:nsid w:val="DCDF8F6"/>
    <w:multiLevelType w:val="hybridMultilevel"/>
    <w:lvl w:ilvl="0">
      <w:lvlJc w:val="left"/>
      <w:lvlText w:val="(%1)"/>
      <w:numFmt w:val="lowerLetter"/>
      <w:start w:val="1"/>
    </w:lvl>
  </w:abstractNum>
  <w:abstractNum w:abstractNumId="123">
    <w:nsid w:val="52D7B105"/>
    <w:multiLevelType w:val="hybridMultilevel"/>
    <w:lvl w:ilvl="0">
      <w:lvlJc w:val="left"/>
      <w:lvlText w:val="(%1)"/>
      <w:numFmt w:val="lowerLetter"/>
      <w:start w:val="1"/>
    </w:lvl>
  </w:abstractNum>
  <w:abstractNum w:abstractNumId="124">
    <w:nsid w:val="2E8A6394"/>
    <w:multiLevelType w:val="hybridMultilevel"/>
    <w:lvl w:ilvl="0">
      <w:lvlJc w:val="left"/>
      <w:lvlText w:val="(%1)"/>
      <w:numFmt w:val="lowerLetter"/>
      <w:start w:val="1"/>
    </w:lvl>
  </w:abstractNum>
  <w:abstractNum w:abstractNumId="125">
    <w:nsid w:val="24E60401"/>
    <w:multiLevelType w:val="hybridMultilevel"/>
    <w:lvl w:ilvl="0">
      <w:lvlJc w:val="left"/>
      <w:lvlText w:val="(%1)"/>
      <w:numFmt w:val="lowerLetter"/>
      <w:start w:val="1"/>
    </w:lvl>
  </w:abstractNum>
  <w:abstractNum w:abstractNumId="126">
    <w:nsid w:val="2A6AD9BE"/>
    <w:multiLevelType w:val="hybridMultilevel"/>
    <w:lvl w:ilvl="0">
      <w:lvlJc w:val="left"/>
      <w:lvlText w:val="(%1)"/>
      <w:numFmt w:val="lowerLetter"/>
      <w:start w:val="1"/>
    </w:lvl>
  </w:abstractNum>
  <w:abstractNum w:abstractNumId="127">
    <w:nsid w:val="BAAC1B4"/>
    <w:multiLevelType w:val="hybridMultilevel"/>
    <w:lvl w:ilvl="0">
      <w:lvlJc w:val="left"/>
      <w:lvlText w:val="(%1)"/>
      <w:numFmt w:val="lowerLetter"/>
      <w:start w:val="1"/>
    </w:lvl>
  </w:abstractNum>
  <w:abstractNum w:abstractNumId="128">
    <w:nsid w:val="36B2ACBC"/>
    <w:multiLevelType w:val="hybridMultilevel"/>
    <w:lvl w:ilvl="0">
      <w:lvlJc w:val="left"/>
      <w:lvlText w:val="(%1)"/>
      <w:numFmt w:val="lowerLetter"/>
      <w:start w:val="1"/>
    </w:lvl>
  </w:abstractNum>
  <w:abstractNum w:abstractNumId="129">
    <w:nsid w:val="779D8544"/>
    <w:multiLevelType w:val="hybridMultilevel"/>
    <w:lvl w:ilvl="0">
      <w:lvlJc w:val="left"/>
      <w:lvlText w:val="(%1)"/>
      <w:numFmt w:val="lowerLetter"/>
      <w:start w:val="1"/>
    </w:lvl>
  </w:abstractNum>
  <w:abstractNum w:abstractNumId="130">
    <w:nsid w:val="4AB26E78"/>
    <w:multiLevelType w:val="hybridMultilevel"/>
    <w:lvl w:ilvl="0">
      <w:lvlJc w:val="left"/>
      <w:lvlText w:val="%1"/>
      <w:numFmt w:val="decimal"/>
      <w:start w:val="11"/>
    </w:lvl>
  </w:abstractNum>
  <w:abstractNum w:abstractNumId="131">
    <w:nsid w:val="21FAA2FA"/>
    <w:multiLevelType w:val="hybridMultilevel"/>
    <w:lvl w:ilvl="0">
      <w:lvlJc w:val="left"/>
      <w:lvlText w:val="(%1)"/>
      <w:numFmt w:val="lowerLetter"/>
      <w:start w:val="1"/>
    </w:lvl>
  </w:abstractNum>
  <w:abstractNum w:abstractNumId="132">
    <w:nsid w:val="5451CF49"/>
    <w:multiLevelType w:val="hybridMultilevel"/>
    <w:lvl w:ilvl="0">
      <w:lvlJc w:val="left"/>
      <w:lvlText w:val="(%1)"/>
      <w:numFmt w:val="lowerLetter"/>
      <w:start w:val="1"/>
    </w:lvl>
  </w:abstractNum>
  <w:abstractNum w:abstractNumId="133">
    <w:nsid w:val="6181EF69"/>
    <w:multiLevelType w:val="hybridMultilevel"/>
    <w:lvl w:ilvl="0">
      <w:lvlJc w:val="left"/>
      <w:lvlText w:val="(%1)"/>
      <w:numFmt w:val="lowerLetter"/>
      <w:start w:val="1"/>
    </w:lvl>
  </w:abstractNum>
  <w:abstractNum w:abstractNumId="134">
    <w:nsid w:val="3E6400E6"/>
    <w:multiLevelType w:val="hybridMultilevel"/>
    <w:lvl w:ilvl="0">
      <w:lvlJc w:val="left"/>
      <w:lvlText w:val="(%1)"/>
      <w:numFmt w:val="lowerLetter"/>
      <w:start w:val="1"/>
    </w:lvl>
  </w:abstractNum>
  <w:abstractNum w:abstractNumId="135">
    <w:nsid w:val="14217E23"/>
    <w:multiLevelType w:val="hybridMultilevel"/>
    <w:lvl w:ilvl="0">
      <w:lvlJc w:val="left"/>
      <w:lvlText w:val="(%1)"/>
      <w:numFmt w:val="lowerLetter"/>
      <w:start w:val="1"/>
    </w:lvl>
    <w:lvl w:ilvl="1">
      <w:lvlJc w:val="left"/>
      <w:lvlText w:val="(%2)"/>
      <w:numFmt w:val="lowerRoman"/>
      <w:start w:val="1"/>
    </w:lvl>
  </w:abstractNum>
  <w:abstractNum w:abstractNumId="136">
    <w:nsid w:val="710757D0"/>
    <w:multiLevelType w:val="hybridMultilevel"/>
    <w:lvl w:ilvl="0">
      <w:lvlJc w:val="left"/>
      <w:lvlText w:val="(%1)"/>
      <w:numFmt w:val="lowerLetter"/>
      <w:start w:val="1"/>
    </w:lvl>
  </w:abstractNum>
  <w:abstractNum w:abstractNumId="137">
    <w:nsid w:val="5015CD1A"/>
    <w:multiLevelType w:val="hybridMultilevel"/>
    <w:lvl w:ilvl="0">
      <w:lvlJc w:val="left"/>
      <w:lvlText w:val="(%1)"/>
      <w:numFmt w:val="lowerLetter"/>
      <w:start w:val="1"/>
    </w:lvl>
  </w:abstractNum>
  <w:abstractNum w:abstractNumId="138">
    <w:nsid w:val="424479DA"/>
    <w:multiLevelType w:val="hybridMultilevel"/>
    <w:lvl w:ilvl="0">
      <w:lvlJc w:val="left"/>
      <w:lvlText w:val="(%1)"/>
      <w:numFmt w:val="lowerLetter"/>
      <w:start w:val="1"/>
    </w:lvl>
  </w:abstractNum>
  <w:abstractNum w:abstractNumId="139">
    <w:nsid w:val="1A9A9E69"/>
    <w:multiLevelType w:val="hybridMultilevel"/>
    <w:lvl w:ilvl="0">
      <w:lvlJc w:val="left"/>
      <w:lvlText w:val="(%1)"/>
      <w:numFmt w:val="lowerLetter"/>
      <w:start w:val="1"/>
    </w:lvl>
  </w:abstractNum>
  <w:abstractNum w:abstractNumId="140">
    <w:nsid w:val="475E256A"/>
    <w:multiLevelType w:val="hybridMultilevel"/>
    <w:lvl w:ilvl="0">
      <w:lvlJc w:val="left"/>
      <w:lvlText w:val="(%1)"/>
      <w:numFmt w:val="lowerLetter"/>
      <w:start w:val="1"/>
    </w:lvl>
  </w:abstractNum>
  <w:abstractNum w:abstractNumId="141">
    <w:nsid w:val="368DB37E"/>
    <w:multiLevelType w:val="hybridMultilevel"/>
    <w:lvl w:ilvl="0">
      <w:lvlJc w:val="left"/>
      <w:lvlText w:val="(%1)"/>
      <w:numFmt w:val="lowerLetter"/>
      <w:start w:val="1"/>
    </w:lvl>
  </w:abstractNum>
  <w:abstractNum w:abstractNumId="142">
    <w:nsid w:val="6A3B714C"/>
    <w:multiLevelType w:val="hybridMultilevel"/>
    <w:lvl w:ilvl="0">
      <w:lvlJc w:val="left"/>
      <w:lvlText w:val="(%1)"/>
      <w:numFmt w:val="lowerLetter"/>
      <w:start w:val="1"/>
    </w:lvl>
  </w:abstractNum>
  <w:abstractNum w:abstractNumId="143">
    <w:nsid w:val="327B517E"/>
    <w:multiLevelType w:val="hybridMultilevel"/>
    <w:lvl w:ilvl="0">
      <w:lvlJc w:val="left"/>
      <w:lvlText w:val="(%1)"/>
      <w:numFmt w:val="lowerLetter"/>
      <w:start w:val="1"/>
    </w:lvl>
  </w:abstractNum>
  <w:abstractNum w:abstractNumId="144">
    <w:nsid w:val="1F461B51"/>
    <w:multiLevelType w:val="hybridMultilevel"/>
    <w:lvl w:ilvl="0">
      <w:lvlJc w:val="left"/>
      <w:lvlText w:val="(%1)"/>
      <w:numFmt w:val="lowerLetter"/>
      <w:start w:val="1"/>
    </w:lvl>
  </w:abstractNum>
  <w:abstractNum w:abstractNumId="145">
    <w:nsid w:val="29BACF25"/>
    <w:multiLevelType w:val="hybridMultilevel"/>
    <w:lvl w:ilvl="0">
      <w:lvlJc w:val="left"/>
      <w:lvlText w:val="(%1)"/>
      <w:numFmt w:val="lowerLetter"/>
      <w:start w:val="1"/>
    </w:lvl>
    <w:lvl w:ilvl="1">
      <w:lvlJc w:val="left"/>
      <w:lvlText w:val="(%2)"/>
      <w:numFmt w:val="lowerRoman"/>
      <w:start w:val="1"/>
    </w:lvl>
  </w:abstractNum>
  <w:abstractNum w:abstractNumId="146">
    <w:nsid w:val="5D5BABB3"/>
    <w:multiLevelType w:val="hybridMultilevel"/>
    <w:lvl w:ilvl="0">
      <w:lvlJc w:val="left"/>
      <w:lvlText w:val="(%1)"/>
      <w:numFmt w:val="lowerLetter"/>
      <w:start w:val="1"/>
    </w:lvl>
  </w:abstractNum>
  <w:abstractNum w:abstractNumId="147">
    <w:nsid w:val="51BF6B48"/>
    <w:multiLevelType w:val="hybridMultilevel"/>
    <w:lvl w:ilvl="0">
      <w:lvlJc w:val="left"/>
      <w:lvlText w:val="(%1)"/>
      <w:numFmt w:val="lowerLetter"/>
      <w:start w:val="1"/>
    </w:lvl>
    <w:lvl w:ilvl="1">
      <w:lvlJc w:val="left"/>
      <w:lvlText w:val="(%2)"/>
      <w:numFmt w:val="lowerRoman"/>
      <w:start w:val="1"/>
    </w:lvl>
  </w:abstractNum>
  <w:abstractNum w:abstractNumId="148">
    <w:nsid w:val="7E0F6384"/>
    <w:multiLevelType w:val="hybridMultilevel"/>
    <w:lvl w:ilvl="0">
      <w:lvlJc w:val="left"/>
      <w:lvlText w:val="(%1)"/>
      <w:numFmt w:val="lowerLetter"/>
      <w:start w:val="1"/>
    </w:lvl>
    <w:lvl w:ilvl="1">
      <w:lvlJc w:val="left"/>
      <w:lvlText w:val="(%2)"/>
      <w:numFmt w:val="lowerRoman"/>
      <w:start w:val="1"/>
    </w:lvl>
  </w:abstractNum>
  <w:abstractNum w:abstractNumId="149">
    <w:nsid w:val="2B4B8B53"/>
    <w:multiLevelType w:val="hybridMultilevel"/>
    <w:lvl w:ilvl="0">
      <w:lvlJc w:val="left"/>
      <w:lvlText w:val="(%1)"/>
      <w:numFmt w:val="lowerLetter"/>
      <w:start w:val="1"/>
    </w:lvl>
  </w:abstractNum>
  <w:abstractNum w:abstractNumId="150">
    <w:nsid w:val="72E3413A"/>
    <w:multiLevelType w:val="hybridMultilevel"/>
    <w:lvl w:ilvl="0">
      <w:lvlJc w:val="left"/>
      <w:lvlText w:val="(%1)"/>
      <w:numFmt w:val="lowerLetter"/>
      <w:start w:val="1"/>
    </w:lvl>
  </w:abstractNum>
  <w:abstractNum w:abstractNumId="151">
    <w:nsid w:val="116AE494"/>
    <w:multiLevelType w:val="hybridMultilevel"/>
    <w:lvl w:ilvl="0">
      <w:lvlJc w:val="left"/>
      <w:lvlText w:val="(%1)"/>
      <w:numFmt w:val="lowerLetter"/>
      <w:start w:val="1"/>
    </w:lvl>
  </w:abstractNum>
  <w:abstractNum w:abstractNumId="152">
    <w:nsid w:val="3494B2FB"/>
    <w:multiLevelType w:val="hybridMultilevel"/>
    <w:lvl w:ilvl="0">
      <w:lvlJc w:val="left"/>
      <w:lvlText w:val="(%1)"/>
      <w:numFmt w:val="lowerLetter"/>
      <w:start w:val="1"/>
    </w:lvl>
  </w:abstractNum>
  <w:abstractNum w:abstractNumId="153">
    <w:nsid w:val="B13A31"/>
    <w:multiLevelType w:val="hybridMultilevel"/>
    <w:lvl w:ilvl="0">
      <w:lvlJc w:val="left"/>
      <w:lvlText w:val="%1"/>
      <w:numFmt w:val="decimal"/>
      <w:start w:val="14"/>
    </w:lvl>
  </w:abstractNum>
  <w:abstractNum w:abstractNumId="154">
    <w:nsid w:val="64429599"/>
    <w:multiLevelType w:val="hybridMultilevel"/>
    <w:lvl w:ilvl="0">
      <w:lvlJc w:val="left"/>
      <w:lvlText w:val="(%1)"/>
      <w:numFmt w:val="lowerLetter"/>
      <w:start w:val="1"/>
    </w:lvl>
  </w:abstractNum>
  <w:abstractNum w:abstractNumId="155">
    <w:nsid w:val="631F1690"/>
    <w:multiLevelType w:val="hybridMultilevel"/>
    <w:lvl w:ilvl="0">
      <w:lvlJc w:val="left"/>
      <w:lvlText w:val="(%1)"/>
      <w:numFmt w:val="lowerLetter"/>
      <w:start w:val="1"/>
    </w:lvl>
  </w:abstractNum>
  <w:abstractNum w:abstractNumId="156">
    <w:nsid w:val="25973E32"/>
    <w:multiLevelType w:val="hybridMultilevel"/>
    <w:lvl w:ilvl="0">
      <w:lvlJc w:val="left"/>
      <w:lvlText w:val="(%1)"/>
      <w:numFmt w:val="lowerLetter"/>
      <w:start w:val="1"/>
    </w:lvl>
  </w:abstractNum>
  <w:abstractNum w:abstractNumId="157">
    <w:nsid w:val="EAD6F57"/>
    <w:multiLevelType w:val="hybridMultilevel"/>
    <w:lvl w:ilvl="0">
      <w:lvlJc w:val="left"/>
      <w:lvlText w:val="(%1)"/>
      <w:numFmt w:val="lowerLetter"/>
      <w:start w:val="1"/>
    </w:lvl>
  </w:abstractNum>
  <w:abstractNum w:abstractNumId="158">
    <w:nsid w:val="6EC9D844"/>
    <w:multiLevelType w:val="hybridMultilevel"/>
    <w:lvl w:ilvl="0">
      <w:lvlJc w:val="left"/>
      <w:lvlText w:val="(%1)"/>
      <w:numFmt w:val="lowerLetter"/>
      <w:start w:val="1"/>
    </w:lvl>
  </w:abstractNum>
  <w:abstractNum w:abstractNumId="159">
    <w:nsid w:val="5C49EAEE"/>
    <w:multiLevelType w:val="hybridMultilevel"/>
    <w:lvl w:ilvl="0">
      <w:lvlJc w:val="left"/>
      <w:lvlText w:val="(%1)"/>
      <w:numFmt w:val="lowerLetter"/>
      <w:start w:val="1"/>
    </w:lvl>
    <w:lvl w:ilvl="1">
      <w:lvlJc w:val="left"/>
      <w:lvlText w:val="(%2)"/>
      <w:numFmt w:val="lowerRoman"/>
      <w:start w:val="1"/>
    </w:lvl>
  </w:abstractNum>
  <w:abstractNum w:abstractNumId="160">
    <w:nsid w:val="64AF49B"/>
    <w:multiLevelType w:val="hybridMultilevel"/>
    <w:lvl w:ilvl="0">
      <w:lvlJc w:val="left"/>
      <w:lvlText w:val="(%1)"/>
      <w:numFmt w:val="lowerLetter"/>
      <w:start w:val="2"/>
    </w:lvl>
  </w:abstractNum>
  <w:abstractNum w:abstractNumId="161">
    <w:nsid w:val="397C46BC"/>
    <w:multiLevelType w:val="hybridMultilevel"/>
    <w:lvl w:ilvl="0">
      <w:lvlJc w:val="left"/>
      <w:lvlText w:val="(%1)"/>
      <w:numFmt w:val="lowerLetter"/>
      <w:start w:val="1"/>
    </w:lvl>
  </w:abstractNum>
  <w:abstractNum w:abstractNumId="162">
    <w:nsid w:val="7E448DE9"/>
    <w:multiLevelType w:val="hybridMultilevel"/>
    <w:lvl w:ilvl="0">
      <w:lvlJc w:val="left"/>
      <w:lvlText w:val="%1"/>
      <w:numFmt w:val="decimal"/>
      <w:start w:val="16"/>
    </w:lvl>
  </w:abstractNum>
  <w:abstractNum w:abstractNumId="163">
    <w:nsid w:val="5A9CC3E5"/>
    <w:multiLevelType w:val="hybridMultilevel"/>
    <w:lvl w:ilvl="0">
      <w:lvlJc w:val="left"/>
      <w:lvlText w:val="(%1)"/>
      <w:numFmt w:val="lowerLetter"/>
      <w:start w:val="1"/>
    </w:lvl>
  </w:abstractNum>
  <w:abstractNum w:abstractNumId="164">
    <w:nsid w:val="1AFE3625"/>
    <w:multiLevelType w:val="hybridMultilevel"/>
    <w:lvl w:ilvl="0">
      <w:lvlJc w:val="left"/>
      <w:lvlText w:val="(%1)"/>
      <w:numFmt w:val="lowerLetter"/>
      <w:start w:val="2"/>
    </w:lvl>
    <w:lvl w:ilvl="1">
      <w:lvlJc w:val="left"/>
      <w:lvlText w:val="(%2)"/>
      <w:numFmt w:val="lowerRoman"/>
      <w:start w:val="1"/>
    </w:lvl>
  </w:abstractNum>
  <w:abstractNum w:abstractNumId="165">
    <w:nsid w:val="3CA88ECF"/>
    <w:multiLevelType w:val="hybridMultilevel"/>
    <w:lvl w:ilvl="0">
      <w:lvlJc w:val="left"/>
      <w:lvlText w:val="(%1)"/>
      <w:numFmt w:val="lowerLetter"/>
      <w:start w:val="1"/>
    </w:lvl>
  </w:abstractNum>
  <w:abstractNum w:abstractNumId="166">
    <w:nsid w:val="6EBE4208"/>
    <w:multiLevelType w:val="hybridMultilevel"/>
    <w:lvl w:ilvl="0">
      <w:lvlJc w:val="left"/>
      <w:lvlText w:val="(%1)"/>
      <w:numFmt w:val="lowerLetter"/>
      <w:start w:val="1"/>
    </w:lvl>
  </w:abstractNum>
  <w:abstractNum w:abstractNumId="167">
    <w:nsid w:val="C058DF5"/>
    <w:multiLevelType w:val="hybridMultilevel"/>
    <w:lvl w:ilvl="0">
      <w:lvlJc w:val="left"/>
      <w:lvlText w:val="%1"/>
      <w:numFmt w:val="decimal"/>
      <w:start w:val="18"/>
    </w:lvl>
  </w:abstractNum>
  <w:abstractNum w:abstractNumId="168">
    <w:nsid w:val="CBE5BE9"/>
    <w:multiLevelType w:val="hybridMultilevel"/>
    <w:lvl w:ilvl="0">
      <w:lvlJc w:val="left"/>
      <w:lvlText w:val="(%1)"/>
      <w:numFmt w:val="lowerLetter"/>
      <w:start w:val="1"/>
    </w:lvl>
  </w:abstractNum>
  <w:abstractNum w:abstractNumId="169">
    <w:nsid w:val="3102BBE2"/>
    <w:multiLevelType w:val="hybridMultilevel"/>
    <w:lvl w:ilvl="0">
      <w:lvlJc w:val="left"/>
      <w:lvlText w:val="(%1)"/>
      <w:numFmt w:val="lowerLetter"/>
      <w:start w:val="1"/>
    </w:lvl>
  </w:abstractNum>
  <w:abstractNum w:abstractNumId="170">
    <w:nsid w:val="26A02C5E"/>
    <w:multiLevelType w:val="hybridMultilevel"/>
    <w:lvl w:ilvl="0">
      <w:lvlJc w:val="left"/>
      <w:lvlText w:val="(%1)"/>
      <w:numFmt w:val="lowerLetter"/>
      <w:start w:val="1"/>
    </w:lvl>
  </w:abstractNum>
  <w:abstractNum w:abstractNumId="171">
    <w:nsid w:val="541C8153"/>
    <w:multiLevelType w:val="hybridMultilevel"/>
    <w:lvl w:ilvl="0">
      <w:lvlJc w:val="left"/>
      <w:lvlText w:val="%1"/>
      <w:numFmt w:val="decimal"/>
      <w:start w:val="19"/>
    </w:lvl>
  </w:abstractNum>
  <w:abstractNum w:abstractNumId="172">
    <w:nsid w:val="67906F60"/>
    <w:multiLevelType w:val="hybridMultilevel"/>
    <w:lvl w:ilvl="0">
      <w:lvlJc w:val="left"/>
      <w:lvlText w:val="(%1)"/>
      <w:numFmt w:val="lowerLetter"/>
      <w:start w:val="1"/>
    </w:lvl>
  </w:abstractNum>
  <w:abstractNum w:abstractNumId="173">
    <w:nsid w:val="10DB9DAA"/>
    <w:multiLevelType w:val="hybridMultilevel"/>
    <w:lvl w:ilvl="0">
      <w:lvlJc w:val="left"/>
      <w:lvlText w:val="(%1)"/>
      <w:numFmt w:val="lowerLetter"/>
      <w:start w:val="1"/>
    </w:lvl>
  </w:abstractNum>
  <w:abstractNum w:abstractNumId="174">
    <w:nsid w:val="697D2D2"/>
    <w:multiLevelType w:val="hybridMultilevel"/>
    <w:lvl w:ilvl="0">
      <w:lvlJc w:val="left"/>
      <w:lvlText w:val="(%1)"/>
      <w:numFmt w:val="lowerLetter"/>
      <w:start w:val="1"/>
    </w:lvl>
  </w:abstractNum>
  <w:abstractNum w:abstractNumId="175">
    <w:nsid w:val="6D68AB2"/>
    <w:multiLevelType w:val="hybridMultilevel"/>
    <w:lvl w:ilvl="0">
      <w:lvlJc w:val="left"/>
      <w:lvlText w:val="%1"/>
      <w:numFmt w:val="decimal"/>
      <w:start w:val="20"/>
    </w:lvl>
  </w:abstractNum>
  <w:abstractNum w:abstractNumId="176">
    <w:nsid w:val="3A966CD0"/>
    <w:multiLevelType w:val="hybridMultilevel"/>
    <w:lvl w:ilvl="0">
      <w:lvlJc w:val="left"/>
      <w:lvlText w:val="%1"/>
      <w:numFmt w:val="decimal"/>
      <w:start w:val="21"/>
    </w:lvl>
    <w:lvl w:ilvl="1">
      <w:lvlJc w:val="left"/>
      <w:lvlText w:val="(%2)"/>
      <w:numFmt w:val="lowerLetter"/>
      <w:start w:val="1"/>
    </w:lvl>
  </w:abstractNum>
  <w:abstractNum w:abstractNumId="177">
    <w:nsid w:val="63F37E85"/>
    <w:multiLevelType w:val="hybridMultilevel"/>
    <w:lvl w:ilvl="0">
      <w:lvlJc w:val="left"/>
      <w:lvlText w:val="(%1)"/>
      <w:numFmt w:val="lowerLetter"/>
      <w:start w:val="1"/>
    </w:lvl>
  </w:abstractNum>
  <w:abstractNum w:abstractNumId="178">
    <w:nsid w:val="5895F5FA"/>
    <w:multiLevelType w:val="hybridMultilevel"/>
    <w:lvl w:ilvl="0">
      <w:lvlJc w:val="left"/>
      <w:lvlText w:val="(%1)"/>
      <w:numFmt w:val="lowerLetter"/>
      <w:start w:val="1"/>
    </w:lvl>
  </w:abstractNum>
  <w:abstractNum w:abstractNumId="179">
    <w:nsid w:val="38A5D054"/>
    <w:multiLevelType w:val="hybridMultilevel"/>
    <w:lvl w:ilvl="0">
      <w:lvlJc w:val="left"/>
      <w:lvlText w:val="(%1)"/>
      <w:numFmt w:val="lowerLetter"/>
      <w:start w:val="1"/>
    </w:lvl>
    <w:lvl w:ilvl="1">
      <w:lvlJc w:val="left"/>
      <w:lvlText w:val="(%2)"/>
      <w:numFmt w:val="lowerRoman"/>
      <w:start w:val="1"/>
    </w:lvl>
  </w:abstractNum>
  <w:abstractNum w:abstractNumId="180">
    <w:nsid w:val="F3F09D8"/>
    <w:multiLevelType w:val="hybridMultilevel"/>
    <w:lvl w:ilvl="0">
      <w:lvlJc w:val="left"/>
      <w:lvlText w:val="(%1)"/>
      <w:numFmt w:val="lowerLetter"/>
      <w:start w:val="2"/>
    </w:lvl>
    <w:lvl w:ilvl="1">
      <w:lvlJc w:val="left"/>
      <w:lvlText w:val="(%2)"/>
      <w:numFmt w:val="lowerRoman"/>
      <w:start w:val="1"/>
    </w:lvl>
  </w:abstractNum>
  <w:abstractNum w:abstractNumId="181">
    <w:nsid w:val="4B793735"/>
    <w:multiLevelType w:val="hybridMultilevel"/>
    <w:lvl w:ilvl="0">
      <w:lvlJc w:val="left"/>
      <w:lvlText w:val="(%1)"/>
      <w:numFmt w:val="lowerLetter"/>
      <w:start w:val="1"/>
    </w:lvl>
  </w:abstractNum>
  <w:abstractNum w:abstractNumId="182">
    <w:nsid w:val="4A10B4E8"/>
    <w:multiLevelType w:val="hybridMultilevel"/>
    <w:lvl w:ilvl="0">
      <w:lvlJc w:val="left"/>
      <w:lvlText w:val="(%1)"/>
      <w:numFmt w:val="lowerLetter"/>
      <w:start w:val="1"/>
    </w:lvl>
  </w:abstractNum>
  <w:abstractNum w:abstractNumId="183">
    <w:nsid w:val="43D3BCD4"/>
    <w:multiLevelType w:val="hybridMultilevel"/>
    <w:lvl w:ilvl="0">
      <w:lvlJc w:val="left"/>
      <w:lvlText w:val="%1"/>
      <w:numFmt w:val="decimal"/>
      <w:start w:val="22"/>
    </w:lvl>
  </w:abstractNum>
  <w:abstractNum w:abstractNumId="184">
    <w:nsid w:val="4C2A7166"/>
    <w:multiLevelType w:val="hybridMultilevel"/>
    <w:lvl w:ilvl="0">
      <w:lvlJc w:val="left"/>
      <w:lvlText w:val="(%1)"/>
      <w:numFmt w:val="lowerLetter"/>
      <w:start w:val="1"/>
    </w:lvl>
    <w:lvl w:ilvl="1">
      <w:lvlJc w:val="left"/>
      <w:lvlText w:val="(%2)"/>
      <w:numFmt w:val="lowerRoman"/>
      <w:start w:val="1"/>
    </w:lvl>
  </w:abstractNum>
  <w:abstractNum w:abstractNumId="185">
    <w:nsid w:val="2E534A82"/>
    <w:multiLevelType w:val="hybridMultilevel"/>
    <w:lvl w:ilvl="0">
      <w:lvlJc w:val="left"/>
      <w:lvlText w:val="(%1)"/>
      <w:numFmt w:val="lowerLetter"/>
      <w:start w:val="1"/>
    </w:lvl>
  </w:abstractNum>
  <w:abstractNum w:abstractNumId="186">
    <w:nsid w:val="26F2D364"/>
    <w:multiLevelType w:val="hybridMultilevel"/>
    <w:lvl w:ilvl="0">
      <w:lvlJc w:val="left"/>
      <w:lvlText w:val="(%1)"/>
      <w:numFmt w:val="lowerLetter"/>
      <w:start w:val="1"/>
    </w:lvl>
  </w:abstractNum>
  <w:abstractNum w:abstractNumId="187">
    <w:nsid w:val="71C1AF98"/>
    <w:multiLevelType w:val="hybridMultilevel"/>
    <w:lvl w:ilvl="0">
      <w:lvlJc w:val="left"/>
      <w:lvlText w:val="(%1)"/>
      <w:numFmt w:val="lowerLetter"/>
      <w:start w:val="1"/>
    </w:lvl>
  </w:abstractNum>
  <w:abstractNum w:abstractNumId="188">
    <w:nsid w:val="3D00B9D9"/>
    <w:multiLevelType w:val="hybridMultilevel"/>
    <w:lvl w:ilvl="0">
      <w:lvlJc w:val="left"/>
      <w:lvlText w:val="(%1)"/>
      <w:numFmt w:val="lowerLetter"/>
      <w:start w:val="1"/>
    </w:lvl>
  </w:abstractNum>
  <w:abstractNum w:abstractNumId="189">
    <w:nsid w:val="15BCABA8"/>
    <w:multiLevelType w:val="hybridMultilevel"/>
    <w:lvl w:ilvl="0">
      <w:lvlJc w:val="left"/>
      <w:lvlText w:val="(%1)"/>
      <w:numFmt w:val="lowerLetter"/>
      <w:start w:val="1"/>
    </w:lvl>
  </w:abstractNum>
  <w:abstractNum w:abstractNumId="190">
    <w:nsid w:val="4E0B9A87"/>
    <w:multiLevelType w:val="hybridMultilevel"/>
    <w:lvl w:ilvl="0">
      <w:lvlJc w:val="left"/>
      <w:lvlText w:val="(%1)"/>
      <w:numFmt w:val="lowerLetter"/>
      <w:start w:val="1"/>
    </w:lvl>
  </w:abstractNum>
  <w:abstractNum w:abstractNumId="191">
    <w:nsid w:val="434BAE7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2">
    <w:nsid w:val="4F38F265"/>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93">
    <w:nsid w:val="4C502870"/>
    <w:multiLevelType w:val="hybridMultilevel"/>
    <w:lvl w:ilvl="0">
      <w:lvlJc w:val="left"/>
      <w:lvlText w:val="%1."/>
      <w:numFmt w:val="decimal"/>
      <w:start w:val="1"/>
    </w:lvl>
    <w:lvl w:ilvl="1">
      <w:lvlJc w:val="left"/>
      <w:lvlText w:val="(%2)"/>
      <w:numFmt w:val="lowerLetter"/>
      <w:start w:val="1"/>
    </w:lvl>
  </w:abstractNum>
  <w:abstractNum w:abstractNumId="194">
    <w:nsid w:val="1DE8725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95">
    <w:nsid w:val="6A37288A"/>
    <w:multiLevelType w:val="hybridMultilevel"/>
    <w:lvl w:ilvl="0">
      <w:lvlJc w:val="left"/>
      <w:lvlText w:val="%1."/>
      <w:numFmt w:val="decimal"/>
      <w:start w:val="8"/>
    </w:lvl>
  </w:abstractNum>
  <w:abstractNum w:abstractNumId="196">
    <w:nsid w:val="8F8B73F"/>
    <w:multiLevelType w:val="hybridMultilevel"/>
    <w:lvl w:ilvl="0">
      <w:lvlJc w:val="left"/>
      <w:lvlText w:val="%1."/>
      <w:numFmt w:val="decimal"/>
      <w:start w:val="1"/>
    </w:lvl>
    <w:lvl w:ilvl="1">
      <w:lvlJc w:val="left"/>
      <w:lvlText w:val="(%2)"/>
      <w:numFmt w:val="lowerLetter"/>
      <w:start w:val="1"/>
    </w:lvl>
  </w:abstractNum>
  <w:abstractNum w:abstractNumId="197">
    <w:nsid w:val="CA6B462"/>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98">
    <w:nsid w:val="763CB68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99">
    <w:nsid w:val="15B71329"/>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00">
    <w:nsid w:val="3DA97044"/>
    <w:multiLevelType w:val="hybridMultilevel"/>
    <w:lvl w:ilvl="0">
      <w:lvlJc w:val="left"/>
      <w:lvlText w:val="(%1)"/>
      <w:numFmt w:val="lowerLetter"/>
      <w:start w:val="1"/>
    </w:lvl>
  </w:abstractNum>
  <w:abstractNum w:abstractNumId="201">
    <w:nsid w:val="1CDCE2DE"/>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202">
    <w:nsid w:val="69D3947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03">
    <w:nsid w:val="2539DFA5"/>
    <w:multiLevelType w:val="hybridMultilevel"/>
    <w:lvl w:ilvl="0">
      <w:lvlJc w:val="left"/>
      <w:lvlText w:val="(%1)"/>
      <w:numFmt w:val="lowerRoman"/>
      <w:start w:val="2"/>
    </w:lvl>
  </w:abstractNum>
  <w:abstractNum w:abstractNumId="204">
    <w:nsid w:val="2DB88089"/>
    <w:multiLevelType w:val="hybridMultilevel"/>
    <w:lvl w:ilvl="0">
      <w:lvlJc w:val="left"/>
      <w:lvlText w:val="(%1)"/>
      <w:numFmt w:val="lowerLetter"/>
      <w:start w:val="2"/>
    </w:lvl>
  </w:abstractNum>
  <w:abstractNum w:abstractNumId="205">
    <w:nsid w:val="706B674E"/>
    <w:multiLevelType w:val="hybridMultilevel"/>
    <w:lvl w:ilvl="0">
      <w:lvlJc w:val="left"/>
      <w:lvlText w:val="%1."/>
      <w:numFmt w:val="decimal"/>
      <w:start w:val="1"/>
    </w:lvl>
    <w:lvl w:ilvl="1">
      <w:lvlJc w:val="left"/>
      <w:lvlText w:val="(%2)"/>
      <w:numFmt w:val="lowerLetter"/>
      <w:start w:val="1"/>
    </w:lvl>
  </w:abstractNum>
  <w:abstractNum w:abstractNumId="206">
    <w:nsid w:val="2C106A57"/>
    <w:multiLevelType w:val="hybridMultilevel"/>
    <w:lvl w:ilvl="0">
      <w:lvlJc w:val="left"/>
      <w:lvlText w:val="%1."/>
      <w:numFmt w:val="decimal"/>
      <w:start w:val="7"/>
    </w:lvl>
    <w:lvl w:ilvl="1">
      <w:lvlJc w:val="left"/>
      <w:lvlText w:val="(%2)"/>
      <w:numFmt w:val="lowerLetter"/>
      <w:start w:val="1"/>
    </w:lvl>
  </w:abstractNum>
  <w:abstractNum w:abstractNumId="207">
    <w:nsid w:val="684EED59"/>
    <w:multiLevelType w:val="hybridMultilevel"/>
    <w:lvl w:ilvl="0">
      <w:lvlJc w:val="left"/>
      <w:lvlText w:val="%1."/>
      <w:numFmt w:val="decimal"/>
      <w:start w:val="8"/>
    </w:lvl>
    <w:lvl w:ilvl="1">
      <w:lvlJc w:val="left"/>
      <w:lvlText w:val="(%2)"/>
      <w:numFmt w:val="lowerLetter"/>
      <w:start w:val="1"/>
    </w:lvl>
  </w:abstractNum>
  <w:abstractNum w:abstractNumId="208">
    <w:nsid w:val="545EE5D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09">
    <w:nsid w:val="4A66051"/>
    <w:multiLevelType w:val="hybridMultilevel"/>
    <w:lvl w:ilvl="0">
      <w:lvlJc w:val="left"/>
      <w:lvlText w:val="%1."/>
      <w:numFmt w:val="decimal"/>
      <w:start w:val="5"/>
    </w:lvl>
    <w:lvl w:ilvl="1">
      <w:lvlJc w:val="left"/>
      <w:lvlText w:val="(%2)"/>
      <w:numFmt w:val="lowerLetter"/>
      <w:start w:val="1"/>
    </w:lvl>
  </w:abstractNum>
  <w:abstractNum w:abstractNumId="210">
    <w:nsid w:val="20F4BDAD"/>
    <w:multiLevelType w:val="hybridMultilevel"/>
    <w:lvl w:ilvl="0">
      <w:lvlJc w:val="left"/>
      <w:lvlText w:val="%1."/>
      <w:numFmt w:val="decimal"/>
      <w:start w:val="7"/>
    </w:lvl>
    <w:lvl w:ilvl="1">
      <w:lvlJc w:val="left"/>
      <w:lvlText w:val="(%2)"/>
      <w:numFmt w:val="lowerLetter"/>
      <w:start w:val="1"/>
    </w:lvl>
  </w:abstractNum>
  <w:abstractNum w:abstractNumId="211">
    <w:nsid w:val="639DEFAC"/>
    <w:multiLevelType w:val="hybridMultilevel"/>
    <w:lvl w:ilvl="0">
      <w:lvlJc w:val="left"/>
      <w:lvlText w:val="%1."/>
      <w:numFmt w:val="decimal"/>
      <w:start w:val="10"/>
    </w:lvl>
    <w:lvl w:ilvl="1">
      <w:lvlJc w:val="left"/>
      <w:lvlText w:val="(%2)"/>
      <w:numFmt w:val="lowerLetter"/>
      <w:start w:val="1"/>
    </w:lvl>
  </w:abstractNum>
  <w:abstractNum w:abstractNumId="212">
    <w:nsid w:val="501F9786"/>
    <w:multiLevelType w:val="hybridMultilevel"/>
    <w:lvl w:ilvl="0">
      <w:lvlJc w:val="left"/>
      <w:lvlText w:val="%1."/>
      <w:numFmt w:val="decimal"/>
      <w:start w:val="1"/>
    </w:lvl>
    <w:lvl w:ilvl="1">
      <w:lvlJc w:val="left"/>
      <w:lvlText w:val="(%2)"/>
      <w:numFmt w:val="lowerLetter"/>
      <w:start w:val="1"/>
    </w:lvl>
  </w:abstractNum>
  <w:abstractNum w:abstractNumId="213">
    <w:nsid w:val="6B05729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14">
    <w:nsid w:val="2771AC80"/>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15">
    <w:nsid w:val="1C4A08EC"/>
    <w:multiLevelType w:val="hybridMultilevel"/>
    <w:lvl w:ilvl="0">
      <w:lvlJc w:val="left"/>
      <w:lvlText w:val="(%1)"/>
      <w:numFmt w:val="lowerRoman"/>
      <w:start w:val="5"/>
    </w:lvl>
  </w:abstractNum>
  <w:abstractNum w:abstractNumId="216">
    <w:nsid w:val="1958BD17"/>
    <w:multiLevelType w:val="hybridMultilevel"/>
    <w:lvl w:ilvl="0">
      <w:lvlJc w:val="left"/>
      <w:lvlText w:val="(%1)"/>
      <w:numFmt w:val="lowerRoman"/>
      <w:start w:val="13"/>
    </w:lvl>
  </w:abstractNum>
  <w:abstractNum w:abstractNumId="217">
    <w:nsid w:val="4E647FE4"/>
    <w:multiLevelType w:val="hybridMultilevel"/>
    <w:lvl w:ilvl="0">
      <w:lvlJc w:val="left"/>
      <w:lvlText w:val="(%1)"/>
      <w:numFmt w:val="upperLetter"/>
      <w:start w:val="1"/>
    </w:lvl>
  </w:abstractNum>
  <w:abstractNum w:abstractNumId="218">
    <w:nsid w:val="E0BB885"/>
    <w:multiLevelType w:val="hybridMultilevel"/>
    <w:lvl w:ilvl="0">
      <w:lvlJc w:val="left"/>
      <w:lvlText w:val="(%1)"/>
      <w:numFmt w:val="lowerRoman"/>
      <w:start w:val="3"/>
    </w:lvl>
  </w:abstractNum>
  <w:abstractNum w:abstractNumId="219">
    <w:nsid w:val="565976F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jpe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jpe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jpe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jpe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jpeg"/><Relationship Id="rId405" Type="http://schemas.openxmlformats.org/officeDocument/2006/relationships/image" Target="media/image398.jpe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jpeg"/><Relationship Id="rId409" Type="http://schemas.openxmlformats.org/officeDocument/2006/relationships/image" Target="media/image402.png"/><Relationship Id="rId410" Type="http://schemas.openxmlformats.org/officeDocument/2006/relationships/image" Target="media/image403.jpeg"/><Relationship Id="rId411" Type="http://schemas.openxmlformats.org/officeDocument/2006/relationships/image" Target="media/image404.jpeg"/><Relationship Id="rId412" Type="http://schemas.openxmlformats.org/officeDocument/2006/relationships/image" Target="media/image405.png"/><Relationship Id="rId413" Type="http://schemas.openxmlformats.org/officeDocument/2006/relationships/image" Target="media/image406.jpe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jpeg"/><Relationship Id="rId430" Type="http://schemas.openxmlformats.org/officeDocument/2006/relationships/image" Target="media/image423.png"/><Relationship Id="rId431" Type="http://schemas.openxmlformats.org/officeDocument/2006/relationships/image" Target="media/image424.jpeg"/><Relationship Id="rId432" Type="http://schemas.openxmlformats.org/officeDocument/2006/relationships/image" Target="media/image425.jpeg"/><Relationship Id="rId433" Type="http://schemas.openxmlformats.org/officeDocument/2006/relationships/image" Target="media/image426.png"/><Relationship Id="rId434" Type="http://schemas.openxmlformats.org/officeDocument/2006/relationships/image" Target="media/image427.jpeg"/><Relationship Id="rId435" Type="http://schemas.openxmlformats.org/officeDocument/2006/relationships/image" Target="media/image428.jpeg"/><Relationship Id="rId436" Type="http://schemas.openxmlformats.org/officeDocument/2006/relationships/image" Target="media/image429.png"/><Relationship Id="rId437" Type="http://schemas.openxmlformats.org/officeDocument/2006/relationships/image" Target="media/image430.jpeg"/><Relationship Id="rId438" Type="http://schemas.openxmlformats.org/officeDocument/2006/relationships/image" Target="media/image431.png"/><Relationship Id="rId439" Type="http://schemas.openxmlformats.org/officeDocument/2006/relationships/image" Target="media/image432.jpe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jpeg"/><Relationship Id="rId460" Type="http://schemas.openxmlformats.org/officeDocument/2006/relationships/image" Target="media/image453.png"/><Relationship Id="rId461" Type="http://schemas.openxmlformats.org/officeDocument/2006/relationships/image" Target="media/image454.jpe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jpeg"/><Relationship Id="rId465" Type="http://schemas.openxmlformats.org/officeDocument/2006/relationships/image" Target="media/image458.jpeg"/><Relationship Id="rId466" Type="http://schemas.openxmlformats.org/officeDocument/2006/relationships/image" Target="media/image459.jpeg"/><Relationship Id="rId467" Type="http://schemas.openxmlformats.org/officeDocument/2006/relationships/image" Target="media/image460.jpeg"/><Relationship Id="rId468" Type="http://schemas.openxmlformats.org/officeDocument/2006/relationships/image" Target="media/image461.png"/><Relationship Id="rId469" Type="http://schemas.openxmlformats.org/officeDocument/2006/relationships/image" Target="media/image462.jpeg"/><Relationship Id="rId470" Type="http://schemas.openxmlformats.org/officeDocument/2006/relationships/image" Target="media/image463.png"/><Relationship Id="rId471" Type="http://schemas.openxmlformats.org/officeDocument/2006/relationships/image" Target="media/image464.jpe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jpe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jpeg"/><Relationship Id="rId490" Type="http://schemas.openxmlformats.org/officeDocument/2006/relationships/image" Target="media/image483.png"/><Relationship Id="rId491" Type="http://schemas.openxmlformats.org/officeDocument/2006/relationships/image" Target="media/image484.jpe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jpeg"/><Relationship Id="rId495" Type="http://schemas.openxmlformats.org/officeDocument/2006/relationships/image" Target="media/image488.png"/><Relationship Id="rId496" Type="http://schemas.openxmlformats.org/officeDocument/2006/relationships/image" Target="media/image489.jpeg"/><Relationship Id="rId497" Type="http://schemas.openxmlformats.org/officeDocument/2006/relationships/image" Target="media/image490.png"/><Relationship Id="rId498" Type="http://schemas.openxmlformats.org/officeDocument/2006/relationships/image" Target="media/image491.jpeg"/><Relationship Id="rId499" Type="http://schemas.openxmlformats.org/officeDocument/2006/relationships/image" Target="media/image492.png"/><Relationship Id="rId500" Type="http://schemas.openxmlformats.org/officeDocument/2006/relationships/image" Target="media/image493.jpe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jpeg"/><Relationship Id="rId505" Type="http://schemas.openxmlformats.org/officeDocument/2006/relationships/image" Target="media/image498.png"/><Relationship Id="rId506" Type="http://schemas.openxmlformats.org/officeDocument/2006/relationships/image" Target="media/image499.jpeg"/><Relationship Id="rId507" Type="http://schemas.openxmlformats.org/officeDocument/2006/relationships/image" Target="media/image500.png"/><Relationship Id="rId508" Type="http://schemas.openxmlformats.org/officeDocument/2006/relationships/image" Target="media/image501.jpe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jpe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jpeg"/><Relationship Id="rId525" Type="http://schemas.openxmlformats.org/officeDocument/2006/relationships/image" Target="media/image518.png"/><Relationship Id="rId526" Type="http://schemas.openxmlformats.org/officeDocument/2006/relationships/image" Target="media/image519.jpeg"/><Relationship Id="rId527" Type="http://schemas.openxmlformats.org/officeDocument/2006/relationships/image" Target="media/image520.png"/><Relationship Id="rId528" Type="http://schemas.openxmlformats.org/officeDocument/2006/relationships/image" Target="media/image521.jpeg"/><Relationship Id="rId529" Type="http://schemas.openxmlformats.org/officeDocument/2006/relationships/image" Target="media/image522.png"/><Relationship Id="rId530" Type="http://schemas.openxmlformats.org/officeDocument/2006/relationships/image" Target="media/image523.jpe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jpe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jpe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jpe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jpe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jpeg"/><Relationship Id="rId556" Type="http://schemas.openxmlformats.org/officeDocument/2006/relationships/image" Target="media/image549.png"/><Relationship Id="rId557" Type="http://schemas.openxmlformats.org/officeDocument/2006/relationships/image" Target="media/image550.jpe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jpeg"/><Relationship Id="rId562" Type="http://schemas.openxmlformats.org/officeDocument/2006/relationships/image" Target="media/image555.png"/><Relationship Id="rId563" Type="http://schemas.openxmlformats.org/officeDocument/2006/relationships/image" Target="media/image556.jpeg"/><Relationship Id="rId564" Type="http://schemas.openxmlformats.org/officeDocument/2006/relationships/image" Target="media/image557.png"/><Relationship Id="rId565" Type="http://schemas.openxmlformats.org/officeDocument/2006/relationships/image" Target="media/image558.jpeg"/><Relationship Id="rId566" Type="http://schemas.openxmlformats.org/officeDocument/2006/relationships/image" Target="media/image559.png"/><Relationship Id="rId567" Type="http://schemas.openxmlformats.org/officeDocument/2006/relationships/image" Target="media/image560.jpe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jpe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jpe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jpeg"/><Relationship Id="rId588" Type="http://schemas.openxmlformats.org/officeDocument/2006/relationships/image" Target="media/image581.png"/><Relationship Id="rId589" Type="http://schemas.openxmlformats.org/officeDocument/2006/relationships/image" Target="media/image582.jpeg"/><Relationship Id="rId590" Type="http://schemas.openxmlformats.org/officeDocument/2006/relationships/image" Target="media/image583.png"/><Relationship Id="rId591" Type="http://schemas.openxmlformats.org/officeDocument/2006/relationships/image" Target="media/image584.jpe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jpe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jpe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jpeg"/><Relationship Id="rId613" Type="http://schemas.openxmlformats.org/officeDocument/2006/relationships/image" Target="media/image606.png"/><Relationship Id="rId614" Type="http://schemas.openxmlformats.org/officeDocument/2006/relationships/image" Target="media/image607.jpeg"/><Relationship Id="rId615" Type="http://schemas.openxmlformats.org/officeDocument/2006/relationships/image" Target="media/image608.png"/><Relationship Id="rId616" Type="http://schemas.openxmlformats.org/officeDocument/2006/relationships/image" Target="media/image609.jpeg"/><Relationship Id="rId617" Type="http://schemas.openxmlformats.org/officeDocument/2006/relationships/image" Target="media/image610.png"/><Relationship Id="rId618" Type="http://schemas.openxmlformats.org/officeDocument/2006/relationships/image" Target="media/image611.jpe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jpeg"/><Relationship Id="rId625" Type="http://schemas.openxmlformats.org/officeDocument/2006/relationships/image" Target="media/image618.png"/><Relationship Id="rId626" Type="http://schemas.openxmlformats.org/officeDocument/2006/relationships/image" Target="media/image619.jpeg"/><Relationship Id="rId627" Type="http://schemas.openxmlformats.org/officeDocument/2006/relationships/image" Target="media/image620.png"/><Relationship Id="rId628" Type="http://schemas.openxmlformats.org/officeDocument/2006/relationships/image" Target="media/image621.jpe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jpeg"/><Relationship Id="rId632" Type="http://schemas.openxmlformats.org/officeDocument/2006/relationships/image" Target="media/image625.png"/><Relationship Id="rId633" Type="http://schemas.openxmlformats.org/officeDocument/2006/relationships/image" Target="media/image626.jpe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jpe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jpe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jpeg"/><Relationship Id="rId646" Type="http://schemas.openxmlformats.org/officeDocument/2006/relationships/image" Target="media/image639.png"/><Relationship Id="rId647" Type="http://schemas.openxmlformats.org/officeDocument/2006/relationships/image" Target="media/image640.jpe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jpeg"/><Relationship Id="rId652" Type="http://schemas.openxmlformats.org/officeDocument/2006/relationships/image" Target="media/image645.png"/><Relationship Id="rId653" Type="http://schemas.openxmlformats.org/officeDocument/2006/relationships/image" Target="media/image646.jpe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jpeg"/><Relationship Id="rId657" Type="http://schemas.openxmlformats.org/officeDocument/2006/relationships/image" Target="media/image650.png"/><Relationship Id="rId658" Type="http://schemas.openxmlformats.org/officeDocument/2006/relationships/image" Target="media/image651.jpeg"/><Relationship Id="rId659" Type="http://schemas.openxmlformats.org/officeDocument/2006/relationships/image" Target="media/image652.png"/><Relationship Id="rId660" Type="http://schemas.openxmlformats.org/officeDocument/2006/relationships/image" Target="media/image653.jpe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jpeg"/><Relationship Id="rId668" Type="http://schemas.openxmlformats.org/officeDocument/2006/relationships/image" Target="media/image661.png"/><Relationship Id="rId669" Type="http://schemas.openxmlformats.org/officeDocument/2006/relationships/image" Target="media/image662.jpeg"/><Relationship Id="rId670" Type="http://schemas.openxmlformats.org/officeDocument/2006/relationships/image" Target="media/image663.png"/><Relationship Id="rId671" Type="http://schemas.openxmlformats.org/officeDocument/2006/relationships/image" Target="media/image664.jpeg"/><Relationship Id="rId672" Type="http://schemas.openxmlformats.org/officeDocument/2006/relationships/image" Target="media/image665.png"/><Relationship Id="rId673" Type="http://schemas.openxmlformats.org/officeDocument/2006/relationships/image" Target="media/image666.jpeg"/><Relationship Id="rId674" Type="http://schemas.openxmlformats.org/officeDocument/2006/relationships/image" Target="media/image667.png"/><Relationship Id="rId675" Type="http://schemas.openxmlformats.org/officeDocument/2006/relationships/image" Target="media/image668.jpe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jpe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jpe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jpeg"/><Relationship Id="rId691" Type="http://schemas.openxmlformats.org/officeDocument/2006/relationships/image" Target="media/image684.png"/><Relationship Id="rId692" Type="http://schemas.openxmlformats.org/officeDocument/2006/relationships/image" Target="media/image685.jpeg"/><Relationship Id="rId693" Type="http://schemas.openxmlformats.org/officeDocument/2006/relationships/image" Target="media/image686.png"/><Relationship Id="rId694" Type="http://schemas.openxmlformats.org/officeDocument/2006/relationships/image" Target="media/image687.jpeg"/><Relationship Id="rId695" Type="http://schemas.openxmlformats.org/officeDocument/2006/relationships/image" Target="media/image688.png"/><Relationship Id="rId696" Type="http://schemas.openxmlformats.org/officeDocument/2006/relationships/image" Target="media/image689.jpeg"/><Relationship Id="rId697" Type="http://schemas.openxmlformats.org/officeDocument/2006/relationships/image" Target="media/image690.png"/><Relationship Id="rId698" Type="http://schemas.openxmlformats.org/officeDocument/2006/relationships/image" Target="media/image691.jpeg"/><Relationship Id="rId699" Type="http://schemas.openxmlformats.org/officeDocument/2006/relationships/image" Target="media/image692.png"/><Relationship Id="rId700" Type="http://schemas.openxmlformats.org/officeDocument/2006/relationships/image" Target="media/image693.jpeg"/><Relationship Id="rId701" Type="http://schemas.openxmlformats.org/officeDocument/2006/relationships/image" Target="media/image694.png"/><Relationship Id="rId702" Type="http://schemas.openxmlformats.org/officeDocument/2006/relationships/image" Target="media/image695.jpeg"/><Relationship Id="rId703" Type="http://schemas.openxmlformats.org/officeDocument/2006/relationships/image" Target="media/image696.png"/><Relationship Id="rId704" Type="http://schemas.openxmlformats.org/officeDocument/2006/relationships/image" Target="media/image697.jpeg"/><Relationship Id="rId705" Type="http://schemas.openxmlformats.org/officeDocument/2006/relationships/image" Target="media/image698.png"/><Relationship Id="rId706" Type="http://schemas.openxmlformats.org/officeDocument/2006/relationships/image" Target="media/image699.jpeg"/><Relationship Id="rId707" Type="http://schemas.openxmlformats.org/officeDocument/2006/relationships/image" Target="media/image700.png"/><Relationship Id="rId708" Type="http://schemas.openxmlformats.org/officeDocument/2006/relationships/image" Target="media/image701.jpeg"/><Relationship Id="rId709" Type="http://schemas.openxmlformats.org/officeDocument/2006/relationships/image" Target="media/image702.png"/><Relationship Id="rId710" Type="http://schemas.openxmlformats.org/officeDocument/2006/relationships/image" Target="media/image703.jpeg"/><Relationship Id="rId711" Type="http://schemas.openxmlformats.org/officeDocument/2006/relationships/image" Target="media/image704.png"/><Relationship Id="rId712" Type="http://schemas.openxmlformats.org/officeDocument/2006/relationships/image" Target="media/image705.jpeg"/><Relationship Id="rId713" Type="http://schemas.openxmlformats.org/officeDocument/2006/relationships/image" Target="media/image706.png"/><Relationship Id="rId714" Type="http://schemas.openxmlformats.org/officeDocument/2006/relationships/image" Target="media/image707.jpeg"/><Relationship Id="rId715" Type="http://schemas.openxmlformats.org/officeDocument/2006/relationships/image" Target="media/image708.png"/><Relationship Id="rId716" Type="http://schemas.openxmlformats.org/officeDocument/2006/relationships/image" Target="media/image709.jpeg"/><Relationship Id="rId717" Type="http://schemas.openxmlformats.org/officeDocument/2006/relationships/image" Target="media/image710.png"/><Relationship Id="rId718" Type="http://schemas.openxmlformats.org/officeDocument/2006/relationships/image" Target="media/image711.jpeg"/><Relationship Id="rId719" Type="http://schemas.openxmlformats.org/officeDocument/2006/relationships/image" Target="media/image712.png"/><Relationship Id="rId720" Type="http://schemas.openxmlformats.org/officeDocument/2006/relationships/image" Target="media/image713.jpeg"/><Relationship Id="rId721" Type="http://schemas.openxmlformats.org/officeDocument/2006/relationships/image" Target="media/image714.png"/><Relationship Id="rId722" Type="http://schemas.openxmlformats.org/officeDocument/2006/relationships/image" Target="media/image715.jpeg"/><Relationship Id="rId723" Type="http://schemas.openxmlformats.org/officeDocument/2006/relationships/image" Target="media/image716.png"/><Relationship Id="rId724" Type="http://schemas.openxmlformats.org/officeDocument/2006/relationships/image" Target="media/image717.jpeg"/><Relationship Id="rId725" Type="http://schemas.openxmlformats.org/officeDocument/2006/relationships/image" Target="media/image718.png"/><Relationship Id="rId726" Type="http://schemas.openxmlformats.org/officeDocument/2006/relationships/image" Target="media/image7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2025-10-06T16:15:38Z</dcterms:created>
  <dcterms:modified xsi:type="dcterms:W3CDTF">2025-10-06T16:15:38Z</dcterms:modified>
</cp:coreProperties>
</file>