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HorizontalLine"/>
        <w:bidi w:val="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pPr>
      <w:r>
        <w:rPr/>
      </w:r>
    </w:p>
    <w:p>
      <w:pPr>
        <w:pStyle w:val="HorizontalLine"/>
        <w:bidi w:val="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August 4, 2026</w:t>
      </w:r>
    </w:p>
    <w:p>
      <w:pPr>
        <w:pStyle w:val="TextBody"/>
        <w:bidi w:val="0"/>
        <w:spacing w:before="0" w:after="0"/>
        <w:jc w:val="left"/>
        <w:rPr/>
      </w:pPr>
      <w:r>
        <w:rPr/>
      </w:r>
    </w:p>
    <w:p>
      <w:pPr>
        <w:pStyle w:val="HorizontalLine"/>
        <w:bidi w:val="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IREN LIMITED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pPr>
      <w:r>
        <w:rPr/>
      </w:r>
    </w:p>
    <w:p>
      <w:pPr>
        <w:pStyle w:val="HorizontalLine"/>
        <w:bidi w:val="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001-41072</w:t>
      </w:r>
    </w:p>
    <w:p>
      <w:pPr>
        <w:pStyle w:val="TextBody"/>
        <w:bidi w:val="0"/>
        <w:spacing w:before="0" w:after="0"/>
        <w:jc w:val="center"/>
        <w:rPr>
          <w:rFonts w:ascii="Times New Roman" w:hAnsi="Times New Roman"/>
          <w:sz w:val="20"/>
        </w:rPr>
      </w:pPr>
      <w:r>
        <w:rPr>
          <w:rFonts w:ascii="Times New Roman" w:hAnsi="Times New Roman"/>
          <w:sz w:val="20"/>
        </w:rPr>
      </w:r>
    </w:p>
    <w:tbl>
      <w:tblPr>
        <w:tblW w:w="6648" w:type="dxa"/>
        <w:jc w:val="left"/>
        <w:tblInd w:w="0" w:type="dxa"/>
        <w:tblLayout w:type="fixed"/>
        <w:tblCellMar>
          <w:top w:w="0" w:type="dxa"/>
          <w:left w:w="0" w:type="dxa"/>
          <w:bottom w:w="0" w:type="dxa"/>
          <w:right w:w="0" w:type="dxa"/>
        </w:tblCellMar>
      </w:tblPr>
      <w:tblGrid>
        <w:gridCol w:w="3755"/>
        <w:gridCol w:w="23"/>
        <w:gridCol w:w="2870"/>
      </w:tblGrid>
      <w:tr>
        <w:trPr/>
        <w:tc>
          <w:tcPr>
            <w:tcW w:w="37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Australia</w:t>
            </w:r>
          </w:p>
        </w:tc>
        <w:tc>
          <w:tcPr>
            <w:tcW w:w="23" w:type="dxa"/>
            <w:tcBorders/>
            <w:vAlign w:val="center"/>
          </w:tcPr>
          <w:p>
            <w:pPr>
              <w:pStyle w:val="TableContents"/>
              <w:bidi w:val="0"/>
              <w:spacing w:before="0" w:after="283"/>
              <w:jc w:val="left"/>
              <w:rPr/>
            </w:pPr>
            <w:r>
              <w:rPr/>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Not Applicable</w:t>
            </w:r>
          </w:p>
        </w:tc>
      </w:tr>
      <w:tr>
        <w:trPr/>
        <w:tc>
          <w:tcPr>
            <w:tcW w:w="37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3" w:type="dxa"/>
            <w:tcBorders/>
            <w:vAlign w:val="center"/>
          </w:tcPr>
          <w:p>
            <w:pPr>
              <w:pStyle w:val="TableContents"/>
              <w:bidi w:val="0"/>
              <w:spacing w:before="0" w:after="283"/>
              <w:jc w:val="left"/>
              <w:rPr/>
            </w:pPr>
            <w:r>
              <w:rPr/>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Level 5, 55 Market Street, Sydney, NSW 2000 Australia</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 including zip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+61 2 7906 8301</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0"/>
              <w:jc w:val="left"/>
              <w:rPr>
                <w:color w:val="000000"/>
              </w:rPr>
            </w:pPr>
            <w:r>
              <w:rPr>
                <w:color w:val="000000"/>
              </w:rPr>
              <w:t>☐</w:t>
            </w:r>
          </w:p>
        </w:tc>
        <w:tc>
          <w:tcPr>
            <w:tcW w:w="8525" w:type="dxa"/>
            <w:tcBorders/>
            <w:vAlign w:val="center"/>
          </w:tcPr>
          <w:p>
            <w:pPr>
              <w:pStyle w:val="TableContents"/>
              <w:bidi w:val="0"/>
              <w:spacing w:before="0" w:after="0"/>
              <w:jc w:val="left"/>
              <w:rPr>
                <w:color w:val="000000"/>
              </w:rPr>
            </w:pPr>
            <w:r>
              <w:rPr>
                <w:color w:val="000000"/>
              </w:rPr>
              <w:t>Written communications pursuant to Rule 425 under the Securities Act (17 CFR 230.425)</w:t>
            </w:r>
          </w:p>
        </w:tc>
      </w:tr>
    </w:tbl>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left"/>
              <w:rPr>
                <w:color w:val="000000"/>
              </w:rPr>
            </w:pPr>
            <w:r>
              <w:rPr>
                <w:color w:val="000000"/>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7770" w:type="dxa"/>
        <w:jc w:val="left"/>
        <w:tblInd w:w="0" w:type="dxa"/>
        <w:tblLayout w:type="fixed"/>
        <w:tblCellMar>
          <w:top w:w="0" w:type="dxa"/>
          <w:left w:w="0" w:type="dxa"/>
          <w:bottom w:w="28" w:type="dxa"/>
          <w:right w:w="0" w:type="dxa"/>
        </w:tblCellMar>
      </w:tblPr>
      <w:tblGrid>
        <w:gridCol w:w="2375"/>
        <w:gridCol w:w="60"/>
        <w:gridCol w:w="1580"/>
        <w:gridCol w:w="60"/>
        <w:gridCol w:w="3695"/>
      </w:tblGrid>
      <w:tr>
        <w:trPr/>
        <w:tc>
          <w:tcPr>
            <w:tcW w:w="2375" w:type="dxa"/>
            <w:tcBorders>
              <w:bottom w:val="single" w:sz="12" w:space="0" w:color="000000"/>
            </w:tcBorders>
            <w:vAlign w:val="center"/>
          </w:tcPr>
          <w:p>
            <w:pPr>
              <w:pStyle w:val="TableContents"/>
              <w:bidi w:val="0"/>
              <w:spacing w:before="0" w:after="0"/>
              <w:jc w:val="center"/>
              <w:rPr>
                <w:rFonts w:ascii="Times New Roman" w:hAnsi="Times New Roman"/>
                <w:b/>
                <w:sz w:val="20"/>
                <w:bdr w:val="single" w:sz="4" w:space="1" w:color="000000"/>
              </w:rPr>
            </w:pPr>
            <w:r>
              <w:rPr>
                <w:rFonts w:ascii="Times New Roman" w:hAnsi="Times New Roman"/>
                <w:b/>
                <w:sz w:val="20"/>
                <w:bdr w:val="single" w:sz="4" w:space="1" w:color="00000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12" w:space="0" w:color="000000"/>
            </w:tcBorders>
            <w:vAlign w:val="center"/>
          </w:tcPr>
          <w:p>
            <w:pPr>
              <w:pStyle w:val="TableContents"/>
              <w:bidi w:val="0"/>
              <w:spacing w:before="0" w:after="0"/>
              <w:jc w:val="center"/>
              <w:rPr>
                <w:rFonts w:ascii="Times New Roman" w:hAnsi="Times New Roman"/>
                <w:b/>
                <w:sz w:val="20"/>
                <w:bdr w:val="single" w:sz="4" w:space="1" w:color="000000"/>
              </w:rPr>
            </w:pPr>
            <w:r>
              <w:rPr>
                <w:rFonts w:ascii="Times New Roman" w:hAnsi="Times New Roman"/>
                <w:b/>
                <w:sz w:val="20"/>
                <w:bdr w:val="single" w:sz="4" w:space="1" w:color="00000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sz w:val="20"/>
                <w:bdr w:val="single" w:sz="4" w:space="1" w:color="000000"/>
              </w:rPr>
            </w:pPr>
            <w:r>
              <w:rPr>
                <w:rFonts w:ascii="Times New Roman" w:hAnsi="Times New Roman"/>
                <w:b/>
                <w:sz w:val="20"/>
                <w:bdr w:val="single" w:sz="4" w:space="1" w:color="000000"/>
              </w:rPr>
              <w:t>Name of each exchange on which registered</w:t>
            </w:r>
          </w:p>
        </w:tc>
      </w:tr>
      <w:tr>
        <w:trPr/>
        <w:tc>
          <w:tcPr>
            <w:tcW w:w="237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Ordinary shares, no par value</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IREN</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816"/>
        <w:jc w:val="left"/>
        <w:rPr>
          <w:rFonts w:ascii="Times New Roman" w:hAnsi="Times New Roman"/>
          <w:sz w:val="20"/>
        </w:rPr>
      </w:pPr>
      <w:r>
        <w:rPr>
          <w:rFonts w:ascii="Times New Roman" w:hAnsi="Times New Roman"/>
          <w:sz w:val="20"/>
        </w:rPr>
      </w:r>
    </w:p>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ind w:left="0" w:right="0" w:firstLine="816"/>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Regulation FD Disclosure.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August 4, 2026, IREN Limited (the “Company”) issued a press release announcing the closing of its previously announced Acquisition (defined below). A copy of the press release is attached as Exhibit 99.1 hereto and incorporated by reference herein.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contained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filing.</w:t>
      </w:r>
    </w:p>
    <w:p>
      <w:pPr>
        <w:pStyle w:val="HorizontalLine"/>
        <w:bidi w:val="0"/>
        <w:jc w:val="left"/>
        <w:rPr/>
      </w:pPr>
      <w:r>
        <w:rPr/>
      </w:r>
    </w:p>
    <w:p>
      <w:pPr>
        <w:pStyle w:val="TextBody"/>
        <w:bidi w:val="0"/>
        <w:spacing w:before="0" w:after="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Events.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August 4, 2026, the Company filed with the Securities and Exchange Commission (the “SEC”) a prospectus supplement to the prospectus included in the Company’s registration statement on Form S-3 POSASR originally filed with the SEC on Form F-3 (Reg. No. 333-284369) on January 21, 2025 and as amended by post-effective amendment on Form S-3 on August 25, 2025 (as so amended, the “Registration Statement”), covering the resale from time to time by certain selling shareholders of up to an aggregate of 11,981,668 of the Company’s ordinary shares, with no par value (the “Shares”), to satisfy registration rights the Company granted pursuant to an Agreement and Plan of Merger dated as of May 4, 2026 by and among the Company, Kube Merger Sub Inc. and Mirantis, Inc., which closed on August 3, 2026 (the “Acquisition”).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 copy of the legal opinion of Allens relating to the validity of the Shares is filed herewith as Exhibit 5.1 and is incorporated herein by reference, and is filed with reference to, and is hereby incorporated by reference into, the Registration Statement.</w:t>
      </w:r>
    </w:p>
    <w:p>
      <w:pPr>
        <w:pStyle w:val="TextBody"/>
        <w:bidi w:val="0"/>
        <w:spacing w:before="0" w:after="0"/>
        <w:jc w:val="left"/>
        <w:rPr/>
      </w:pPr>
      <w:r>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pPr>
      <w:r>
        <w:rPr/>
      </w:r>
    </w:p>
    <w:tbl>
      <w:tblPr>
        <w:tblW w:w="985" w:type="dxa"/>
        <w:jc w:val="left"/>
        <w:tblInd w:w="0" w:type="dxa"/>
        <w:tblLayout w:type="fixed"/>
        <w:tblCellMar>
          <w:top w:w="0" w:type="dxa"/>
          <w:left w:w="0" w:type="dxa"/>
          <w:bottom w:w="0" w:type="dxa"/>
          <w:right w:w="0" w:type="dxa"/>
        </w:tblCellMar>
      </w:tblPr>
      <w:tblGrid>
        <w:gridCol w:w="260"/>
        <w:gridCol w:w="725"/>
      </w:tblGrid>
      <w:tr>
        <w:trPr/>
        <w:tc>
          <w:tcPr>
            <w:tcW w:w="2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7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Exhibits</w:t>
            </w:r>
          </w:p>
        </w:tc>
      </w:tr>
    </w:tbl>
    <w:p>
      <w:pPr>
        <w:pStyle w:val="TextBody"/>
        <w:bidi w:val="0"/>
        <w:spacing w:before="0" w:after="0"/>
        <w:jc w:val="left"/>
        <w:rPr/>
      </w:pPr>
      <w:r>
        <w:rPr/>
      </w:r>
    </w:p>
    <w:tbl>
      <w:tblPr>
        <w:tblW w:w="6955" w:type="dxa"/>
        <w:jc w:val="left"/>
        <w:tblInd w:w="0" w:type="dxa"/>
        <w:tblLayout w:type="fixed"/>
        <w:tblCellMar>
          <w:top w:w="0" w:type="dxa"/>
          <w:left w:w="0" w:type="dxa"/>
          <w:bottom w:w="0" w:type="dxa"/>
          <w:right w:w="0" w:type="dxa"/>
        </w:tblCellMar>
      </w:tblPr>
      <w:tblGrid>
        <w:gridCol w:w="380"/>
        <w:gridCol w:w="6575"/>
      </w:tblGrid>
      <w:tr>
        <w:trPr/>
        <w:tc>
          <w:tcPr>
            <w:tcW w:w="695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Exhibit Number</w:t>
            </w:r>
          </w:p>
        </w:tc>
      </w:tr>
      <w:tr>
        <w:trPr/>
        <w:tc>
          <w:tcPr>
            <w:tcW w:w="380" w:type="dxa"/>
            <w:tcBorders/>
            <w:vAlign w:val="center"/>
          </w:tcPr>
          <w:p>
            <w:pPr>
              <w:pStyle w:val="TableContents"/>
              <w:bidi w:val="0"/>
              <w:spacing w:before="0" w:after="283"/>
              <w:jc w:val="left"/>
              <w:rPr/>
            </w:pPr>
            <w:r>
              <w:rPr/>
            </w:r>
          </w:p>
        </w:tc>
        <w:tc>
          <w:tcPr>
            <w:tcW w:w="6575" w:type="dxa"/>
            <w:tcBorders/>
            <w:vAlign w:val="center"/>
          </w:tcPr>
          <w:p>
            <w:pPr>
              <w:pStyle w:val="TableContents"/>
              <w:bidi w:val="0"/>
              <w:spacing w:before="0" w:after="283"/>
              <w:jc w:val="left"/>
              <w:rPr/>
            </w:pPr>
            <w:r>
              <w:rPr/>
            </w:r>
          </w:p>
        </w:tc>
      </w:tr>
      <w:tr>
        <w:trPr/>
        <w:tc>
          <w:tcPr>
            <w:tcW w:w="380" w:type="dxa"/>
            <w:tcBorders/>
            <w:shd w:fill="CCEEFF" w:val="clear"/>
            <w:vAlign w:val="center"/>
          </w:tcPr>
          <w:p>
            <w:pPr>
              <w:pStyle w:val="TableContents"/>
              <w:bidi w:val="0"/>
              <w:spacing w:before="0" w:after="0"/>
              <w:jc w:val="left"/>
              <w:rPr/>
            </w:pPr>
            <w:hyperlink w:anchor="ny20079234x2_ex5-1.htm">
              <w:r>
                <w:rPr>
                  <w:rStyle w:val="InternetLink"/>
                  <w:rFonts w:ascii="Times New Roman" w:hAnsi="Times New Roman"/>
                  <w:color w:val="000000"/>
                  <w:sz w:val="20"/>
                </w:rPr>
                <w:t>5.1</w:t>
              </w:r>
            </w:hyperlink>
          </w:p>
        </w:tc>
        <w:tc>
          <w:tcPr>
            <w:tcW w:w="657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Opinion of Allens, Australian counsel of IREN Limited.</w:t>
            </w:r>
          </w:p>
        </w:tc>
      </w:tr>
      <w:tr>
        <w:trPr/>
        <w:tc>
          <w:tcPr>
            <w:tcW w:w="380" w:type="dxa"/>
            <w:tcBorders/>
            <w:vAlign w:val="center"/>
          </w:tcPr>
          <w:p>
            <w:pPr>
              <w:pStyle w:val="TableContents"/>
              <w:bidi w:val="0"/>
              <w:spacing w:before="0" w:after="0"/>
              <w:jc w:val="left"/>
              <w:rPr/>
            </w:pPr>
            <w:hyperlink w:anchor="ny20079234x2_ex5-1.htm">
              <w:r>
                <w:rPr>
                  <w:rStyle w:val="InternetLink"/>
                  <w:rFonts w:ascii="Times New Roman" w:hAnsi="Times New Roman"/>
                  <w:color w:val="000000"/>
                  <w:sz w:val="20"/>
                </w:rPr>
                <w:t>23.1</w:t>
              </w:r>
            </w:hyperlink>
          </w:p>
        </w:tc>
        <w:tc>
          <w:tcPr>
            <w:tcW w:w="65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Consent of Allens, Australian counsel of IREN Limited (included in Exhibit 5.1).</w:t>
            </w:r>
          </w:p>
        </w:tc>
      </w:tr>
      <w:tr>
        <w:trPr/>
        <w:tc>
          <w:tcPr>
            <w:tcW w:w="380" w:type="dxa"/>
            <w:tcBorders/>
            <w:shd w:fill="CCEEFF" w:val="clear"/>
            <w:vAlign w:val="center"/>
          </w:tcPr>
          <w:p>
            <w:pPr>
              <w:pStyle w:val="TableContents"/>
              <w:bidi w:val="0"/>
              <w:spacing w:before="0" w:after="0"/>
              <w:jc w:val="left"/>
              <w:rPr/>
            </w:pPr>
            <w:hyperlink w:anchor="ny20079234x2_ex99-1.htm">
              <w:r>
                <w:rPr>
                  <w:rStyle w:val="InternetLink"/>
                  <w:rFonts w:ascii="Times New Roman" w:hAnsi="Times New Roman"/>
                  <w:color w:val="000000"/>
                  <w:sz w:val="20"/>
                </w:rPr>
                <w:t>99.1</w:t>
              </w:r>
            </w:hyperlink>
          </w:p>
        </w:tc>
        <w:tc>
          <w:tcPr>
            <w:tcW w:w="6575"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dated August 4, 2026, announcing closing of the Acquisition.</w:t>
            </w:r>
          </w:p>
        </w:tc>
      </w:tr>
      <w:tr>
        <w:trPr/>
        <w:tc>
          <w:tcPr>
            <w:tcW w:w="3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5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700" w:type="dxa"/>
        <w:jc w:val="left"/>
        <w:tblInd w:w="0" w:type="dxa"/>
        <w:tblLayout w:type="fixed"/>
        <w:tblCellMar>
          <w:top w:w="0" w:type="dxa"/>
          <w:left w:w="0" w:type="dxa"/>
          <w:bottom w:w="0" w:type="dxa"/>
          <w:right w:w="0" w:type="dxa"/>
        </w:tblCellMar>
      </w:tblPr>
      <w:tblGrid>
        <w:gridCol w:w="2075"/>
        <w:gridCol w:w="320"/>
        <w:gridCol w:w="3305"/>
      </w:tblGrid>
      <w:tr>
        <w:trPr/>
        <w:tc>
          <w:tcPr>
            <w:tcW w:w="207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IREN LIMITED</w:t>
            </w:r>
          </w:p>
        </w:tc>
      </w:tr>
      <w:tr>
        <w:trPr/>
        <w:tc>
          <w:tcPr>
            <w:tcW w:w="20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330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William Roberts</w:t>
            </w:r>
          </w:p>
        </w:tc>
      </w:tr>
      <w:tr>
        <w:trPr/>
        <w:tc>
          <w:tcPr>
            <w:tcW w:w="207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William Roberts</w:t>
            </w:r>
          </w:p>
        </w:tc>
      </w:tr>
      <w:tr>
        <w:trPr/>
        <w:tc>
          <w:tcPr>
            <w:tcW w:w="2075"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33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Co-Chief Executive Officer and Director</w:t>
            </w:r>
          </w:p>
        </w:tc>
      </w:tr>
      <w:tr>
        <w:trPr/>
        <w:tc>
          <w:tcPr>
            <w:tcW w:w="2075" w:type="dxa"/>
            <w:tcBorders/>
            <w:vAlign w:val="center"/>
          </w:tcPr>
          <w:p>
            <w:pPr>
              <w:pStyle w:val="TableContents"/>
              <w:bidi w:val="0"/>
              <w:spacing w:before="0" w:after="283"/>
              <w:jc w:val="left"/>
              <w:rPr/>
            </w:pPr>
            <w:r>
              <w:rPr/>
              <w:t>Date: August 4, 2026</w:t>
            </w:r>
          </w:p>
        </w:tc>
        <w:tc>
          <w:tcPr>
            <w:tcW w:w="320" w:type="dxa"/>
            <w:tcBorders/>
            <w:vAlign w:val="center"/>
          </w:tcPr>
          <w:p>
            <w:pPr>
              <w:pStyle w:val="TableContents"/>
              <w:bidi w:val="0"/>
              <w:spacing w:before="0" w:after="283"/>
              <w:jc w:val="left"/>
              <w:rPr/>
            </w:pPr>
            <w:r>
              <w:rPr/>
            </w:r>
          </w:p>
        </w:tc>
        <w:tc>
          <w:tcPr>
            <w:tcW w:w="3305" w:type="dxa"/>
            <w:tcBorders/>
            <w:vAlign w:val="center"/>
          </w:tcPr>
          <w:p>
            <w:pPr>
              <w:pStyle w:val="TableContents"/>
              <w:bidi w:val="0"/>
              <w:spacing w:before="0" w:after="283"/>
              <w:jc w:val="left"/>
              <w:rPr/>
            </w:pPr>
            <w:r>
              <w:rPr/>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0" w:name="ny20079234x2_ex5-1.htm"/>
      <w:bookmarkStart w:id="1" w:name="ksny20079234x2_ex51"/>
      <w:bookmarkStart w:id="2" w:name="ny20079234x2_ex5-1.htm"/>
      <w:bookmarkStart w:id="3" w:name="ksny20079234x2_ex51"/>
      <w:bookmarkEnd w:id="2"/>
      <w:bookmarkEnd w:id="3"/>
      <w:r>
        <w:br w:type="page"/>
      </w:r>
    </w:p>
    <w:p>
      <w:pPr>
        <w:pStyle w:val="TextBody"/>
        <w:bidi w:val="0"/>
        <w:spacing w:before="0" w:after="0"/>
        <w:jc w:val="right"/>
        <w:rPr>
          <w:rFonts w:ascii="Arial" w:hAnsi="Arial"/>
          <w:b/>
          <w:color w:val="000000"/>
          <w:sz w:val="20"/>
        </w:rPr>
      </w:pPr>
      <w:r>
        <w:rPr>
          <w:rFonts w:ascii="Arial" w:hAnsi="Arial"/>
          <w:b/>
          <w:color w:val="000000"/>
          <w:sz w:val="20"/>
        </w:rPr>
        <w:t>Exhibit 5.1</w:t>
      </w:r>
    </w:p>
    <w:p>
      <w:pPr>
        <w:pStyle w:val="TextBody"/>
        <w:bidi w:val="0"/>
        <w:spacing w:before="0" w:after="0"/>
        <w:jc w:val="right"/>
        <w:rPr/>
      </w:pPr>
      <w:r>
        <w:rPr/>
      </w:r>
    </w:p>
    <w:p>
      <w:pPr>
        <w:pStyle w:val="Normal"/>
        <w:bidi w:val="0"/>
        <w:spacing w:before="0" w:after="0"/>
        <w:jc w:val="left"/>
        <w:rPr>
          <w:sz w:val="4"/>
          <w:szCs w:val="4"/>
        </w:rPr>
      </w:pPr>
      <w:r>
        <w:rPr>
          <w:sz w:val="4"/>
          <w:szCs w:val="4"/>
        </w:rPr>
      </w:r>
      <w:bookmarkStart w:id="4" w:name="z832ceb7249424fa7ad71a641429245f6"/>
      <w:bookmarkStart w:id="5" w:name="z832ceb7249424fa7ad71a641429245f6"/>
      <w:bookmarkEnd w:id="5"/>
    </w:p>
    <w:tbl>
      <w:tblPr>
        <w:tblW w:w="6220" w:type="dxa"/>
        <w:jc w:val="left"/>
        <w:tblInd w:w="0" w:type="dxa"/>
        <w:tblLayout w:type="fixed"/>
        <w:tblCellMar>
          <w:top w:w="0" w:type="dxa"/>
          <w:left w:w="0" w:type="dxa"/>
          <w:bottom w:w="0" w:type="dxa"/>
          <w:right w:w="0" w:type="dxa"/>
        </w:tblCellMar>
      </w:tblPr>
      <w:tblGrid>
        <w:gridCol w:w="2075"/>
        <w:gridCol w:w="2075"/>
        <w:gridCol w:w="2070"/>
      </w:tblGrid>
      <w:tr>
        <w:trPr/>
        <w:tc>
          <w:tcPr>
            <w:tcW w:w="2075" w:type="dxa"/>
            <w:tcBorders/>
            <w:vAlign w:val="center"/>
          </w:tcPr>
          <w:p>
            <w:pPr>
              <w:pStyle w:val="TableContents"/>
              <w:bidi w:val="0"/>
              <w:spacing w:before="0" w:after="0"/>
              <w:jc w:val="left"/>
              <w:rPr>
                <w:rFonts w:ascii="Arial" w:hAnsi="Arial"/>
                <w:b/>
                <w:color w:val="0073BF"/>
                <w:sz w:val="16"/>
              </w:rPr>
            </w:pPr>
            <w:r>
              <w:rPr>
                <w:rFonts w:ascii="Arial" w:hAnsi="Arial"/>
                <w:b/>
                <w:color w:val="0073BF"/>
                <w:sz w:val="16"/>
              </w:rPr>
              <w:t>Allens</w:t>
            </w:r>
          </w:p>
          <w:p>
            <w:pPr>
              <w:pStyle w:val="TableContents"/>
              <w:bidi w:val="0"/>
              <w:spacing w:before="0" w:after="0"/>
              <w:jc w:val="left"/>
              <w:rPr>
                <w:rFonts w:ascii="Arial" w:hAnsi="Arial"/>
                <w:sz w:val="16"/>
              </w:rPr>
            </w:pPr>
            <w:r>
              <w:rPr>
                <w:rFonts w:ascii="Arial" w:hAnsi="Arial"/>
                <w:sz w:val="16"/>
              </w:rPr>
              <w:t>33 Alfred Street</w:t>
            </w:r>
          </w:p>
          <w:p>
            <w:pPr>
              <w:pStyle w:val="TableContents"/>
              <w:bidi w:val="0"/>
              <w:spacing w:before="0" w:after="0"/>
              <w:jc w:val="left"/>
              <w:rPr>
                <w:rFonts w:ascii="Arial" w:hAnsi="Arial"/>
                <w:sz w:val="16"/>
              </w:rPr>
            </w:pPr>
            <w:r>
              <w:rPr>
                <w:rFonts w:ascii="Arial" w:hAnsi="Arial"/>
                <w:sz w:val="16"/>
              </w:rPr>
              <w:t>Sydney NSW 2000 Australia</w:t>
            </w:r>
          </w:p>
        </w:tc>
        <w:tc>
          <w:tcPr>
            <w:tcW w:w="2075" w:type="dxa"/>
            <w:tcBorders/>
            <w:vAlign w:val="center"/>
          </w:tcPr>
          <w:p>
            <w:pPr>
              <w:pStyle w:val="TableContents"/>
              <w:bidi w:val="0"/>
              <w:spacing w:before="0" w:after="0"/>
              <w:jc w:val="left"/>
              <w:rPr>
                <w:rFonts w:ascii="Arial" w:hAnsi="Arial"/>
                <w:sz w:val="16"/>
              </w:rPr>
            </w:pPr>
            <w:r>
              <w:rPr>
                <w:rFonts w:ascii="Arial" w:hAnsi="Arial"/>
                <w:sz w:val="16"/>
              </w:rPr>
              <w:t>GPO Box 50</w:t>
            </w:r>
          </w:p>
          <w:p>
            <w:pPr>
              <w:pStyle w:val="TableContents"/>
              <w:bidi w:val="0"/>
              <w:spacing w:before="0" w:after="0"/>
              <w:jc w:val="left"/>
              <w:rPr>
                <w:rFonts w:ascii="Arial" w:hAnsi="Arial"/>
                <w:sz w:val="16"/>
              </w:rPr>
            </w:pPr>
            <w:r>
              <w:rPr>
                <w:rFonts w:ascii="Arial" w:hAnsi="Arial"/>
                <w:sz w:val="16"/>
              </w:rPr>
              <w:t>Sydney NSW 2001 Australia</w:t>
            </w:r>
          </w:p>
        </w:tc>
        <w:tc>
          <w:tcPr>
            <w:tcW w:w="2070" w:type="dxa"/>
            <w:tcBorders/>
            <w:vAlign w:val="center"/>
          </w:tcPr>
          <w:p>
            <w:pPr>
              <w:pStyle w:val="TableContents"/>
              <w:bidi w:val="0"/>
              <w:spacing w:before="0" w:after="283"/>
              <w:jc w:val="right"/>
              <w:rPr/>
            </w:pPr>
            <w:r>
              <w:rPr/>
              <w:drawing>
                <wp:inline distT="0" distB="0" distL="0" distR="0">
                  <wp:extent cx="13144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4450" cy="342900"/>
                          </a:xfrm>
                          <a:prstGeom prst="rect">
                            <a:avLst/>
                          </a:prstGeom>
                        </pic:spPr>
                      </pic:pic>
                    </a:graphicData>
                  </a:graphic>
                </wp:inline>
              </w:drawing>
            </w:r>
          </w:p>
        </w:tc>
      </w:tr>
      <w:tr>
        <w:trPr/>
        <w:tc>
          <w:tcPr>
            <w:tcW w:w="207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c>
          <w:tcPr>
            <w:tcW w:w="207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Arial" w:hAnsi="Arial"/>
                <w:sz w:val="16"/>
              </w:rPr>
            </w:pPr>
            <w:r>
              <w:rPr>
                <w:rFonts w:ascii="Arial" w:hAnsi="Arial"/>
                <w:sz w:val="16"/>
              </w:rPr>
              <w:t>T +61 2 9230 4000</w:t>
            </w:r>
          </w:p>
          <w:p>
            <w:pPr>
              <w:pStyle w:val="TableContents"/>
              <w:bidi w:val="0"/>
              <w:spacing w:before="0" w:after="0"/>
              <w:jc w:val="left"/>
              <w:rPr>
                <w:rFonts w:ascii="Arial" w:hAnsi="Arial"/>
                <w:sz w:val="16"/>
              </w:rPr>
            </w:pPr>
            <w:r>
              <w:rPr>
                <w:rFonts w:ascii="Arial" w:hAnsi="Arial"/>
                <w:sz w:val="16"/>
              </w:rPr>
              <w:t>F +61 2 9230 5333</w:t>
            </w:r>
          </w:p>
          <w:p>
            <w:pPr>
              <w:pStyle w:val="TableContents"/>
              <w:bidi w:val="0"/>
              <w:spacing w:before="0" w:after="0"/>
              <w:jc w:val="left"/>
              <w:rPr>
                <w:rFonts w:ascii="Arial" w:hAnsi="Arial"/>
                <w:sz w:val="16"/>
              </w:rPr>
            </w:pPr>
            <w:r>
              <w:rPr>
                <w:rFonts w:ascii="Arial" w:hAnsi="Arial"/>
                <w:sz w:val="16"/>
              </w:rPr>
              <w:t>allens.com.au</w:t>
            </w:r>
          </w:p>
        </w:tc>
        <w:tc>
          <w:tcPr>
            <w:tcW w:w="2075" w:type="dxa"/>
            <w:tcBorders/>
            <w:vAlign w:val="center"/>
          </w:tcPr>
          <w:p>
            <w:pPr>
              <w:pStyle w:val="TableContents"/>
              <w:bidi w:val="0"/>
              <w:spacing w:before="0" w:after="0"/>
              <w:jc w:val="left"/>
              <w:rPr>
                <w:rFonts w:ascii="Arial" w:hAnsi="Arial"/>
                <w:sz w:val="16"/>
              </w:rPr>
            </w:pPr>
            <w:r>
              <w:rPr>
                <w:rFonts w:ascii="Arial" w:hAnsi="Arial"/>
                <w:sz w:val="16"/>
              </w:rPr>
              <w:t>ABN 47 702 595 758</w:t>
            </w:r>
          </w:p>
          <w:p>
            <w:pPr>
              <w:pStyle w:val="TableContents"/>
              <w:bidi w:val="0"/>
              <w:spacing w:before="0" w:after="0"/>
              <w:jc w:val="left"/>
              <w:rPr/>
            </w:pPr>
            <w:r>
              <w:rPr/>
              <w:t> </w:t>
            </w:r>
          </w:p>
        </w:tc>
        <w:tc>
          <w:tcPr>
            <w:tcW w:w="2070" w:type="dxa"/>
            <w:tcBorders/>
            <w:vAlign w:val="center"/>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left"/>
        <w:rPr>
          <w:rFonts w:ascii="Arial" w:hAnsi="Arial"/>
          <w:color w:val="000000"/>
          <w:sz w:val="20"/>
        </w:rPr>
      </w:pPr>
      <w:r>
        <w:rPr>
          <w:rFonts w:ascii="Arial" w:hAnsi="Arial"/>
          <w:color w:val="000000"/>
          <w:sz w:val="20"/>
        </w:rPr>
        <w:t>4 August 2026</w:t>
      </w:r>
    </w:p>
    <w:p>
      <w:pPr>
        <w:pStyle w:val="TextBody"/>
        <w:bidi w:val="0"/>
        <w:spacing w:before="0" w:after="0"/>
        <w:jc w:val="left"/>
        <w:rPr/>
      </w:pPr>
      <w:r>
        <w:rPr/>
      </w:r>
    </w:p>
    <w:p>
      <w:pPr>
        <w:pStyle w:val="TextBody"/>
        <w:bidi w:val="0"/>
        <w:spacing w:before="0" w:after="0"/>
        <w:jc w:val="left"/>
        <w:rPr>
          <w:rFonts w:ascii="Arial" w:hAnsi="Arial"/>
          <w:color w:val="000000"/>
          <w:sz w:val="20"/>
        </w:rPr>
      </w:pPr>
      <w:r>
        <w:rPr>
          <w:rFonts w:ascii="Arial" w:hAnsi="Arial"/>
          <w:color w:val="000000"/>
          <w:sz w:val="20"/>
        </w:rPr>
        <w:t>IREN Limited</w:t>
      </w:r>
    </w:p>
    <w:p>
      <w:pPr>
        <w:pStyle w:val="TextBody"/>
        <w:bidi w:val="0"/>
        <w:spacing w:before="0" w:after="0"/>
        <w:jc w:val="left"/>
        <w:rPr>
          <w:rFonts w:ascii="Arial" w:hAnsi="Arial"/>
          <w:color w:val="000000"/>
          <w:sz w:val="20"/>
        </w:rPr>
      </w:pPr>
      <w:r>
        <w:rPr>
          <w:rFonts w:ascii="Arial" w:hAnsi="Arial"/>
          <w:color w:val="000000"/>
          <w:sz w:val="20"/>
        </w:rPr>
        <w:t>Level 5, 55 Market Street</w:t>
      </w:r>
    </w:p>
    <w:p>
      <w:pPr>
        <w:pStyle w:val="TextBody"/>
        <w:bidi w:val="0"/>
        <w:spacing w:before="0" w:after="0"/>
        <w:jc w:val="left"/>
        <w:rPr>
          <w:rFonts w:ascii="Arial" w:hAnsi="Arial"/>
          <w:color w:val="000000"/>
          <w:sz w:val="20"/>
        </w:rPr>
      </w:pPr>
      <w:r>
        <w:rPr>
          <w:rFonts w:ascii="Arial" w:hAnsi="Arial"/>
          <w:color w:val="000000"/>
          <w:sz w:val="20"/>
        </w:rPr>
        <w:t>Sydney, NSW 2000</w:t>
      </w:r>
    </w:p>
    <w:p>
      <w:pPr>
        <w:pStyle w:val="TextBody"/>
        <w:bidi w:val="0"/>
        <w:spacing w:before="0" w:after="0"/>
        <w:jc w:val="left"/>
        <w:rPr/>
      </w:pPr>
      <w:r>
        <w:rPr/>
      </w:r>
    </w:p>
    <w:p>
      <w:pPr>
        <w:pStyle w:val="TextBody"/>
        <w:bidi w:val="0"/>
        <w:spacing w:before="0" w:after="0"/>
        <w:jc w:val="left"/>
        <w:rPr>
          <w:rFonts w:ascii="Arial" w:hAnsi="Arial"/>
          <w:color w:val="000000"/>
          <w:sz w:val="20"/>
        </w:rPr>
      </w:pPr>
      <w:r>
        <w:rPr>
          <w:rFonts w:ascii="Arial" w:hAnsi="Arial"/>
          <w:color w:val="000000"/>
          <w:sz w:val="20"/>
        </w:rPr>
        <w:t>Dear Ladies and Gentlemen</w:t>
      </w:r>
    </w:p>
    <w:p>
      <w:pPr>
        <w:pStyle w:val="TextBody"/>
        <w:bidi w:val="0"/>
        <w:spacing w:before="0" w:after="0"/>
        <w:jc w:val="left"/>
        <w:rPr>
          <w:color w:val="000000"/>
        </w:rPr>
      </w:pPr>
      <w:r>
        <w:rPr>
          <w:color w:val="000000"/>
        </w:rPr>
        <w:t> </w:t>
      </w:r>
    </w:p>
    <w:p>
      <w:pPr>
        <w:pStyle w:val="TextBody"/>
        <w:bidi w:val="0"/>
        <w:spacing w:before="0" w:after="0"/>
        <w:jc w:val="left"/>
        <w:rPr>
          <w:rFonts w:ascii="Arial" w:hAnsi="Arial"/>
          <w:b/>
          <w:color w:val="0073BF"/>
          <w:sz w:val="24"/>
        </w:rPr>
      </w:pPr>
      <w:r>
        <w:rPr>
          <w:rFonts w:ascii="Arial" w:hAnsi="Arial"/>
          <w:b/>
          <w:color w:val="0073BF"/>
          <w:sz w:val="24"/>
        </w:rPr>
        <w:t>IREN Limited (ACN 629 842 799) (the Company)</w:t>
      </w:r>
    </w:p>
    <w:p>
      <w:pPr>
        <w:pStyle w:val="TextBody"/>
        <w:bidi w:val="0"/>
        <w:spacing w:before="0" w:after="0"/>
        <w:jc w:val="left"/>
        <w:rPr>
          <w:color w:val="000000"/>
        </w:rPr>
      </w:pPr>
      <w:r>
        <w:rPr>
          <w:color w:val="000000"/>
        </w:rPr>
        <w:t> </w:t>
      </w:r>
    </w:p>
    <w:p>
      <w:pPr>
        <w:pStyle w:val="TextBody"/>
        <w:bidi w:val="0"/>
        <w:spacing w:before="0" w:after="0"/>
        <w:jc w:val="left"/>
        <w:rPr>
          <w:rFonts w:ascii="Arial" w:hAnsi="Arial"/>
          <w:color w:val="000000"/>
          <w:sz w:val="20"/>
        </w:rPr>
      </w:pPr>
      <w:r>
        <w:rPr>
          <w:rFonts w:ascii="Arial" w:hAnsi="Arial"/>
          <w:color w:val="000000"/>
          <w:sz w:val="20"/>
        </w:rPr>
        <w:t xml:space="preserve">We have acted as Australian legal advisers to the Company in connection with the preparation and filing by the Company on the date hereof with the U.S. Securities and Exchange Commission (the </w:t>
      </w:r>
      <w:r>
        <w:rPr>
          <w:rFonts w:ascii="Arial" w:hAnsi="Arial"/>
          <w:b/>
          <w:i/>
          <w:color w:val="000000"/>
          <w:sz w:val="20"/>
        </w:rPr>
        <w:t>Commission</w:t>
      </w:r>
      <w:r>
        <w:rPr>
          <w:rFonts w:ascii="Arial" w:hAnsi="Arial"/>
          <w:color w:val="000000"/>
          <w:sz w:val="20"/>
        </w:rPr>
        <w:t>) of:</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6d56d2c5b2f14e9a822ddf5d2e93014c"/>
      <w:bookmarkStart w:id="7" w:name="z6d56d2c5b2f14e9a822ddf5d2e93014c"/>
      <w:bookmarkEnd w:id="7"/>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pPr>
            <w:r>
              <w:rPr/>
            </w:r>
          </w:p>
        </w:tc>
        <w:tc>
          <w:tcPr>
            <w:tcW w:w="199" w:type="dxa"/>
            <w:tcBorders/>
            <w:vAlign w:val="center"/>
          </w:tcPr>
          <w:p>
            <w:pPr>
              <w:pStyle w:val="TableContents"/>
              <w:bidi w:val="0"/>
              <w:spacing w:before="0" w:after="283"/>
              <w:jc w:val="left"/>
              <w:rPr>
                <w:rFonts w:ascii="Arial" w:hAnsi="Arial"/>
                <w:sz w:val="20"/>
              </w:rPr>
            </w:pPr>
            <w:r>
              <w:rPr>
                <w:rFonts w:ascii="Arial" w:hAnsi="Arial"/>
                <w:sz w:val="20"/>
              </w:rPr>
              <w:t>(a)</w:t>
            </w:r>
          </w:p>
        </w:tc>
        <w:tc>
          <w:tcPr>
            <w:tcW w:w="9968" w:type="dxa"/>
            <w:tcBorders/>
            <w:vAlign w:val="center"/>
          </w:tcPr>
          <w:p>
            <w:pPr>
              <w:pStyle w:val="TableContents"/>
              <w:bidi w:val="0"/>
              <w:spacing w:before="0" w:after="0"/>
              <w:jc w:val="left"/>
              <w:rPr>
                <w:rFonts w:ascii="Arial" w:hAnsi="Arial"/>
                <w:sz w:val="20"/>
              </w:rPr>
            </w:pPr>
            <w:r>
              <w:rPr>
                <w:rFonts w:ascii="Arial" w:hAnsi="Arial"/>
                <w:sz w:val="20"/>
              </w:rPr>
              <w:t xml:space="preserve">a registration statement on Form F-3 (File No. 333-284369) initially filed on January 21, 2025 and Post-Effective Amendment No. 1 on Form S-3 thereto filed with the Commission on August 28, 2025 (as so amended, the </w:t>
            </w:r>
            <w:r>
              <w:rPr>
                <w:rFonts w:ascii="Arial" w:hAnsi="Arial"/>
                <w:b/>
                <w:i/>
                <w:sz w:val="20"/>
              </w:rPr>
              <w:t>Registration Statement</w:t>
            </w:r>
            <w:r>
              <w:rPr>
                <w:rFonts w:ascii="Arial" w:hAnsi="Arial"/>
                <w:sz w:val="20"/>
              </w:rPr>
              <w:t>) under the Securities Act 1993 (U.S.), as amended from time to time (</w:t>
            </w:r>
            <w:r>
              <w:rPr>
                <w:rFonts w:ascii="Arial" w:hAnsi="Arial"/>
                <w:b/>
                <w:i/>
                <w:sz w:val="20"/>
              </w:rPr>
              <w:t>Securities Act</w:t>
            </w:r>
            <w:r>
              <w:rPr>
                <w:rFonts w:ascii="Arial" w:hAnsi="Arial"/>
                <w:sz w:val="20"/>
              </w:rPr>
              <w:t>), including the prospectus contained therein (</w:t>
            </w:r>
            <w:r>
              <w:rPr>
                <w:rFonts w:ascii="Arial" w:hAnsi="Arial"/>
                <w:b/>
                <w:i/>
                <w:sz w:val="20"/>
              </w:rPr>
              <w:t>Base Prospectus</w:t>
            </w:r>
            <w:r>
              <w:rPr>
                <w:rFonts w:ascii="Arial" w:hAnsi="Arial"/>
                <w:sz w:val="20"/>
              </w:rPr>
              <w:t>), registering certain securities, including: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a789e941b33e43bfb8955dbbd1481c53"/>
      <w:bookmarkStart w:id="9" w:name="za789e941b33e43bfb8955dbbd1481c53"/>
      <w:bookmarkEnd w:id="9"/>
    </w:p>
    <w:tbl>
      <w:tblPr>
        <w:tblW w:w="4683" w:type="dxa"/>
        <w:jc w:val="left"/>
        <w:tblInd w:w="0" w:type="dxa"/>
        <w:tblLayout w:type="fixed"/>
        <w:tblCellMar>
          <w:top w:w="0" w:type="dxa"/>
          <w:left w:w="0" w:type="dxa"/>
          <w:bottom w:w="0" w:type="dxa"/>
          <w:right w:w="0" w:type="dxa"/>
        </w:tblCellMar>
      </w:tblPr>
      <w:tblGrid>
        <w:gridCol w:w="38"/>
        <w:gridCol w:w="185"/>
        <w:gridCol w:w="4460"/>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Arial" w:hAnsi="Arial"/>
                <w:sz w:val="20"/>
              </w:rPr>
            </w:pPr>
            <w:r>
              <w:rPr>
                <w:rFonts w:ascii="Arial" w:hAnsi="Arial"/>
                <w:sz w:val="20"/>
              </w:rPr>
              <w:t>(i)</w:t>
            </w:r>
          </w:p>
        </w:tc>
        <w:tc>
          <w:tcPr>
            <w:tcW w:w="4460" w:type="dxa"/>
            <w:tcBorders/>
            <w:vAlign w:val="center"/>
          </w:tcPr>
          <w:p>
            <w:pPr>
              <w:pStyle w:val="TableContents"/>
              <w:bidi w:val="0"/>
              <w:spacing w:before="0" w:after="0"/>
              <w:jc w:val="left"/>
              <w:rPr>
                <w:rFonts w:ascii="Arial" w:hAnsi="Arial"/>
                <w:sz w:val="20"/>
              </w:rPr>
            </w:pPr>
            <w:r>
              <w:rPr>
                <w:rFonts w:ascii="Arial" w:hAnsi="Arial"/>
                <w:sz w:val="20"/>
              </w:rPr>
              <w:t>ordinary shares of the Company, with no par value;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502eb0c745ea459c935b8a0caa4cb990"/>
      <w:bookmarkStart w:id="11" w:name="z502eb0c745ea459c935b8a0caa4cb990"/>
      <w:bookmarkEnd w:id="11"/>
    </w:p>
    <w:tbl>
      <w:tblPr>
        <w:tblW w:w="3078" w:type="dxa"/>
        <w:jc w:val="left"/>
        <w:tblInd w:w="0" w:type="dxa"/>
        <w:tblLayout w:type="fixed"/>
        <w:tblCellMar>
          <w:top w:w="0" w:type="dxa"/>
          <w:left w:w="0" w:type="dxa"/>
          <w:bottom w:w="0" w:type="dxa"/>
          <w:right w:w="0" w:type="dxa"/>
        </w:tblCellMar>
      </w:tblPr>
      <w:tblGrid>
        <w:gridCol w:w="38"/>
        <w:gridCol w:w="230"/>
        <w:gridCol w:w="281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Arial" w:hAnsi="Arial"/>
                <w:sz w:val="20"/>
              </w:rPr>
            </w:pPr>
            <w:r>
              <w:rPr>
                <w:rFonts w:ascii="Arial" w:hAnsi="Arial"/>
                <w:sz w:val="20"/>
              </w:rPr>
              <w:t>(ii)</w:t>
            </w:r>
          </w:p>
        </w:tc>
        <w:tc>
          <w:tcPr>
            <w:tcW w:w="2810" w:type="dxa"/>
            <w:tcBorders/>
            <w:vAlign w:val="center"/>
          </w:tcPr>
          <w:p>
            <w:pPr>
              <w:pStyle w:val="TableContents"/>
              <w:bidi w:val="0"/>
              <w:spacing w:before="0" w:after="0"/>
              <w:jc w:val="left"/>
              <w:rPr>
                <w:rFonts w:ascii="Arial" w:hAnsi="Arial"/>
                <w:sz w:val="20"/>
              </w:rPr>
            </w:pPr>
            <w:r>
              <w:rPr>
                <w:rFonts w:ascii="Arial" w:hAnsi="Arial"/>
                <w:sz w:val="20"/>
              </w:rPr>
              <w:t>debt securities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5c58eaf388f14e6c9ea4c8d3b6e053c9"/>
      <w:bookmarkStart w:id="13" w:name="z5c58eaf388f14e6c9ea4c8d3b6e053c9"/>
      <w:bookmarkEnd w:id="13"/>
    </w:p>
    <w:tbl>
      <w:tblPr>
        <w:tblW w:w="2583" w:type="dxa"/>
        <w:jc w:val="left"/>
        <w:tblInd w:w="0" w:type="dxa"/>
        <w:tblLayout w:type="fixed"/>
        <w:tblCellMar>
          <w:top w:w="0" w:type="dxa"/>
          <w:left w:w="0" w:type="dxa"/>
          <w:bottom w:w="0" w:type="dxa"/>
          <w:right w:w="0" w:type="dxa"/>
        </w:tblCellMar>
      </w:tblPr>
      <w:tblGrid>
        <w:gridCol w:w="38"/>
        <w:gridCol w:w="275"/>
        <w:gridCol w:w="227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Arial" w:hAnsi="Arial"/>
                <w:sz w:val="20"/>
              </w:rPr>
            </w:pPr>
            <w:r>
              <w:rPr>
                <w:rFonts w:ascii="Arial" w:hAnsi="Arial"/>
                <w:sz w:val="20"/>
              </w:rPr>
              <w:t>(iii)</w:t>
            </w:r>
          </w:p>
        </w:tc>
        <w:tc>
          <w:tcPr>
            <w:tcW w:w="2270" w:type="dxa"/>
            <w:tcBorders/>
            <w:vAlign w:val="center"/>
          </w:tcPr>
          <w:p>
            <w:pPr>
              <w:pStyle w:val="TableContents"/>
              <w:bidi w:val="0"/>
              <w:spacing w:before="0" w:after="0"/>
              <w:jc w:val="left"/>
              <w:rPr>
                <w:rFonts w:ascii="Arial" w:hAnsi="Arial"/>
                <w:sz w:val="20"/>
              </w:rPr>
            </w:pPr>
            <w:r>
              <w:rPr>
                <w:rFonts w:ascii="Arial" w:hAnsi="Arial"/>
                <w:sz w:val="20"/>
              </w:rPr>
              <w:t>warrants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11785fed9887480288716703de965652"/>
      <w:bookmarkStart w:id="15" w:name="z11785fed9887480288716703de965652"/>
      <w:bookmarkEnd w:id="15"/>
    </w:p>
    <w:tbl>
      <w:tblPr>
        <w:tblW w:w="2088" w:type="dxa"/>
        <w:jc w:val="left"/>
        <w:tblInd w:w="0" w:type="dxa"/>
        <w:tblLayout w:type="fixed"/>
        <w:tblCellMar>
          <w:top w:w="0" w:type="dxa"/>
          <w:left w:w="0" w:type="dxa"/>
          <w:bottom w:w="0" w:type="dxa"/>
          <w:right w:w="0" w:type="dxa"/>
        </w:tblCellMar>
      </w:tblPr>
      <w:tblGrid>
        <w:gridCol w:w="38"/>
        <w:gridCol w:w="290"/>
        <w:gridCol w:w="176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rFonts w:ascii="Arial" w:hAnsi="Arial"/>
                <w:sz w:val="20"/>
              </w:rPr>
            </w:pPr>
            <w:r>
              <w:rPr>
                <w:rFonts w:ascii="Arial" w:hAnsi="Arial"/>
                <w:sz w:val="20"/>
              </w:rPr>
              <w:t>(iv)</w:t>
            </w:r>
          </w:p>
        </w:tc>
        <w:tc>
          <w:tcPr>
            <w:tcW w:w="1760" w:type="dxa"/>
            <w:tcBorders/>
            <w:vAlign w:val="center"/>
          </w:tcPr>
          <w:p>
            <w:pPr>
              <w:pStyle w:val="TableContents"/>
              <w:bidi w:val="0"/>
              <w:spacing w:before="0" w:after="0"/>
              <w:jc w:val="left"/>
              <w:rPr>
                <w:rFonts w:ascii="Arial" w:hAnsi="Arial"/>
                <w:sz w:val="20"/>
              </w:rPr>
            </w:pPr>
            <w:r>
              <w:rPr>
                <w:rFonts w:ascii="Arial" w:hAnsi="Arial"/>
                <w:sz w:val="20"/>
              </w:rPr>
              <w:t>purchase contracts;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14f9f3f017f54d938f5faccadceca24e"/>
      <w:bookmarkStart w:id="17" w:name="z14f9f3f017f54d938f5faccadceca24e"/>
      <w:bookmarkEnd w:id="17"/>
    </w:p>
    <w:tbl>
      <w:tblPr>
        <w:tblW w:w="1173" w:type="dxa"/>
        <w:jc w:val="left"/>
        <w:tblInd w:w="0" w:type="dxa"/>
        <w:tblLayout w:type="fixed"/>
        <w:tblCellMar>
          <w:top w:w="0" w:type="dxa"/>
          <w:left w:w="0" w:type="dxa"/>
          <w:bottom w:w="0" w:type="dxa"/>
          <w:right w:w="0" w:type="dxa"/>
        </w:tblCellMar>
      </w:tblPr>
      <w:tblGrid>
        <w:gridCol w:w="38"/>
        <w:gridCol w:w="245"/>
        <w:gridCol w:w="89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r>
              <w:rPr>
                <w:rFonts w:ascii="Arial" w:hAnsi="Arial"/>
                <w:sz w:val="20"/>
              </w:rPr>
              <w:t>(v)</w:t>
            </w:r>
          </w:p>
        </w:tc>
        <w:tc>
          <w:tcPr>
            <w:tcW w:w="890" w:type="dxa"/>
            <w:tcBorders/>
            <w:vAlign w:val="center"/>
          </w:tcPr>
          <w:p>
            <w:pPr>
              <w:pStyle w:val="TableContents"/>
              <w:bidi w:val="0"/>
              <w:spacing w:before="0" w:after="0"/>
              <w:jc w:val="left"/>
              <w:rPr>
                <w:rFonts w:ascii="Arial" w:hAnsi="Arial"/>
                <w:sz w:val="20"/>
              </w:rPr>
            </w:pPr>
            <w:r>
              <w:rPr>
                <w:rFonts w:ascii="Arial" w:hAnsi="Arial"/>
                <w:sz w:val="20"/>
              </w:rPr>
              <w:t>units;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bbc979641d9c492699f49c4e05787454"/>
      <w:bookmarkStart w:id="19" w:name="zbbc979641d9c492699f49c4e05787454"/>
      <w:bookmarkEnd w:id="19"/>
    </w:p>
    <w:tbl>
      <w:tblPr>
        <w:tblW w:w="2388" w:type="dxa"/>
        <w:jc w:val="left"/>
        <w:tblInd w:w="0" w:type="dxa"/>
        <w:tblLayout w:type="fixed"/>
        <w:tblCellMar>
          <w:top w:w="0" w:type="dxa"/>
          <w:left w:w="0" w:type="dxa"/>
          <w:bottom w:w="0" w:type="dxa"/>
          <w:right w:w="0" w:type="dxa"/>
        </w:tblCellMar>
      </w:tblPr>
      <w:tblGrid>
        <w:gridCol w:w="38"/>
        <w:gridCol w:w="290"/>
        <w:gridCol w:w="206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rFonts w:ascii="Arial" w:hAnsi="Arial"/>
                <w:sz w:val="20"/>
              </w:rPr>
            </w:pPr>
            <w:r>
              <w:rPr>
                <w:rFonts w:ascii="Arial" w:hAnsi="Arial"/>
                <w:sz w:val="20"/>
              </w:rPr>
              <w:t>(vi)</w:t>
            </w:r>
          </w:p>
        </w:tc>
        <w:tc>
          <w:tcPr>
            <w:tcW w:w="2060" w:type="dxa"/>
            <w:tcBorders/>
            <w:vAlign w:val="center"/>
          </w:tcPr>
          <w:p>
            <w:pPr>
              <w:pStyle w:val="TableContents"/>
              <w:bidi w:val="0"/>
              <w:spacing w:before="0" w:after="0"/>
              <w:jc w:val="left"/>
              <w:rPr>
                <w:rFonts w:ascii="Arial" w:hAnsi="Arial"/>
                <w:sz w:val="20"/>
              </w:rPr>
            </w:pPr>
            <w:r>
              <w:rPr>
                <w:rFonts w:ascii="Arial" w:hAnsi="Arial"/>
                <w:sz w:val="20"/>
              </w:rPr>
              <w:t>subscription rights;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05aa0c3b0a6448a7a771506df5aeda5b"/>
      <w:bookmarkStart w:id="21" w:name="z05aa0c3b0a6448a7a771506df5aeda5b"/>
      <w:bookmarkEnd w:id="21"/>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pPr>
            <w:r>
              <w:rPr/>
            </w:r>
          </w:p>
        </w:tc>
        <w:tc>
          <w:tcPr>
            <w:tcW w:w="203" w:type="dxa"/>
            <w:tcBorders/>
            <w:vAlign w:val="center"/>
          </w:tcPr>
          <w:p>
            <w:pPr>
              <w:pStyle w:val="TableContents"/>
              <w:bidi w:val="0"/>
              <w:spacing w:before="0" w:after="283"/>
              <w:jc w:val="left"/>
              <w:rPr>
                <w:rFonts w:ascii="Arial" w:hAnsi="Arial"/>
                <w:sz w:val="20"/>
              </w:rPr>
            </w:pPr>
            <w:r>
              <w:rPr>
                <w:rFonts w:ascii="Arial" w:hAnsi="Arial"/>
                <w:sz w:val="20"/>
              </w:rPr>
              <w:t>(b)</w:t>
            </w:r>
          </w:p>
        </w:tc>
        <w:tc>
          <w:tcPr>
            <w:tcW w:w="9964" w:type="dxa"/>
            <w:tcBorders/>
            <w:vAlign w:val="center"/>
          </w:tcPr>
          <w:p>
            <w:pPr>
              <w:pStyle w:val="TableContents"/>
              <w:bidi w:val="0"/>
              <w:spacing w:before="0" w:after="0"/>
              <w:jc w:val="left"/>
              <w:rPr>
                <w:rFonts w:ascii="Arial" w:hAnsi="Arial"/>
                <w:sz w:val="20"/>
              </w:rPr>
            </w:pPr>
            <w:r>
              <w:rPr>
                <w:rFonts w:ascii="Arial" w:hAnsi="Arial"/>
                <w:sz w:val="20"/>
              </w:rPr>
              <w:t xml:space="preserve">a prospectus supplement relating to the registration of securities (to be issued from time to time by the Company), filed with the Commission and dated the date hereof (the </w:t>
            </w:r>
            <w:r>
              <w:rPr>
                <w:rFonts w:ascii="Arial" w:hAnsi="Arial"/>
                <w:b/>
                <w:i/>
                <w:sz w:val="20"/>
              </w:rPr>
              <w:t>Prospectus Supplement</w:t>
            </w:r>
            <w:r>
              <w:rPr>
                <w:rFonts w:ascii="Arial" w:hAnsi="Arial"/>
                <w:sz w:val="20"/>
              </w:rPr>
              <w:t xml:space="preserve">) relating to the resale of up to 11,981,668 of the Company’s ordinary shares, with no par value (the </w:t>
            </w:r>
            <w:r>
              <w:rPr>
                <w:rFonts w:ascii="Arial" w:hAnsi="Arial"/>
                <w:b/>
                <w:i/>
                <w:sz w:val="20"/>
              </w:rPr>
              <w:t>Shares</w:t>
            </w:r>
            <w:r>
              <w:rPr>
                <w:rFonts w:ascii="Arial" w:hAnsi="Arial"/>
                <w:sz w:val="20"/>
              </w:rPr>
              <w:t>) by certain shareholders named therein.</w:t>
            </w:r>
          </w:p>
        </w:tc>
      </w:tr>
    </w:tbl>
    <w:p>
      <w:pPr>
        <w:pStyle w:val="TextBody"/>
        <w:bidi w:val="0"/>
        <w:spacing w:before="0" w:after="0"/>
        <w:jc w:val="left"/>
        <w:rPr>
          <w:color w:val="000000"/>
        </w:rPr>
      </w:pPr>
      <w:r>
        <w:rPr>
          <w:color w:val="000000"/>
        </w:rPr>
        <w:t> </w:t>
      </w:r>
    </w:p>
    <w:p>
      <w:pPr>
        <w:pStyle w:val="TextBody"/>
        <w:bidi w:val="0"/>
        <w:spacing w:before="0" w:after="0"/>
        <w:jc w:val="left"/>
        <w:rPr>
          <w:rFonts w:ascii="Arial" w:hAnsi="Arial"/>
          <w:color w:val="000000"/>
          <w:sz w:val="20"/>
        </w:rPr>
      </w:pPr>
      <w:r>
        <w:rPr>
          <w:rFonts w:ascii="Arial" w:hAnsi="Arial"/>
          <w:color w:val="000000"/>
          <w:sz w:val="20"/>
        </w:rPr>
        <w:t>This opinion letter (</w:t>
      </w:r>
      <w:r>
        <w:rPr>
          <w:rFonts w:ascii="Arial" w:hAnsi="Arial"/>
          <w:b/>
          <w:i/>
          <w:color w:val="000000"/>
          <w:sz w:val="20"/>
        </w:rPr>
        <w:t>Opinion</w:t>
      </w:r>
      <w:r>
        <w:rPr>
          <w:rFonts w:ascii="Arial" w:hAnsi="Arial"/>
          <w:color w:val="000000"/>
          <w:sz w:val="20"/>
        </w:rPr>
        <w:t>) is being furnished in accordance with Item 601(b)(5) of Regulation S-K under the Securities Act, and no opinion is expressed herein as to any matter pertaining to the contexts of the Registration Statement or related prospectus, other than as expressly stated herein.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d6054830e4fa47d8b0b6e059d84a0f4f"/>
      <w:bookmarkStart w:id="23" w:name="zd6054830e4fa47d8b0b6e059d84a0f4f"/>
      <w:bookmarkEnd w:id="23"/>
    </w:p>
    <w:tbl>
      <w:tblPr>
        <w:tblW w:w="1720" w:type="dxa"/>
        <w:jc w:val="left"/>
        <w:tblInd w:w="0" w:type="dxa"/>
        <w:tblLayout w:type="fixed"/>
        <w:tblCellMar>
          <w:top w:w="0" w:type="dxa"/>
          <w:left w:w="0" w:type="dxa"/>
          <w:bottom w:w="0" w:type="dxa"/>
          <w:right w:w="0" w:type="dxa"/>
        </w:tblCellMar>
      </w:tblPr>
      <w:tblGrid>
        <w:gridCol w:w="200"/>
        <w:gridCol w:w="1520"/>
      </w:tblGrid>
      <w:tr>
        <w:trPr/>
        <w:tc>
          <w:tcPr>
            <w:tcW w:w="200" w:type="dxa"/>
            <w:tcBorders/>
            <w:vAlign w:val="center"/>
          </w:tcPr>
          <w:p>
            <w:pPr>
              <w:pStyle w:val="TableContents"/>
              <w:bidi w:val="0"/>
              <w:spacing w:before="0" w:after="283"/>
              <w:jc w:val="left"/>
              <w:rPr>
                <w:rFonts w:ascii="Arial" w:hAnsi="Arial"/>
                <w:b/>
                <w:color w:val="0073BF"/>
                <w:sz w:val="28"/>
              </w:rPr>
            </w:pPr>
            <w:r>
              <w:rPr>
                <w:rFonts w:ascii="Arial" w:hAnsi="Arial"/>
                <w:b/>
                <w:color w:val="0073BF"/>
                <w:sz w:val="28"/>
              </w:rPr>
              <w:t>1</w:t>
            </w:r>
          </w:p>
        </w:tc>
        <w:tc>
          <w:tcPr>
            <w:tcW w:w="1520" w:type="dxa"/>
            <w:tcBorders/>
            <w:vAlign w:val="center"/>
          </w:tcPr>
          <w:p>
            <w:pPr>
              <w:pStyle w:val="TableContents"/>
              <w:bidi w:val="0"/>
              <w:spacing w:before="0" w:after="0"/>
              <w:jc w:val="left"/>
              <w:rPr>
                <w:rFonts w:ascii="Arial" w:hAnsi="Arial"/>
                <w:b/>
                <w:color w:val="0073BF"/>
                <w:sz w:val="28"/>
              </w:rPr>
            </w:pPr>
            <w:r>
              <w:rPr>
                <w:rFonts w:ascii="Arial" w:hAnsi="Arial"/>
                <w:b/>
                <w:color w:val="0073BF"/>
                <w:sz w:val="28"/>
              </w:rPr>
              <w:t>Definitions</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Arial" w:hAnsi="Arial"/>
          <w:color w:val="000000"/>
          <w:sz w:val="20"/>
        </w:rPr>
      </w:pPr>
      <w:r>
        <w:rPr>
          <w:rFonts w:ascii="Arial" w:hAnsi="Arial"/>
          <w:color w:val="000000"/>
          <w:sz w:val="20"/>
        </w:rPr>
        <w:t>In this opinion, the following definitions apply.</w:t>
      </w:r>
    </w:p>
    <w:p>
      <w:pPr>
        <w:pStyle w:val="TextBody"/>
        <w:bidi w:val="0"/>
        <w:spacing w:before="0" w:after="0"/>
        <w:jc w:val="left"/>
        <w:rPr>
          <w:rFonts w:ascii="Arial" w:hAnsi="Arial"/>
          <w:sz w:val="20"/>
        </w:rPr>
      </w:pPr>
      <w:r>
        <w:rPr>
          <w:rFonts w:ascii="Arial" w:hAnsi="Arial"/>
          <w:sz w:val="20"/>
        </w:rPr>
      </w:r>
    </w:p>
    <w:p>
      <w:pPr>
        <w:pStyle w:val="Normal"/>
        <w:bidi w:val="0"/>
        <w:spacing w:before="0" w:after="0"/>
        <w:jc w:val="left"/>
        <w:rPr>
          <w:sz w:val="4"/>
          <w:szCs w:val="4"/>
        </w:rPr>
      </w:pPr>
      <w:r>
        <w:rPr>
          <w:sz w:val="4"/>
          <w:szCs w:val="4"/>
        </w:rPr>
      </w:r>
      <w:bookmarkStart w:id="24" w:name="z8a4ff3cdc36a4189b93f3116d08192a8"/>
      <w:bookmarkStart w:id="25" w:name="z8a4ff3cdc36a4189b93f3116d08192a8"/>
      <w:bookmarkEnd w:id="25"/>
    </w:p>
    <w:tbl>
      <w:tblPr>
        <w:tblW w:w="6333" w:type="dxa"/>
        <w:jc w:val="left"/>
        <w:tblInd w:w="0" w:type="dxa"/>
        <w:tblLayout w:type="fixed"/>
        <w:tblCellMar>
          <w:top w:w="0" w:type="dxa"/>
          <w:left w:w="0" w:type="dxa"/>
          <w:bottom w:w="0" w:type="dxa"/>
          <w:right w:w="0" w:type="dxa"/>
        </w:tblCellMar>
      </w:tblPr>
      <w:tblGrid>
        <w:gridCol w:w="38"/>
        <w:gridCol w:w="245"/>
        <w:gridCol w:w="605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r>
              <w:rPr>
                <w:rFonts w:ascii="Arial" w:hAnsi="Arial"/>
                <w:sz w:val="20"/>
              </w:rPr>
              <w:t>(a)</w:t>
            </w:r>
          </w:p>
        </w:tc>
        <w:tc>
          <w:tcPr>
            <w:tcW w:w="6050" w:type="dxa"/>
            <w:tcBorders/>
            <w:vAlign w:val="center"/>
          </w:tcPr>
          <w:p>
            <w:pPr>
              <w:pStyle w:val="TableContents"/>
              <w:bidi w:val="0"/>
              <w:spacing w:before="0" w:after="0"/>
              <w:jc w:val="left"/>
              <w:rPr>
                <w:rFonts w:ascii="Arial" w:hAnsi="Arial"/>
                <w:sz w:val="20"/>
              </w:rPr>
            </w:pPr>
            <w:r>
              <w:rPr>
                <w:rFonts w:ascii="Arial" w:hAnsi="Arial"/>
                <w:b/>
                <w:i/>
                <w:sz w:val="20"/>
              </w:rPr>
              <w:t xml:space="preserve">ASIC </w:t>
            </w:r>
            <w:r>
              <w:rPr>
                <w:rFonts w:ascii="Arial" w:hAnsi="Arial"/>
                <w:sz w:val="20"/>
              </w:rPr>
              <w:t>means the Australian Securities and Investments Commission.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25a8c93de1c545328a3d49b0343aa7c0"/>
      <w:bookmarkStart w:id="27" w:name="z25a8c93de1c545328a3d49b0343aa7c0"/>
      <w:bookmarkEnd w:id="27"/>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pPr>
            <w:r>
              <w:rPr/>
            </w:r>
          </w:p>
        </w:tc>
        <w:tc>
          <w:tcPr>
            <w:tcW w:w="222" w:type="dxa"/>
            <w:tcBorders/>
            <w:vAlign w:val="center"/>
          </w:tcPr>
          <w:p>
            <w:pPr>
              <w:pStyle w:val="TableContents"/>
              <w:bidi w:val="0"/>
              <w:spacing w:before="0" w:after="283"/>
              <w:jc w:val="left"/>
              <w:rPr>
                <w:rFonts w:ascii="Arial" w:hAnsi="Arial"/>
                <w:sz w:val="20"/>
              </w:rPr>
            </w:pPr>
            <w:r>
              <w:rPr>
                <w:rFonts w:ascii="Arial" w:hAnsi="Arial"/>
                <w:sz w:val="20"/>
              </w:rPr>
              <w:t>(b)</w:t>
            </w:r>
          </w:p>
        </w:tc>
        <w:tc>
          <w:tcPr>
            <w:tcW w:w="9945" w:type="dxa"/>
            <w:tcBorders/>
            <w:vAlign w:val="center"/>
          </w:tcPr>
          <w:p>
            <w:pPr>
              <w:pStyle w:val="TableContents"/>
              <w:bidi w:val="0"/>
              <w:spacing w:before="0" w:after="0"/>
              <w:jc w:val="left"/>
              <w:rPr>
                <w:rFonts w:ascii="Arial" w:hAnsi="Arial"/>
                <w:sz w:val="20"/>
              </w:rPr>
            </w:pPr>
            <w:r>
              <w:rPr>
                <w:rFonts w:ascii="Arial" w:hAnsi="Arial"/>
                <w:b/>
                <w:i/>
                <w:sz w:val="20"/>
              </w:rPr>
              <w:t xml:space="preserve">Constitution </w:t>
            </w:r>
            <w:r>
              <w:rPr>
                <w:rFonts w:ascii="Arial" w:hAnsi="Arial"/>
                <w:sz w:val="20"/>
              </w:rPr>
              <w:t>means the Amended and Restated Constitution of the Company adopted on 20 November 2025 (19 November 2025 ET) and in force as at the date of this Opinion.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d45207b8873b489daa8a90080fed021e"/>
      <w:bookmarkStart w:id="29" w:name="zd45207b8873b489daa8a90080fed021e"/>
      <w:bookmarkEnd w:id="29"/>
    </w:p>
    <w:tbl>
      <w:tblPr>
        <w:tblW w:w="5403" w:type="dxa"/>
        <w:jc w:val="left"/>
        <w:tblInd w:w="0" w:type="dxa"/>
        <w:tblLayout w:type="fixed"/>
        <w:tblCellMar>
          <w:top w:w="0" w:type="dxa"/>
          <w:left w:w="0" w:type="dxa"/>
          <w:bottom w:w="0" w:type="dxa"/>
          <w:right w:w="0" w:type="dxa"/>
        </w:tblCellMar>
      </w:tblPr>
      <w:tblGrid>
        <w:gridCol w:w="38"/>
        <w:gridCol w:w="245"/>
        <w:gridCol w:w="512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r>
              <w:rPr>
                <w:rFonts w:ascii="Arial" w:hAnsi="Arial"/>
                <w:sz w:val="20"/>
              </w:rPr>
              <w:t>(c)</w:t>
            </w:r>
          </w:p>
        </w:tc>
        <w:tc>
          <w:tcPr>
            <w:tcW w:w="5120" w:type="dxa"/>
            <w:tcBorders/>
            <w:vAlign w:val="center"/>
          </w:tcPr>
          <w:p>
            <w:pPr>
              <w:pStyle w:val="TableContents"/>
              <w:bidi w:val="0"/>
              <w:spacing w:before="0" w:after="0"/>
              <w:jc w:val="left"/>
              <w:rPr>
                <w:rFonts w:ascii="Arial" w:hAnsi="Arial"/>
                <w:sz w:val="20"/>
              </w:rPr>
            </w:pPr>
            <w:r>
              <w:rPr>
                <w:rFonts w:ascii="Arial" w:hAnsi="Arial"/>
                <w:b/>
                <w:i/>
                <w:sz w:val="20"/>
              </w:rPr>
              <w:t xml:space="preserve">Corporations Act </w:t>
            </w:r>
            <w:r>
              <w:rPr>
                <w:rFonts w:ascii="Arial" w:hAnsi="Arial"/>
                <w:sz w:val="20"/>
              </w:rPr>
              <w:t xml:space="preserve">means the </w:t>
            </w:r>
            <w:r>
              <w:rPr>
                <w:rFonts w:ascii="Arial" w:hAnsi="Arial"/>
                <w:i/>
                <w:sz w:val="20"/>
              </w:rPr>
              <w:t xml:space="preserve">Corporations Act 2001 </w:t>
            </w:r>
            <w:r>
              <w:rPr>
                <w:rFonts w:ascii="Arial" w:hAnsi="Arial"/>
                <w:sz w:val="20"/>
              </w:rPr>
              <w:t>(Cth).</w:t>
            </w:r>
          </w:p>
        </w:tc>
      </w:tr>
    </w:tbl>
    <w:p>
      <w:pPr>
        <w:pStyle w:val="TextBody"/>
        <w:bidi w:val="0"/>
        <w:spacing w:before="0" w:after="0"/>
        <w:jc w:val="left"/>
        <w:rPr/>
      </w:pPr>
      <w:r>
        <w:rPr/>
      </w:r>
    </w:p>
    <w:p>
      <w:pPr>
        <w:pStyle w:val="TextBody"/>
        <w:bidi w:val="0"/>
        <w:spacing w:before="0" w:after="0"/>
        <w:jc w:val="right"/>
        <w:rPr>
          <w:color w:val="000000"/>
        </w:rPr>
      </w:pPr>
      <w:r>
        <w:rPr>
          <w:color w:val="000000"/>
        </w:rPr>
        <w:drawing>
          <wp:inline distT="0" distB="0" distL="0" distR="0">
            <wp:extent cx="819150" cy="25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19150" cy="257175"/>
                    </a:xfrm>
                    <a:prstGeom prst="rect">
                      <a:avLst/>
                    </a:prstGeom>
                  </pic:spPr>
                </pic:pic>
              </a:graphicData>
            </a:graphic>
          </wp:inline>
        </w:drawing>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right"/>
        <w:rPr>
          <w:color w:val="000000"/>
        </w:rPr>
      </w:pPr>
      <w:r>
        <w:rPr>
          <w:color w:val="000000"/>
        </w:rPr>
        <w:drawing>
          <wp:inline distT="0" distB="0" distL="0" distR="0">
            <wp:extent cx="1314450"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14450" cy="342900"/>
                    </a:xfrm>
                    <a:prstGeom prst="rect">
                      <a:avLst/>
                    </a:prstGeom>
                  </pic:spPr>
                </pic:pic>
              </a:graphicData>
            </a:graphic>
          </wp:inline>
        </w:drawing>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0277618091af42729c3960df20840a46"/>
      <w:bookmarkStart w:id="31" w:name="z0277618091af42729c3960df20840a46"/>
      <w:bookmarkEnd w:id="31"/>
    </w:p>
    <w:tbl>
      <w:tblPr>
        <w:tblW w:w="6318" w:type="dxa"/>
        <w:jc w:val="left"/>
        <w:tblInd w:w="0" w:type="dxa"/>
        <w:tblLayout w:type="fixed"/>
        <w:tblCellMar>
          <w:top w:w="0" w:type="dxa"/>
          <w:left w:w="0" w:type="dxa"/>
          <w:bottom w:w="0" w:type="dxa"/>
          <w:right w:w="0" w:type="dxa"/>
        </w:tblCellMar>
      </w:tblPr>
      <w:tblGrid>
        <w:gridCol w:w="38"/>
        <w:gridCol w:w="245"/>
        <w:gridCol w:w="603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r>
              <w:rPr>
                <w:rFonts w:ascii="Arial" w:hAnsi="Arial"/>
                <w:sz w:val="20"/>
              </w:rPr>
              <w:t>(d)</w:t>
            </w:r>
          </w:p>
        </w:tc>
        <w:tc>
          <w:tcPr>
            <w:tcW w:w="6035" w:type="dxa"/>
            <w:tcBorders/>
            <w:vAlign w:val="center"/>
          </w:tcPr>
          <w:p>
            <w:pPr>
              <w:pStyle w:val="TableContents"/>
              <w:bidi w:val="0"/>
              <w:spacing w:before="0" w:after="0"/>
              <w:jc w:val="left"/>
              <w:rPr>
                <w:rFonts w:ascii="Arial" w:hAnsi="Arial"/>
                <w:sz w:val="20"/>
              </w:rPr>
            </w:pPr>
            <w:r>
              <w:rPr>
                <w:rFonts w:ascii="Arial" w:hAnsi="Arial"/>
                <w:b/>
                <w:i/>
                <w:sz w:val="20"/>
              </w:rPr>
              <w:t xml:space="preserve">Document </w:t>
            </w:r>
            <w:r>
              <w:rPr>
                <w:rFonts w:ascii="Arial" w:hAnsi="Arial"/>
                <w:sz w:val="20"/>
              </w:rPr>
              <w:t>means a document listed in paragraphs 2(a) to 2(f) below.</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z1b3552135e1341f882754634580fe372"/>
      <w:bookmarkStart w:id="33" w:name="z1b3552135e1341f882754634580fe372"/>
      <w:bookmarkEnd w:id="33"/>
    </w:p>
    <w:tbl>
      <w:tblPr>
        <w:tblW w:w="7413" w:type="dxa"/>
        <w:jc w:val="left"/>
        <w:tblInd w:w="0" w:type="dxa"/>
        <w:tblLayout w:type="fixed"/>
        <w:tblCellMar>
          <w:top w:w="0" w:type="dxa"/>
          <w:left w:w="0" w:type="dxa"/>
          <w:bottom w:w="0" w:type="dxa"/>
          <w:right w:w="0" w:type="dxa"/>
        </w:tblCellMar>
      </w:tblPr>
      <w:tblGrid>
        <w:gridCol w:w="38"/>
        <w:gridCol w:w="245"/>
        <w:gridCol w:w="713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r>
              <w:rPr>
                <w:rFonts w:ascii="Arial" w:hAnsi="Arial"/>
                <w:sz w:val="20"/>
              </w:rPr>
              <w:t>(e)</w:t>
            </w:r>
          </w:p>
        </w:tc>
        <w:tc>
          <w:tcPr>
            <w:tcW w:w="7130" w:type="dxa"/>
            <w:tcBorders/>
            <w:vAlign w:val="center"/>
          </w:tcPr>
          <w:p>
            <w:pPr>
              <w:pStyle w:val="TableContents"/>
              <w:bidi w:val="0"/>
              <w:spacing w:before="0" w:after="0"/>
              <w:jc w:val="left"/>
              <w:rPr>
                <w:rFonts w:ascii="Arial" w:hAnsi="Arial"/>
                <w:sz w:val="20"/>
              </w:rPr>
            </w:pPr>
            <w:r>
              <w:rPr>
                <w:rFonts w:ascii="Arial" w:hAnsi="Arial"/>
                <w:b/>
                <w:i/>
                <w:sz w:val="20"/>
              </w:rPr>
              <w:t xml:space="preserve">Governing Jurisdiction </w:t>
            </w:r>
            <w:r>
              <w:rPr>
                <w:rFonts w:ascii="Arial" w:hAnsi="Arial"/>
                <w:sz w:val="20"/>
              </w:rPr>
              <w:t>means the State of Delaware, United States of America.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c9baa7a0474f430a9de5c5bbca42a9d4"/>
      <w:bookmarkStart w:id="35" w:name="zc9baa7a0474f430a9de5c5bbca42a9d4"/>
      <w:bookmarkEnd w:id="35"/>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pPr>
            <w:r>
              <w:rPr/>
            </w:r>
          </w:p>
        </w:tc>
        <w:tc>
          <w:tcPr>
            <w:tcW w:w="174" w:type="dxa"/>
            <w:tcBorders/>
            <w:vAlign w:val="center"/>
          </w:tcPr>
          <w:p>
            <w:pPr>
              <w:pStyle w:val="TableContents"/>
              <w:bidi w:val="0"/>
              <w:spacing w:before="0" w:after="283"/>
              <w:jc w:val="left"/>
              <w:rPr>
                <w:rFonts w:ascii="Arial" w:hAnsi="Arial"/>
                <w:sz w:val="20"/>
              </w:rPr>
            </w:pPr>
            <w:r>
              <w:rPr>
                <w:rFonts w:ascii="Arial" w:hAnsi="Arial"/>
                <w:sz w:val="20"/>
              </w:rPr>
              <w:t>(f)</w:t>
            </w:r>
          </w:p>
        </w:tc>
        <w:tc>
          <w:tcPr>
            <w:tcW w:w="9993" w:type="dxa"/>
            <w:tcBorders/>
            <w:vAlign w:val="center"/>
          </w:tcPr>
          <w:p>
            <w:pPr>
              <w:pStyle w:val="TableContents"/>
              <w:bidi w:val="0"/>
              <w:spacing w:before="0" w:after="0"/>
              <w:jc w:val="left"/>
              <w:rPr>
                <w:rFonts w:ascii="Arial" w:hAnsi="Arial"/>
                <w:sz w:val="20"/>
              </w:rPr>
            </w:pPr>
            <w:r>
              <w:rPr>
                <w:rFonts w:ascii="Arial" w:hAnsi="Arial"/>
                <w:b/>
                <w:i/>
                <w:sz w:val="20"/>
              </w:rPr>
              <w:t xml:space="preserve">Laws of a Relevant Jurisdiction </w:t>
            </w:r>
            <w:r>
              <w:rPr>
                <w:rFonts w:ascii="Arial" w:hAnsi="Arial"/>
                <w:sz w:val="20"/>
              </w:rPr>
              <w:t>means the common law, principles of equity and laws constituted by legislation that is available to the public generally, in force in the Relevant Jurisdictions.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 w:name="z29eab8da3b4442ab8df54fe2f8713f32"/>
      <w:bookmarkStart w:id="37" w:name="z29eab8da3b4442ab8df54fe2f8713f32"/>
      <w:bookmarkEnd w:id="37"/>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rFonts w:ascii="Arial" w:hAnsi="Arial"/>
                <w:sz w:val="20"/>
              </w:rPr>
            </w:pPr>
            <w:r>
              <w:rPr>
                <w:rFonts w:ascii="Arial" w:hAnsi="Arial"/>
                <w:sz w:val="20"/>
              </w:rPr>
              <w:t>(g)</w:t>
            </w:r>
          </w:p>
        </w:tc>
        <w:tc>
          <w:tcPr>
            <w:tcW w:w="9939" w:type="dxa"/>
            <w:tcBorders/>
            <w:vAlign w:val="center"/>
          </w:tcPr>
          <w:p>
            <w:pPr>
              <w:pStyle w:val="TableContents"/>
              <w:bidi w:val="0"/>
              <w:spacing w:before="0" w:after="0"/>
              <w:jc w:val="left"/>
              <w:rPr>
                <w:rFonts w:ascii="Arial" w:hAnsi="Arial"/>
                <w:sz w:val="20"/>
              </w:rPr>
            </w:pPr>
            <w:r>
              <w:rPr>
                <w:rFonts w:ascii="Arial" w:hAnsi="Arial"/>
                <w:b/>
                <w:i/>
                <w:sz w:val="20"/>
              </w:rPr>
              <w:t xml:space="preserve">Merger Agreement </w:t>
            </w:r>
            <w:r>
              <w:rPr>
                <w:rFonts w:ascii="Arial" w:hAnsi="Arial"/>
                <w:sz w:val="20"/>
              </w:rPr>
              <w:t>means the agreement and plan of merger dated May 4, 2026 by and among the Company, Kube Merger Sub Inc., and Mirantis, Inc.</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 w:name="z9d179292998643d3bc3e6cace54fe3aa"/>
      <w:bookmarkStart w:id="39" w:name="z9d179292998643d3bc3e6cace54fe3aa"/>
      <w:bookmarkEnd w:id="39"/>
    </w:p>
    <w:tbl>
      <w:tblPr>
        <w:tblW w:w="9783" w:type="dxa"/>
        <w:jc w:val="left"/>
        <w:tblInd w:w="0" w:type="dxa"/>
        <w:tblLayout w:type="fixed"/>
        <w:tblCellMar>
          <w:top w:w="0" w:type="dxa"/>
          <w:left w:w="0" w:type="dxa"/>
          <w:bottom w:w="0" w:type="dxa"/>
          <w:right w:w="0" w:type="dxa"/>
        </w:tblCellMar>
      </w:tblPr>
      <w:tblGrid>
        <w:gridCol w:w="38"/>
        <w:gridCol w:w="245"/>
        <w:gridCol w:w="950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r>
              <w:rPr>
                <w:rFonts w:ascii="Arial" w:hAnsi="Arial"/>
                <w:sz w:val="20"/>
              </w:rPr>
              <w:t>(h)</w:t>
            </w:r>
          </w:p>
        </w:tc>
        <w:tc>
          <w:tcPr>
            <w:tcW w:w="9500" w:type="dxa"/>
            <w:tcBorders/>
            <w:vAlign w:val="center"/>
          </w:tcPr>
          <w:p>
            <w:pPr>
              <w:pStyle w:val="TableContents"/>
              <w:bidi w:val="0"/>
              <w:spacing w:before="0" w:after="0"/>
              <w:jc w:val="left"/>
              <w:rPr>
                <w:rFonts w:ascii="Arial" w:hAnsi="Arial"/>
                <w:sz w:val="20"/>
              </w:rPr>
            </w:pPr>
            <w:r>
              <w:rPr>
                <w:rFonts w:ascii="Arial" w:hAnsi="Arial"/>
                <w:b/>
                <w:i/>
                <w:sz w:val="20"/>
              </w:rPr>
              <w:t xml:space="preserve">Relevant Jurisdiction </w:t>
            </w:r>
            <w:r>
              <w:rPr>
                <w:rFonts w:ascii="Arial" w:hAnsi="Arial"/>
                <w:sz w:val="20"/>
              </w:rPr>
              <w:t>means New South Wales or the federal jurisdiction of the Commonwealth of Australia.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8f66ee5b93074d8094186ce39681e03a"/>
      <w:bookmarkStart w:id="41" w:name="z8f66ee5b93074d8094186ce39681e03a"/>
      <w:bookmarkEnd w:id="41"/>
    </w:p>
    <w:tbl>
      <w:tblPr>
        <w:tblW w:w="1825" w:type="dxa"/>
        <w:jc w:val="left"/>
        <w:tblInd w:w="0" w:type="dxa"/>
        <w:tblLayout w:type="fixed"/>
        <w:tblCellMar>
          <w:top w:w="0" w:type="dxa"/>
          <w:left w:w="0" w:type="dxa"/>
          <w:bottom w:w="0" w:type="dxa"/>
          <w:right w:w="0" w:type="dxa"/>
        </w:tblCellMar>
      </w:tblPr>
      <w:tblGrid>
        <w:gridCol w:w="200"/>
        <w:gridCol w:w="1625"/>
      </w:tblGrid>
      <w:tr>
        <w:trPr/>
        <w:tc>
          <w:tcPr>
            <w:tcW w:w="200" w:type="dxa"/>
            <w:tcBorders/>
            <w:vAlign w:val="center"/>
          </w:tcPr>
          <w:p>
            <w:pPr>
              <w:pStyle w:val="TableContents"/>
              <w:bidi w:val="0"/>
              <w:spacing w:before="0" w:after="283"/>
              <w:jc w:val="left"/>
              <w:rPr>
                <w:rFonts w:ascii="Arial" w:hAnsi="Arial"/>
                <w:b/>
                <w:color w:val="0073BF"/>
                <w:sz w:val="28"/>
              </w:rPr>
            </w:pPr>
            <w:r>
              <w:rPr>
                <w:rFonts w:ascii="Arial" w:hAnsi="Arial"/>
                <w:b/>
                <w:color w:val="0073BF"/>
                <w:sz w:val="28"/>
              </w:rPr>
              <w:t>2</w:t>
            </w:r>
          </w:p>
        </w:tc>
        <w:tc>
          <w:tcPr>
            <w:tcW w:w="1625" w:type="dxa"/>
            <w:tcBorders/>
            <w:vAlign w:val="center"/>
          </w:tcPr>
          <w:p>
            <w:pPr>
              <w:pStyle w:val="TableContents"/>
              <w:bidi w:val="0"/>
              <w:spacing w:before="0" w:after="0"/>
              <w:jc w:val="left"/>
              <w:rPr>
                <w:rFonts w:ascii="Arial" w:hAnsi="Arial"/>
                <w:b/>
                <w:color w:val="0073BF"/>
                <w:sz w:val="28"/>
              </w:rPr>
            </w:pPr>
            <w:r>
              <w:rPr>
                <w:rFonts w:ascii="Arial" w:hAnsi="Arial"/>
                <w:b/>
                <w:color w:val="0073BF"/>
                <w:sz w:val="28"/>
              </w:rPr>
              <w:t>Documents</w:t>
            </w:r>
          </w:p>
        </w:tc>
      </w:tr>
    </w:tbl>
    <w:p>
      <w:pPr>
        <w:pStyle w:val="TextBody"/>
        <w:bidi w:val="0"/>
        <w:spacing w:before="0" w:after="0"/>
        <w:jc w:val="both"/>
        <w:rPr>
          <w:color w:val="000000"/>
        </w:rPr>
      </w:pPr>
      <w:r>
        <w:rPr>
          <w:color w:val="000000"/>
        </w:rPr>
        <w:t> </w:t>
      </w:r>
    </w:p>
    <w:p>
      <w:pPr>
        <w:pStyle w:val="TextBody"/>
        <w:bidi w:val="0"/>
        <w:spacing w:before="0" w:after="0"/>
        <w:ind w:left="720" w:right="0" w:hanging="0"/>
        <w:jc w:val="both"/>
        <w:rPr>
          <w:rFonts w:ascii="Arial" w:hAnsi="Arial"/>
          <w:color w:val="000000"/>
          <w:sz w:val="20"/>
        </w:rPr>
      </w:pPr>
      <w:r>
        <w:rPr>
          <w:rFonts w:ascii="Arial" w:hAnsi="Arial"/>
          <w:color w:val="000000"/>
          <w:sz w:val="20"/>
        </w:rPr>
        <w:t>We have examined and rely on originals or copies of the following documents.</w:t>
      </w:r>
    </w:p>
    <w:p>
      <w:pPr>
        <w:pStyle w:val="TextBody"/>
        <w:bidi w:val="0"/>
        <w:spacing w:before="0" w:after="0"/>
        <w:jc w:val="both"/>
        <w:rPr>
          <w:rFonts w:ascii="Arial" w:hAnsi="Arial"/>
          <w:sz w:val="20"/>
        </w:rPr>
      </w:pPr>
      <w:r>
        <w:rPr>
          <w:rFonts w:ascii="Arial" w:hAnsi="Arial"/>
          <w:sz w:val="20"/>
        </w:rPr>
      </w:r>
    </w:p>
    <w:p>
      <w:pPr>
        <w:pStyle w:val="Normal"/>
        <w:bidi w:val="0"/>
        <w:spacing w:before="0" w:after="0"/>
        <w:jc w:val="left"/>
        <w:rPr>
          <w:sz w:val="4"/>
          <w:szCs w:val="4"/>
        </w:rPr>
      </w:pPr>
      <w:r>
        <w:rPr>
          <w:sz w:val="4"/>
          <w:szCs w:val="4"/>
        </w:rPr>
      </w:r>
      <w:bookmarkStart w:id="42" w:name="ze7b3704259ab485fa1510b5a634cd714"/>
      <w:bookmarkStart w:id="43" w:name="ze7b3704259ab485fa1510b5a634cd714"/>
      <w:bookmarkEnd w:id="43"/>
    </w:p>
    <w:tbl>
      <w:tblPr>
        <w:tblW w:w="1743" w:type="dxa"/>
        <w:jc w:val="left"/>
        <w:tblInd w:w="0" w:type="dxa"/>
        <w:tblLayout w:type="fixed"/>
        <w:tblCellMar>
          <w:top w:w="0" w:type="dxa"/>
          <w:left w:w="0" w:type="dxa"/>
          <w:bottom w:w="0" w:type="dxa"/>
          <w:right w:w="0" w:type="dxa"/>
        </w:tblCellMar>
      </w:tblPr>
      <w:tblGrid>
        <w:gridCol w:w="38"/>
        <w:gridCol w:w="245"/>
        <w:gridCol w:w="146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bookmarkStart w:id="44" w:name="z_bookmark0"/>
            <w:bookmarkEnd w:id="44"/>
            <w:r>
              <w:rPr>
                <w:rFonts w:ascii="Arial" w:hAnsi="Arial"/>
                <w:sz w:val="20"/>
              </w:rPr>
              <w:t>(a)</w:t>
            </w:r>
          </w:p>
        </w:tc>
        <w:tc>
          <w:tcPr>
            <w:tcW w:w="1460" w:type="dxa"/>
            <w:tcBorders/>
            <w:vAlign w:val="center"/>
          </w:tcPr>
          <w:p>
            <w:pPr>
              <w:pStyle w:val="TableContents"/>
              <w:bidi w:val="0"/>
              <w:spacing w:before="0" w:after="0"/>
              <w:jc w:val="left"/>
              <w:rPr>
                <w:rFonts w:ascii="Arial" w:hAnsi="Arial"/>
                <w:sz w:val="20"/>
              </w:rPr>
            </w:pPr>
            <w:r>
              <w:rPr>
                <w:rFonts w:ascii="Arial" w:hAnsi="Arial"/>
                <w:sz w:val="20"/>
              </w:rPr>
              <w:t>the Constitution;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5" w:name="z558da2febb8a4a0cbf90932fa4e7fcc5"/>
      <w:bookmarkStart w:id="46" w:name="z558da2febb8a4a0cbf90932fa4e7fcc5"/>
      <w:bookmarkEnd w:id="46"/>
    </w:p>
    <w:tbl>
      <w:tblPr>
        <w:tblW w:w="2313" w:type="dxa"/>
        <w:jc w:val="left"/>
        <w:tblInd w:w="0" w:type="dxa"/>
        <w:tblLayout w:type="fixed"/>
        <w:tblCellMar>
          <w:top w:w="0" w:type="dxa"/>
          <w:left w:w="0" w:type="dxa"/>
          <w:bottom w:w="0" w:type="dxa"/>
          <w:right w:w="0" w:type="dxa"/>
        </w:tblCellMar>
      </w:tblPr>
      <w:tblGrid>
        <w:gridCol w:w="38"/>
        <w:gridCol w:w="245"/>
        <w:gridCol w:w="203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r>
              <w:rPr>
                <w:rFonts w:ascii="Arial" w:hAnsi="Arial"/>
                <w:sz w:val="20"/>
              </w:rPr>
              <w:t>(b)</w:t>
            </w:r>
          </w:p>
        </w:tc>
        <w:tc>
          <w:tcPr>
            <w:tcW w:w="2030" w:type="dxa"/>
            <w:tcBorders/>
            <w:vAlign w:val="center"/>
          </w:tcPr>
          <w:p>
            <w:pPr>
              <w:pStyle w:val="TableContents"/>
              <w:bidi w:val="0"/>
              <w:spacing w:before="0" w:after="0"/>
              <w:jc w:val="left"/>
              <w:rPr>
                <w:rFonts w:ascii="Arial" w:hAnsi="Arial"/>
                <w:sz w:val="20"/>
              </w:rPr>
            </w:pPr>
            <w:r>
              <w:rPr>
                <w:rFonts w:ascii="Arial" w:hAnsi="Arial"/>
                <w:sz w:val="20"/>
              </w:rPr>
              <w:t>the Merger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7" w:name="za62e8da5adaf46fd97a5a8aba003a3ba"/>
      <w:bookmarkStart w:id="48" w:name="za62e8da5adaf46fd97a5a8aba003a3ba"/>
      <w:bookmarkEnd w:id="48"/>
    </w:p>
    <w:tbl>
      <w:tblPr>
        <w:tblW w:w="2703" w:type="dxa"/>
        <w:jc w:val="left"/>
        <w:tblInd w:w="0" w:type="dxa"/>
        <w:tblLayout w:type="fixed"/>
        <w:tblCellMar>
          <w:top w:w="0" w:type="dxa"/>
          <w:left w:w="0" w:type="dxa"/>
          <w:bottom w:w="0" w:type="dxa"/>
          <w:right w:w="0" w:type="dxa"/>
        </w:tblCellMar>
      </w:tblPr>
      <w:tblGrid>
        <w:gridCol w:w="38"/>
        <w:gridCol w:w="245"/>
        <w:gridCol w:w="242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r>
              <w:rPr>
                <w:rFonts w:ascii="Arial" w:hAnsi="Arial"/>
                <w:sz w:val="20"/>
              </w:rPr>
              <w:t>(c)</w:t>
            </w:r>
          </w:p>
        </w:tc>
        <w:tc>
          <w:tcPr>
            <w:tcW w:w="2420" w:type="dxa"/>
            <w:tcBorders/>
            <w:vAlign w:val="center"/>
          </w:tcPr>
          <w:p>
            <w:pPr>
              <w:pStyle w:val="TableContents"/>
              <w:bidi w:val="0"/>
              <w:spacing w:before="0" w:after="0"/>
              <w:jc w:val="left"/>
              <w:rPr>
                <w:rFonts w:ascii="Arial" w:hAnsi="Arial"/>
                <w:sz w:val="20"/>
              </w:rPr>
            </w:pPr>
            <w:r>
              <w:rPr>
                <w:rFonts w:ascii="Arial" w:hAnsi="Arial"/>
                <w:sz w:val="20"/>
              </w:rPr>
              <w:t>the Registration Statement;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9" w:name="zfdbce07fd8354fecb609b180f9f88e74"/>
      <w:bookmarkStart w:id="50" w:name="zfdbce07fd8354fecb609b180f9f88e74"/>
      <w:bookmarkEnd w:id="50"/>
    </w:p>
    <w:tbl>
      <w:tblPr>
        <w:tblW w:w="1878" w:type="dxa"/>
        <w:jc w:val="left"/>
        <w:tblInd w:w="0" w:type="dxa"/>
        <w:tblLayout w:type="fixed"/>
        <w:tblCellMar>
          <w:top w:w="0" w:type="dxa"/>
          <w:left w:w="0" w:type="dxa"/>
          <w:bottom w:w="0" w:type="dxa"/>
          <w:right w:w="0" w:type="dxa"/>
        </w:tblCellMar>
      </w:tblPr>
      <w:tblGrid>
        <w:gridCol w:w="38"/>
        <w:gridCol w:w="245"/>
        <w:gridCol w:w="159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r>
              <w:rPr>
                <w:rFonts w:ascii="Arial" w:hAnsi="Arial"/>
                <w:sz w:val="20"/>
              </w:rPr>
              <w:t>(d)</w:t>
            </w:r>
          </w:p>
        </w:tc>
        <w:tc>
          <w:tcPr>
            <w:tcW w:w="1595" w:type="dxa"/>
            <w:tcBorders/>
            <w:vAlign w:val="center"/>
          </w:tcPr>
          <w:p>
            <w:pPr>
              <w:pStyle w:val="TableContents"/>
              <w:bidi w:val="0"/>
              <w:spacing w:before="0" w:after="0"/>
              <w:jc w:val="left"/>
              <w:rPr>
                <w:rFonts w:ascii="Arial" w:hAnsi="Arial"/>
                <w:sz w:val="20"/>
              </w:rPr>
            </w:pPr>
            <w:r>
              <w:rPr>
                <w:rFonts w:ascii="Arial" w:hAnsi="Arial"/>
                <w:sz w:val="20"/>
              </w:rPr>
              <w:t>Base Prospectus;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1" w:name="ze292e881a6504272b6567d954f6336f0"/>
      <w:bookmarkStart w:id="52" w:name="ze292e881a6504272b6567d954f6336f0"/>
      <w:bookmarkEnd w:id="52"/>
    </w:p>
    <w:tbl>
      <w:tblPr>
        <w:tblW w:w="2838" w:type="dxa"/>
        <w:jc w:val="left"/>
        <w:tblInd w:w="0" w:type="dxa"/>
        <w:tblLayout w:type="fixed"/>
        <w:tblCellMar>
          <w:top w:w="0" w:type="dxa"/>
          <w:left w:w="0" w:type="dxa"/>
          <w:bottom w:w="0" w:type="dxa"/>
          <w:right w:w="0" w:type="dxa"/>
        </w:tblCellMar>
      </w:tblPr>
      <w:tblGrid>
        <w:gridCol w:w="38"/>
        <w:gridCol w:w="245"/>
        <w:gridCol w:w="255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r>
              <w:rPr>
                <w:rFonts w:ascii="Arial" w:hAnsi="Arial"/>
                <w:sz w:val="20"/>
              </w:rPr>
              <w:t>(e)</w:t>
            </w:r>
          </w:p>
        </w:tc>
        <w:tc>
          <w:tcPr>
            <w:tcW w:w="2555" w:type="dxa"/>
            <w:tcBorders/>
            <w:vAlign w:val="center"/>
          </w:tcPr>
          <w:p>
            <w:pPr>
              <w:pStyle w:val="TableContents"/>
              <w:bidi w:val="0"/>
              <w:spacing w:before="0" w:after="0"/>
              <w:jc w:val="left"/>
              <w:rPr>
                <w:rFonts w:ascii="Arial" w:hAnsi="Arial"/>
                <w:sz w:val="20"/>
              </w:rPr>
            </w:pPr>
            <w:r>
              <w:rPr>
                <w:rFonts w:ascii="Arial" w:hAnsi="Arial"/>
                <w:sz w:val="20"/>
              </w:rPr>
              <w:t>Prospectus Supplement;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3" w:name="z6469810b406743508631046c58690ccb"/>
      <w:bookmarkStart w:id="54" w:name="z6469810b406743508631046c58690ccb"/>
      <w:bookmarkEnd w:id="54"/>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pPr>
            <w:r>
              <w:rPr/>
            </w:r>
          </w:p>
        </w:tc>
        <w:tc>
          <w:tcPr>
            <w:tcW w:w="175" w:type="dxa"/>
            <w:tcBorders/>
            <w:vAlign w:val="center"/>
          </w:tcPr>
          <w:p>
            <w:pPr>
              <w:pStyle w:val="TableContents"/>
              <w:bidi w:val="0"/>
              <w:spacing w:before="0" w:after="283"/>
              <w:jc w:val="left"/>
              <w:rPr>
                <w:rFonts w:ascii="Arial" w:hAnsi="Arial"/>
                <w:sz w:val="20"/>
              </w:rPr>
            </w:pPr>
            <w:bookmarkStart w:id="55" w:name="z_bookmark1"/>
            <w:bookmarkEnd w:id="55"/>
            <w:r>
              <w:rPr>
                <w:rFonts w:ascii="Arial" w:hAnsi="Arial"/>
                <w:sz w:val="20"/>
              </w:rPr>
              <w:t>(f)</w:t>
            </w:r>
          </w:p>
        </w:tc>
        <w:tc>
          <w:tcPr>
            <w:tcW w:w="9992" w:type="dxa"/>
            <w:tcBorders/>
            <w:vAlign w:val="center"/>
          </w:tcPr>
          <w:p>
            <w:pPr>
              <w:pStyle w:val="TableContents"/>
              <w:bidi w:val="0"/>
              <w:spacing w:before="0" w:after="0"/>
              <w:jc w:val="left"/>
              <w:rPr>
                <w:rFonts w:ascii="Arial" w:hAnsi="Arial"/>
                <w:sz w:val="20"/>
              </w:rPr>
            </w:pPr>
            <w:r>
              <w:rPr>
                <w:rFonts w:ascii="Arial" w:hAnsi="Arial"/>
                <w:sz w:val="20"/>
              </w:rPr>
              <w:t>a certificate of the secretary of the Company, with the attachments referred to therein, including certified copies of circulating resolutions passed by the board of directors of the Company.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6" w:name="z78c45dd595a6426ba44c0e429220db65"/>
      <w:bookmarkStart w:id="57" w:name="z78c45dd595a6426ba44c0e429220db65"/>
      <w:bookmarkEnd w:id="57"/>
    </w:p>
    <w:tbl>
      <w:tblPr>
        <w:tblW w:w="1120" w:type="dxa"/>
        <w:jc w:val="left"/>
        <w:tblInd w:w="0" w:type="dxa"/>
        <w:tblLayout w:type="fixed"/>
        <w:tblCellMar>
          <w:top w:w="0" w:type="dxa"/>
          <w:left w:w="0" w:type="dxa"/>
          <w:bottom w:w="0" w:type="dxa"/>
          <w:right w:w="0" w:type="dxa"/>
        </w:tblCellMar>
      </w:tblPr>
      <w:tblGrid>
        <w:gridCol w:w="200"/>
        <w:gridCol w:w="920"/>
      </w:tblGrid>
      <w:tr>
        <w:trPr/>
        <w:tc>
          <w:tcPr>
            <w:tcW w:w="200" w:type="dxa"/>
            <w:tcBorders/>
            <w:vAlign w:val="center"/>
          </w:tcPr>
          <w:p>
            <w:pPr>
              <w:pStyle w:val="TableContents"/>
              <w:bidi w:val="0"/>
              <w:spacing w:before="0" w:after="283"/>
              <w:jc w:val="left"/>
              <w:rPr>
                <w:rFonts w:ascii="Arial" w:hAnsi="Arial"/>
                <w:b/>
                <w:color w:val="0073BF"/>
                <w:sz w:val="28"/>
              </w:rPr>
            </w:pPr>
            <w:r>
              <w:rPr>
                <w:rFonts w:ascii="Arial" w:hAnsi="Arial"/>
                <w:b/>
                <w:color w:val="0073BF"/>
                <w:sz w:val="28"/>
              </w:rPr>
              <w:t>3</w:t>
            </w:r>
          </w:p>
        </w:tc>
        <w:tc>
          <w:tcPr>
            <w:tcW w:w="920" w:type="dxa"/>
            <w:tcBorders/>
            <w:vAlign w:val="center"/>
          </w:tcPr>
          <w:p>
            <w:pPr>
              <w:pStyle w:val="TableContents"/>
              <w:bidi w:val="0"/>
              <w:spacing w:before="0" w:after="0"/>
              <w:jc w:val="left"/>
              <w:rPr>
                <w:rFonts w:ascii="Arial" w:hAnsi="Arial"/>
                <w:b/>
                <w:color w:val="0073BF"/>
                <w:sz w:val="28"/>
              </w:rPr>
            </w:pPr>
            <w:r>
              <w:rPr>
                <w:rFonts w:ascii="Arial" w:hAnsi="Arial"/>
                <w:b/>
                <w:color w:val="0073BF"/>
                <w:sz w:val="28"/>
              </w:rPr>
              <w:t>Scope</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Arial" w:hAnsi="Arial"/>
          <w:color w:val="000000"/>
          <w:sz w:val="20"/>
        </w:rPr>
      </w:pPr>
      <w:r>
        <w:rPr>
          <w:rFonts w:ascii="Arial" w:hAnsi="Arial"/>
          <w:color w:val="000000"/>
          <w:sz w:val="20"/>
        </w:rPr>
        <w:t>This Opinion relates only to the laws of the Relevant Jurisdictions, as interpreted by courts of the Relevant Jurisdictions, at 9.00am (Sydney, Australia time) on the date of this Opinion.</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left"/>
        <w:rPr>
          <w:rFonts w:ascii="Arial" w:hAnsi="Arial"/>
          <w:color w:val="000000"/>
          <w:sz w:val="20"/>
        </w:rPr>
      </w:pPr>
      <w:r>
        <w:rPr>
          <w:rFonts w:ascii="Arial" w:hAnsi="Arial"/>
          <w:color w:val="000000"/>
          <w:sz w:val="20"/>
        </w:rPr>
        <w:t>This Opinion is given on the basis that it will be construed in accordance with the laws of New South Wales, Australia. Anyone relying on this Opinion agrees that this Opinion and all matters (including any liability) arising in any way from it are to be governed by the laws of New South Wales and will be subject to the non-exclusive jurisdiction of the courts of New South Wales.</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left"/>
        <w:rPr>
          <w:rFonts w:ascii="Arial" w:hAnsi="Arial"/>
          <w:color w:val="000000"/>
          <w:sz w:val="20"/>
        </w:rPr>
      </w:pPr>
      <w:r>
        <w:rPr>
          <w:rFonts w:ascii="Arial" w:hAnsi="Arial"/>
          <w:color w:val="000000"/>
          <w:sz w:val="20"/>
        </w:rPr>
        <w:t>We have not reviewed any documents other than the Documents listed in Section 2 for the purposes of this Opinion, and this Opinion does not purport to address any legal issues that arise in relation to such other documents that may be or come into force, even if there is a reference to any such documents in the Documents or on the impact such documents may have on the opinions expressed in this Opinion.</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left"/>
        <w:rPr>
          <w:rFonts w:ascii="Arial" w:hAnsi="Arial"/>
          <w:color w:val="000000"/>
          <w:sz w:val="20"/>
        </w:rPr>
      </w:pPr>
      <w:r>
        <w:rPr>
          <w:rFonts w:ascii="Arial" w:hAnsi="Arial"/>
          <w:color w:val="000000"/>
          <w:sz w:val="20"/>
        </w:rPr>
        <w:t>We have not considered and do not opine on the Registration Statement or/and any securities law disclosure requirements, other than as expressly stated herein with respect to the issue of the Shares.</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both"/>
        <w:rPr>
          <w:rFonts w:ascii="Arial" w:hAnsi="Arial"/>
          <w:color w:val="000000"/>
          <w:sz w:val="20"/>
        </w:rPr>
      </w:pPr>
      <w:r>
        <w:rPr>
          <w:rFonts w:ascii="Arial" w:hAnsi="Arial"/>
          <w:color w:val="000000"/>
          <w:sz w:val="20"/>
        </w:rPr>
        <w:t>We express no opinion as to any taxation matters or transfer pricing matters generally or liability to tax which may arise or be suffered as a result of or in connection with the Merger Agreement or on the impact which any tax laws may have on the opinions expressed in this Opinion.</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both"/>
        <w:rPr>
          <w:rFonts w:ascii="Arial" w:hAnsi="Arial"/>
          <w:color w:val="000000"/>
          <w:sz w:val="20"/>
        </w:rPr>
      </w:pPr>
      <w:r>
        <w:rPr>
          <w:rFonts w:ascii="Arial" w:hAnsi="Arial"/>
          <w:color w:val="000000"/>
          <w:sz w:val="20"/>
        </w:rPr>
        <w:t>We express no opinion on any applicable licensing or similar requirements.</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left"/>
        <w:rPr>
          <w:rFonts w:ascii="Arial" w:hAnsi="Arial"/>
          <w:color w:val="000000"/>
          <w:sz w:val="20"/>
        </w:rPr>
      </w:pPr>
      <w:r>
        <w:rPr>
          <w:rFonts w:ascii="Arial" w:hAnsi="Arial"/>
          <w:color w:val="000000"/>
          <w:sz w:val="20"/>
        </w:rPr>
        <w:t>This Opinion does not contain any undertaking to update it or to inform the Company of any changes in the laws of the Relevant Jurisdictions or any other laws which would affect the content thereof in any manner.</w:t>
      </w:r>
    </w:p>
    <w:p>
      <w:pPr>
        <w:pStyle w:val="TextBody"/>
        <w:bidi w:val="0"/>
        <w:spacing w:before="0" w:after="0"/>
        <w:jc w:val="left"/>
        <w:rPr>
          <w:color w:val="000000"/>
        </w:rPr>
      </w:pPr>
      <w:r>
        <w:rPr>
          <w:color w:val="000000"/>
        </w:rPr>
        <w:t> </w:t>
      </w:r>
    </w:p>
    <w:tbl>
      <w:tblPr>
        <w:tblW w:w="515" w:type="dxa"/>
        <w:jc w:val="left"/>
        <w:tblInd w:w="0" w:type="dxa"/>
        <w:tblLayout w:type="fixed"/>
        <w:tblCellMar>
          <w:top w:w="28" w:type="dxa"/>
          <w:left w:w="0" w:type="dxa"/>
          <w:bottom w:w="0" w:type="dxa"/>
          <w:right w:w="0" w:type="dxa"/>
        </w:tblCellMar>
      </w:tblPr>
      <w:tblGrid>
        <w:gridCol w:w="515"/>
      </w:tblGrid>
      <w:tr>
        <w:trPr/>
        <w:tc>
          <w:tcPr>
            <w:tcW w:w="515" w:type="dxa"/>
            <w:tcBorders>
              <w:top w:val="single" w:sz="2" w:space="0" w:color="000000"/>
            </w:tcBorders>
            <w:vAlign w:val="center"/>
          </w:tcPr>
          <w:p>
            <w:pPr>
              <w:pStyle w:val="TableContents"/>
              <w:bidi w:val="0"/>
              <w:spacing w:before="0" w:after="283"/>
              <w:jc w:val="right"/>
              <w:rPr>
                <w:rFonts w:ascii="Arial" w:hAnsi="Arial"/>
                <w:sz w:val="16"/>
              </w:rPr>
            </w:pPr>
            <w:r>
              <w:rPr>
                <w:rFonts w:ascii="Arial" w:hAnsi="Arial"/>
                <w:sz w:val="16"/>
              </w:rPr>
              <w:t>page 2</w:t>
            </w:r>
          </w:p>
        </w:tc>
      </w:tr>
    </w:tbl>
    <w:p>
      <w:pPr>
        <w:pStyle w:val="HorizontalLine"/>
        <w:pBdr>
          <w:bottom w:val="single" w:sz="12" w:space="0" w:color="808080"/>
        </w:pBdr>
        <w:bidi w:val="0"/>
        <w:spacing w:before="200" w:after="200"/>
        <w:jc w:val="left"/>
        <w:rPr/>
      </w:pPr>
      <w:r>
        <w:rPr/>
      </w:r>
    </w:p>
    <w:p>
      <w:pPr>
        <w:pStyle w:val="TextBody"/>
        <w:bidi w:val="0"/>
        <w:spacing w:before="0" w:after="0"/>
        <w:jc w:val="right"/>
        <w:rPr>
          <w:color w:val="000000"/>
        </w:rPr>
      </w:pPr>
      <w:r>
        <w:rPr>
          <w:color w:val="000000"/>
        </w:rPr>
        <w:drawing>
          <wp:inline distT="0" distB="0" distL="0" distR="0">
            <wp:extent cx="1314450"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14450" cy="342900"/>
                    </a:xfrm>
                    <a:prstGeom prst="rect">
                      <a:avLst/>
                    </a:prstGeom>
                  </pic:spPr>
                </pic:pic>
              </a:graphicData>
            </a:graphic>
          </wp:inline>
        </w:drawing>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z325ce0142fa347aa992db7f38510b3ab"/>
      <w:bookmarkStart w:id="59" w:name="z325ce0142fa347aa992db7f38510b3ab"/>
      <w:bookmarkEnd w:id="59"/>
    </w:p>
    <w:tbl>
      <w:tblPr>
        <w:tblW w:w="1540" w:type="dxa"/>
        <w:jc w:val="left"/>
        <w:tblInd w:w="0" w:type="dxa"/>
        <w:tblLayout w:type="fixed"/>
        <w:tblCellMar>
          <w:top w:w="0" w:type="dxa"/>
          <w:left w:w="0" w:type="dxa"/>
          <w:bottom w:w="0" w:type="dxa"/>
          <w:right w:w="0" w:type="dxa"/>
        </w:tblCellMar>
      </w:tblPr>
      <w:tblGrid>
        <w:gridCol w:w="200"/>
        <w:gridCol w:w="1340"/>
      </w:tblGrid>
      <w:tr>
        <w:trPr/>
        <w:tc>
          <w:tcPr>
            <w:tcW w:w="200" w:type="dxa"/>
            <w:tcBorders/>
            <w:vAlign w:val="center"/>
          </w:tcPr>
          <w:p>
            <w:pPr>
              <w:pStyle w:val="TableContents"/>
              <w:bidi w:val="0"/>
              <w:spacing w:before="0" w:after="283"/>
              <w:jc w:val="left"/>
              <w:rPr>
                <w:rFonts w:ascii="Arial" w:hAnsi="Arial"/>
                <w:b/>
                <w:color w:val="0073BF"/>
                <w:sz w:val="28"/>
              </w:rPr>
            </w:pPr>
            <w:r>
              <w:rPr>
                <w:rFonts w:ascii="Arial" w:hAnsi="Arial"/>
                <w:b/>
                <w:color w:val="0073BF"/>
                <w:sz w:val="28"/>
              </w:rPr>
              <w:t>4</w:t>
            </w:r>
          </w:p>
        </w:tc>
        <w:tc>
          <w:tcPr>
            <w:tcW w:w="1340" w:type="dxa"/>
            <w:tcBorders/>
            <w:vAlign w:val="center"/>
          </w:tcPr>
          <w:p>
            <w:pPr>
              <w:pStyle w:val="TableContents"/>
              <w:bidi w:val="0"/>
              <w:spacing w:before="0" w:after="0"/>
              <w:jc w:val="left"/>
              <w:rPr>
                <w:rFonts w:ascii="Arial" w:hAnsi="Arial"/>
                <w:b/>
                <w:color w:val="0073BF"/>
                <w:sz w:val="28"/>
              </w:rPr>
            </w:pPr>
            <w:r>
              <w:rPr>
                <w:rFonts w:ascii="Arial" w:hAnsi="Arial"/>
                <w:b/>
                <w:color w:val="0073BF"/>
                <w:sz w:val="28"/>
              </w:rPr>
              <w:t>Searches</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Arial" w:hAnsi="Arial"/>
          <w:color w:val="000000"/>
          <w:sz w:val="20"/>
        </w:rPr>
      </w:pPr>
      <w:r>
        <w:rPr>
          <w:rFonts w:ascii="Arial" w:hAnsi="Arial"/>
          <w:color w:val="000000"/>
          <w:sz w:val="20"/>
        </w:rPr>
        <w:t>We have relied on the following.</w:t>
      </w:r>
    </w:p>
    <w:p>
      <w:pPr>
        <w:pStyle w:val="TextBody"/>
        <w:bidi w:val="0"/>
        <w:spacing w:before="0" w:after="0"/>
        <w:jc w:val="left"/>
        <w:rPr>
          <w:rFonts w:ascii="Arial" w:hAnsi="Arial"/>
          <w:sz w:val="20"/>
        </w:rPr>
      </w:pPr>
      <w:r>
        <w:rPr>
          <w:rFonts w:ascii="Arial" w:hAnsi="Arial"/>
          <w:sz w:val="20"/>
        </w:rPr>
      </w:r>
    </w:p>
    <w:p>
      <w:pPr>
        <w:pStyle w:val="Normal"/>
        <w:bidi w:val="0"/>
        <w:spacing w:before="0" w:after="0"/>
        <w:jc w:val="left"/>
        <w:rPr>
          <w:sz w:val="4"/>
          <w:szCs w:val="4"/>
        </w:rPr>
      </w:pPr>
      <w:r>
        <w:rPr>
          <w:sz w:val="4"/>
          <w:szCs w:val="4"/>
        </w:rPr>
      </w:r>
      <w:bookmarkStart w:id="60" w:name="z58033e124261491f8ce62f77540387f6"/>
      <w:bookmarkStart w:id="61" w:name="z58033e124261491f8ce62f77540387f6"/>
      <w:bookmarkEnd w:id="61"/>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pPr>
            <w:r>
              <w:rPr/>
            </w:r>
          </w:p>
        </w:tc>
        <w:tc>
          <w:tcPr>
            <w:tcW w:w="241" w:type="dxa"/>
            <w:tcBorders/>
            <w:vAlign w:val="center"/>
          </w:tcPr>
          <w:p>
            <w:pPr>
              <w:pStyle w:val="TableContents"/>
              <w:bidi w:val="0"/>
              <w:spacing w:before="0" w:after="283"/>
              <w:jc w:val="left"/>
              <w:rPr>
                <w:rFonts w:ascii="Arial" w:hAnsi="Arial"/>
                <w:sz w:val="20"/>
              </w:rPr>
            </w:pPr>
            <w:r>
              <w:rPr>
                <w:rFonts w:ascii="Arial" w:hAnsi="Arial"/>
                <w:sz w:val="20"/>
              </w:rPr>
              <w:t>(a)</w:t>
            </w:r>
          </w:p>
        </w:tc>
        <w:tc>
          <w:tcPr>
            <w:tcW w:w="9926" w:type="dxa"/>
            <w:tcBorders/>
            <w:vAlign w:val="center"/>
          </w:tcPr>
          <w:p>
            <w:pPr>
              <w:pStyle w:val="TableContents"/>
              <w:bidi w:val="0"/>
              <w:spacing w:before="0" w:after="0"/>
              <w:jc w:val="left"/>
              <w:rPr>
                <w:rFonts w:ascii="Arial" w:hAnsi="Arial"/>
                <w:sz w:val="20"/>
              </w:rPr>
            </w:pPr>
            <w:r>
              <w:rPr>
                <w:rFonts w:ascii="Arial" w:hAnsi="Arial"/>
                <w:sz w:val="20"/>
              </w:rPr>
              <w:t>An extract of the public records of the Company produced by ASIC on 4 August 2026 at 8:47am Sydney, Australia time.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 w:name="z37517aca7c974edfbf9775f05e4eb6e4"/>
      <w:bookmarkStart w:id="63" w:name="z37517aca7c974edfbf9775f05e4eb6e4"/>
      <w:bookmarkEnd w:id="63"/>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pPr>
            <w:r>
              <w:rPr/>
            </w:r>
          </w:p>
        </w:tc>
        <w:tc>
          <w:tcPr>
            <w:tcW w:w="231" w:type="dxa"/>
            <w:tcBorders/>
            <w:vAlign w:val="center"/>
          </w:tcPr>
          <w:p>
            <w:pPr>
              <w:pStyle w:val="TableContents"/>
              <w:bidi w:val="0"/>
              <w:spacing w:before="0" w:after="283"/>
              <w:jc w:val="left"/>
              <w:rPr>
                <w:rFonts w:ascii="Arial" w:hAnsi="Arial"/>
                <w:sz w:val="20"/>
              </w:rPr>
            </w:pPr>
            <w:r>
              <w:rPr>
                <w:rFonts w:ascii="Arial" w:hAnsi="Arial"/>
                <w:sz w:val="20"/>
              </w:rPr>
              <w:t>(b)</w:t>
            </w:r>
          </w:p>
        </w:tc>
        <w:tc>
          <w:tcPr>
            <w:tcW w:w="9936" w:type="dxa"/>
            <w:tcBorders/>
            <w:vAlign w:val="center"/>
          </w:tcPr>
          <w:p>
            <w:pPr>
              <w:pStyle w:val="TableContents"/>
              <w:bidi w:val="0"/>
              <w:spacing w:before="0" w:after="0"/>
              <w:jc w:val="left"/>
              <w:rPr>
                <w:rFonts w:ascii="Arial" w:hAnsi="Arial"/>
                <w:sz w:val="20"/>
              </w:rPr>
            </w:pPr>
            <w:r>
              <w:rPr>
                <w:rFonts w:ascii="Arial" w:hAnsi="Arial"/>
                <w:sz w:val="20"/>
              </w:rPr>
              <w:t>A search of the insolvency notices website maintained by ASIC in respect of the Company on 4 August 2026 at 8:52am Sydney, Australia time.</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Arial" w:hAnsi="Arial"/>
          <w:color w:val="000000"/>
          <w:sz w:val="20"/>
        </w:rPr>
      </w:pPr>
      <w:r>
        <w:rPr>
          <w:rFonts w:ascii="Arial" w:hAnsi="Arial"/>
          <w:color w:val="000000"/>
          <w:sz w:val="20"/>
        </w:rPr>
        <w:t>We have assumed that the extracts produced by ASIC are the same as information provided by the Company to ASIC. We have not examined any documents that the Company may have filed with ASIC. The information in the extracts, or produced by the searches, may not be correct, complete or up to date.</w:t>
      </w:r>
    </w:p>
    <w:p>
      <w:pPr>
        <w:pStyle w:val="TextBody"/>
        <w:bidi w:val="0"/>
        <w:spacing w:before="0" w:after="0"/>
        <w:ind w:left="720" w:right="0" w:hanging="0"/>
        <w:jc w:val="left"/>
        <w:rPr>
          <w:color w:val="000000"/>
        </w:rPr>
      </w:pPr>
      <w:r>
        <w:rPr>
          <w:color w:val="000000"/>
        </w:rPr>
        <w:t> </w:t>
      </w:r>
    </w:p>
    <w:p>
      <w:pPr>
        <w:pStyle w:val="TextBody"/>
        <w:bidi w:val="0"/>
        <w:spacing w:before="0" w:after="0"/>
        <w:ind w:left="720" w:right="0" w:hanging="0"/>
        <w:jc w:val="left"/>
        <w:rPr>
          <w:rFonts w:ascii="Arial" w:hAnsi="Arial"/>
          <w:color w:val="000000"/>
          <w:sz w:val="20"/>
        </w:rPr>
      </w:pPr>
      <w:r>
        <w:rPr>
          <w:rFonts w:ascii="Arial" w:hAnsi="Arial"/>
          <w:color w:val="000000"/>
          <w:sz w:val="20"/>
        </w:rPr>
        <w:t>We have not conducted any other searches or investigations for the purposes of this opinion.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 w:name="z4a068bbb067441619bd1f8837f7f577a"/>
      <w:bookmarkStart w:id="65" w:name="z4a068bbb067441619bd1f8837f7f577a"/>
      <w:bookmarkEnd w:id="65"/>
    </w:p>
    <w:tbl>
      <w:tblPr>
        <w:tblW w:w="1330" w:type="dxa"/>
        <w:jc w:val="left"/>
        <w:tblInd w:w="0" w:type="dxa"/>
        <w:tblLayout w:type="fixed"/>
        <w:tblCellMar>
          <w:top w:w="0" w:type="dxa"/>
          <w:left w:w="0" w:type="dxa"/>
          <w:bottom w:w="0" w:type="dxa"/>
          <w:right w:w="0" w:type="dxa"/>
        </w:tblCellMar>
      </w:tblPr>
      <w:tblGrid>
        <w:gridCol w:w="200"/>
        <w:gridCol w:w="1130"/>
      </w:tblGrid>
      <w:tr>
        <w:trPr/>
        <w:tc>
          <w:tcPr>
            <w:tcW w:w="200" w:type="dxa"/>
            <w:tcBorders/>
            <w:vAlign w:val="center"/>
          </w:tcPr>
          <w:p>
            <w:pPr>
              <w:pStyle w:val="TableContents"/>
              <w:bidi w:val="0"/>
              <w:spacing w:before="0" w:after="283"/>
              <w:jc w:val="left"/>
              <w:rPr>
                <w:rFonts w:ascii="Arial" w:hAnsi="Arial"/>
                <w:b/>
                <w:color w:val="0073BF"/>
                <w:sz w:val="28"/>
              </w:rPr>
            </w:pPr>
            <w:r>
              <w:rPr>
                <w:rFonts w:ascii="Arial" w:hAnsi="Arial"/>
                <w:b/>
                <w:color w:val="0073BF"/>
                <w:sz w:val="28"/>
              </w:rPr>
              <w:t>5</w:t>
            </w:r>
          </w:p>
        </w:tc>
        <w:tc>
          <w:tcPr>
            <w:tcW w:w="1130" w:type="dxa"/>
            <w:tcBorders/>
            <w:vAlign w:val="center"/>
          </w:tcPr>
          <w:p>
            <w:pPr>
              <w:pStyle w:val="TableContents"/>
              <w:bidi w:val="0"/>
              <w:spacing w:before="0" w:after="0"/>
              <w:jc w:val="left"/>
              <w:rPr>
                <w:rFonts w:ascii="Arial" w:hAnsi="Arial"/>
                <w:b/>
                <w:color w:val="0073BF"/>
                <w:sz w:val="28"/>
              </w:rPr>
            </w:pPr>
            <w:r>
              <w:rPr>
                <w:rFonts w:ascii="Arial" w:hAnsi="Arial"/>
                <w:b/>
                <w:color w:val="0073BF"/>
                <w:sz w:val="28"/>
              </w:rPr>
              <w:t>Opinion</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Arial" w:hAnsi="Arial"/>
          <w:color w:val="000000"/>
          <w:sz w:val="20"/>
        </w:rPr>
      </w:pPr>
      <w:r>
        <w:rPr>
          <w:rFonts w:ascii="Arial" w:hAnsi="Arial"/>
          <w:color w:val="000000"/>
          <w:sz w:val="20"/>
        </w:rPr>
        <w:t>Our opinion is as follows, subject to the assumptions in Schedule 1:</w:t>
      </w:r>
    </w:p>
    <w:p>
      <w:pPr>
        <w:pStyle w:val="TextBody"/>
        <w:bidi w:val="0"/>
        <w:spacing w:before="0" w:after="0"/>
        <w:jc w:val="left"/>
        <w:rPr>
          <w:rFonts w:ascii="Arial" w:hAnsi="Arial"/>
          <w:sz w:val="20"/>
        </w:rPr>
      </w:pPr>
      <w:r>
        <w:rPr>
          <w:rFonts w:ascii="Arial" w:hAnsi="Arial"/>
          <w:sz w:val="20"/>
        </w:rPr>
      </w:r>
    </w:p>
    <w:p>
      <w:pPr>
        <w:pStyle w:val="Normal"/>
        <w:bidi w:val="0"/>
        <w:spacing w:before="0" w:after="0"/>
        <w:jc w:val="left"/>
        <w:rPr>
          <w:sz w:val="4"/>
          <w:szCs w:val="4"/>
        </w:rPr>
      </w:pPr>
      <w:r>
        <w:rPr>
          <w:sz w:val="4"/>
          <w:szCs w:val="4"/>
        </w:rPr>
      </w:r>
      <w:bookmarkStart w:id="66" w:name="z796713342a3145088b5856eae809d590"/>
      <w:bookmarkStart w:id="67" w:name="z796713342a3145088b5856eae809d590"/>
      <w:bookmarkEnd w:id="67"/>
    </w:p>
    <w:tbl>
      <w:tblPr>
        <w:tblW w:w="4698" w:type="dxa"/>
        <w:jc w:val="left"/>
        <w:tblInd w:w="0" w:type="dxa"/>
        <w:tblLayout w:type="fixed"/>
        <w:tblCellMar>
          <w:top w:w="0" w:type="dxa"/>
          <w:left w:w="0" w:type="dxa"/>
          <w:bottom w:w="0" w:type="dxa"/>
          <w:right w:w="0" w:type="dxa"/>
        </w:tblCellMar>
      </w:tblPr>
      <w:tblGrid>
        <w:gridCol w:w="38"/>
        <w:gridCol w:w="245"/>
        <w:gridCol w:w="441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r>
              <w:rPr>
                <w:rFonts w:ascii="Arial" w:hAnsi="Arial"/>
                <w:sz w:val="20"/>
              </w:rPr>
              <w:t>(a)</w:t>
            </w:r>
          </w:p>
        </w:tc>
        <w:tc>
          <w:tcPr>
            <w:tcW w:w="4415" w:type="dxa"/>
            <w:tcBorders/>
            <w:vAlign w:val="center"/>
          </w:tcPr>
          <w:p>
            <w:pPr>
              <w:pStyle w:val="TableContents"/>
              <w:bidi w:val="0"/>
              <w:spacing w:before="0" w:after="0"/>
              <w:jc w:val="left"/>
              <w:rPr>
                <w:rFonts w:ascii="Arial" w:hAnsi="Arial"/>
                <w:sz w:val="20"/>
              </w:rPr>
            </w:pPr>
            <w:r>
              <w:rPr>
                <w:rFonts w:ascii="Arial" w:hAnsi="Arial"/>
                <w:sz w:val="20"/>
              </w:rPr>
              <w:t>The Shares have been authorised and if and once: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8" w:name="z19a98a7dad7640afa4e9e9179605d9fd"/>
      <w:bookmarkStart w:id="69" w:name="z19a98a7dad7640afa4e9e9179605d9fd"/>
      <w:bookmarkEnd w:id="69"/>
    </w:p>
    <w:tbl>
      <w:tblPr>
        <w:tblW w:w="9198" w:type="dxa"/>
        <w:jc w:val="left"/>
        <w:tblInd w:w="0" w:type="dxa"/>
        <w:tblLayout w:type="fixed"/>
        <w:tblCellMar>
          <w:top w:w="0" w:type="dxa"/>
          <w:left w:w="0" w:type="dxa"/>
          <w:bottom w:w="0" w:type="dxa"/>
          <w:right w:w="0" w:type="dxa"/>
        </w:tblCellMar>
      </w:tblPr>
      <w:tblGrid>
        <w:gridCol w:w="38"/>
        <w:gridCol w:w="185"/>
        <w:gridCol w:w="8975"/>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rFonts w:ascii="Arial" w:hAnsi="Arial"/>
                <w:sz w:val="20"/>
              </w:rPr>
            </w:pPr>
            <w:r>
              <w:rPr>
                <w:rFonts w:ascii="Arial" w:hAnsi="Arial"/>
                <w:sz w:val="20"/>
              </w:rPr>
              <w:t>(i)</w:t>
            </w:r>
          </w:p>
        </w:tc>
        <w:tc>
          <w:tcPr>
            <w:tcW w:w="8975" w:type="dxa"/>
            <w:tcBorders/>
            <w:vAlign w:val="center"/>
          </w:tcPr>
          <w:p>
            <w:pPr>
              <w:pStyle w:val="TableContents"/>
              <w:bidi w:val="0"/>
              <w:spacing w:before="0" w:after="0"/>
              <w:jc w:val="left"/>
              <w:rPr>
                <w:rFonts w:ascii="Arial" w:hAnsi="Arial"/>
                <w:sz w:val="20"/>
              </w:rPr>
            </w:pPr>
            <w:r>
              <w:rPr>
                <w:rFonts w:ascii="Arial" w:hAnsi="Arial"/>
                <w:sz w:val="20"/>
              </w:rPr>
              <w:t>duly registered on the books of the transfer agent and registrar therefor in the name of Cede &amp; Co.;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 w:name="z8cd9bc4452664aa88668f97cd7b2d669"/>
      <w:bookmarkStart w:id="71" w:name="z8cd9bc4452664aa88668f97cd7b2d669"/>
      <w:bookmarkEnd w:id="71"/>
    </w:p>
    <w:tbl>
      <w:tblPr>
        <w:tblW w:w="6363" w:type="dxa"/>
        <w:jc w:val="left"/>
        <w:tblInd w:w="0" w:type="dxa"/>
        <w:tblLayout w:type="fixed"/>
        <w:tblCellMar>
          <w:top w:w="0" w:type="dxa"/>
          <w:left w:w="0" w:type="dxa"/>
          <w:bottom w:w="0" w:type="dxa"/>
          <w:right w:w="0" w:type="dxa"/>
        </w:tblCellMar>
      </w:tblPr>
      <w:tblGrid>
        <w:gridCol w:w="38"/>
        <w:gridCol w:w="230"/>
        <w:gridCol w:w="609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Arial" w:hAnsi="Arial"/>
                <w:sz w:val="20"/>
              </w:rPr>
            </w:pPr>
            <w:r>
              <w:rPr>
                <w:rFonts w:ascii="Arial" w:hAnsi="Arial"/>
                <w:sz w:val="20"/>
              </w:rPr>
              <w:t>(ii)</w:t>
            </w:r>
          </w:p>
        </w:tc>
        <w:tc>
          <w:tcPr>
            <w:tcW w:w="6095" w:type="dxa"/>
            <w:tcBorders/>
            <w:vAlign w:val="center"/>
          </w:tcPr>
          <w:p>
            <w:pPr>
              <w:pStyle w:val="TableContents"/>
              <w:bidi w:val="0"/>
              <w:spacing w:before="0" w:after="0"/>
              <w:jc w:val="left"/>
              <w:rPr>
                <w:rFonts w:ascii="Arial" w:hAnsi="Arial"/>
                <w:sz w:val="20"/>
              </w:rPr>
            </w:pPr>
            <w:r>
              <w:rPr>
                <w:rFonts w:ascii="Arial" w:hAnsi="Arial"/>
                <w:sz w:val="20"/>
              </w:rPr>
              <w:t>fully paid and issued in accordance with the terms of the Constitution,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z2687271d00504d50b3ac0038f357f4d9"/>
      <w:bookmarkStart w:id="73" w:name="z2687271d00504d50b3ac0038f357f4d9"/>
      <w:bookmarkEnd w:id="73"/>
    </w:p>
    <w:tbl>
      <w:tblPr>
        <w:tblW w:w="6768" w:type="dxa"/>
        <w:jc w:val="left"/>
        <w:tblInd w:w="0" w:type="dxa"/>
        <w:tblLayout w:type="fixed"/>
        <w:tblCellMar>
          <w:top w:w="0" w:type="dxa"/>
          <w:left w:w="0" w:type="dxa"/>
          <w:bottom w:w="0" w:type="dxa"/>
          <w:right w:w="0" w:type="dxa"/>
        </w:tblCellMar>
      </w:tblPr>
      <w:tblGrid>
        <w:gridCol w:w="38"/>
        <w:gridCol w:w="275"/>
        <w:gridCol w:w="645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Arial" w:hAnsi="Arial"/>
                <w:sz w:val="20"/>
              </w:rPr>
            </w:pPr>
            <w:r>
              <w:rPr>
                <w:rFonts w:ascii="Arial" w:hAnsi="Arial"/>
                <w:sz w:val="20"/>
              </w:rPr>
              <w:t>(iii)</w:t>
            </w:r>
          </w:p>
        </w:tc>
        <w:tc>
          <w:tcPr>
            <w:tcW w:w="6455" w:type="dxa"/>
            <w:tcBorders/>
            <w:vAlign w:val="center"/>
          </w:tcPr>
          <w:p>
            <w:pPr>
              <w:pStyle w:val="TableContents"/>
              <w:bidi w:val="0"/>
              <w:spacing w:before="0" w:after="0"/>
              <w:jc w:val="left"/>
              <w:rPr>
                <w:rFonts w:ascii="Arial" w:hAnsi="Arial"/>
                <w:sz w:val="20"/>
              </w:rPr>
            </w:pPr>
            <w:r>
              <w:rPr>
                <w:rFonts w:ascii="Arial" w:hAnsi="Arial"/>
                <w:sz w:val="20"/>
              </w:rPr>
              <w:t>are validly issued, issued as fully paid-up shares and are non-assessable.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4" w:name="z3aae079403be4469b2a445c91997a470"/>
      <w:bookmarkStart w:id="75" w:name="z3aae079403be4469b2a445c91997a470"/>
      <w:bookmarkEnd w:id="75"/>
    </w:p>
    <w:tbl>
      <w:tblPr>
        <w:tblW w:w="1210" w:type="dxa"/>
        <w:jc w:val="left"/>
        <w:tblInd w:w="0" w:type="dxa"/>
        <w:tblLayout w:type="fixed"/>
        <w:tblCellMar>
          <w:top w:w="0" w:type="dxa"/>
          <w:left w:w="0" w:type="dxa"/>
          <w:bottom w:w="0" w:type="dxa"/>
          <w:right w:w="0" w:type="dxa"/>
        </w:tblCellMar>
      </w:tblPr>
      <w:tblGrid>
        <w:gridCol w:w="200"/>
        <w:gridCol w:w="1010"/>
      </w:tblGrid>
      <w:tr>
        <w:trPr/>
        <w:tc>
          <w:tcPr>
            <w:tcW w:w="200" w:type="dxa"/>
            <w:tcBorders/>
            <w:vAlign w:val="center"/>
          </w:tcPr>
          <w:p>
            <w:pPr>
              <w:pStyle w:val="TableContents"/>
              <w:bidi w:val="0"/>
              <w:spacing w:before="0" w:after="283"/>
              <w:jc w:val="left"/>
              <w:rPr>
                <w:rFonts w:ascii="Arial" w:hAnsi="Arial"/>
                <w:b/>
                <w:color w:val="0073BF"/>
                <w:sz w:val="28"/>
              </w:rPr>
            </w:pPr>
            <w:r>
              <w:rPr>
                <w:rFonts w:ascii="Arial" w:hAnsi="Arial"/>
                <w:b/>
                <w:color w:val="0073BF"/>
                <w:sz w:val="28"/>
              </w:rPr>
              <w:t>6</w:t>
            </w:r>
          </w:p>
        </w:tc>
        <w:tc>
          <w:tcPr>
            <w:tcW w:w="1010" w:type="dxa"/>
            <w:tcBorders/>
            <w:vAlign w:val="center"/>
          </w:tcPr>
          <w:p>
            <w:pPr>
              <w:pStyle w:val="TableContents"/>
              <w:bidi w:val="0"/>
              <w:spacing w:before="0" w:after="0"/>
              <w:jc w:val="left"/>
              <w:rPr>
                <w:rFonts w:ascii="Arial" w:hAnsi="Arial"/>
                <w:b/>
                <w:color w:val="0073BF"/>
                <w:sz w:val="28"/>
              </w:rPr>
            </w:pPr>
            <w:r>
              <w:rPr>
                <w:rFonts w:ascii="Arial" w:hAnsi="Arial"/>
                <w:b/>
                <w:color w:val="0073BF"/>
                <w:sz w:val="28"/>
              </w:rPr>
              <w:t>Benefit</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Arial" w:hAnsi="Arial"/>
          <w:color w:val="000000"/>
          <w:sz w:val="20"/>
        </w:rPr>
      </w:pPr>
      <w:r>
        <w:rPr>
          <w:rFonts w:ascii="Arial" w:hAnsi="Arial"/>
          <w:color w:val="000000"/>
          <w:sz w:val="20"/>
        </w:rPr>
        <w:t>We are providing this Opinion in connection with the Documents and the Registration Statement. We hereby consent to the filing of this Opinion as an exhibit to the Registration Statement. In giving such consent, we do not thereby admit that we are in the category of persons whose consent is required under Section 7 of the Securities Act.</w:t>
      </w:r>
    </w:p>
    <w:p>
      <w:pPr>
        <w:pStyle w:val="TextBody"/>
        <w:bidi w:val="0"/>
        <w:spacing w:before="0" w:after="0"/>
        <w:jc w:val="left"/>
        <w:rPr/>
      </w:pPr>
      <w:r>
        <w:rPr/>
      </w:r>
    </w:p>
    <w:p>
      <w:pPr>
        <w:pStyle w:val="TextBody"/>
        <w:bidi w:val="0"/>
        <w:spacing w:before="0" w:after="0"/>
        <w:jc w:val="left"/>
        <w:rPr>
          <w:rFonts w:ascii="Arial" w:hAnsi="Arial"/>
          <w:color w:val="000000"/>
          <w:sz w:val="20"/>
        </w:rPr>
      </w:pPr>
      <w:r>
        <w:rPr>
          <w:rFonts w:ascii="Arial" w:hAnsi="Arial"/>
          <w:color w:val="000000"/>
          <w:sz w:val="20"/>
        </w:rPr>
        <w:t>Yours faithfully</w:t>
      </w:r>
    </w:p>
    <w:p>
      <w:pPr>
        <w:pStyle w:val="TextBody"/>
        <w:bidi w:val="0"/>
        <w:spacing w:before="0" w:after="0"/>
        <w:jc w:val="left"/>
        <w:rPr/>
      </w:pPr>
      <w:r>
        <w:rPr/>
      </w:r>
    </w:p>
    <w:p>
      <w:pPr>
        <w:pStyle w:val="TextBody"/>
        <w:bidi w:val="0"/>
        <w:spacing w:before="0" w:after="0"/>
        <w:jc w:val="left"/>
        <w:rPr>
          <w:rFonts w:ascii="Arial" w:hAnsi="Arial"/>
          <w:b/>
          <w:color w:val="0073BF"/>
          <w:sz w:val="20"/>
        </w:rPr>
      </w:pPr>
      <w:r>
        <w:rPr>
          <w:rFonts w:ascii="Arial" w:hAnsi="Arial"/>
          <w:b/>
          <w:color w:val="0073BF"/>
          <w:sz w:val="20"/>
        </w:rPr>
        <w:t>/s/ Allens</w:t>
      </w:r>
    </w:p>
    <w:p>
      <w:pPr>
        <w:pStyle w:val="TextBody"/>
        <w:bidi w:val="0"/>
        <w:spacing w:before="0" w:after="0"/>
        <w:jc w:val="left"/>
        <w:rPr/>
      </w:pPr>
      <w:r>
        <w:rPr/>
      </w:r>
    </w:p>
    <w:tbl>
      <w:tblPr>
        <w:tblW w:w="515" w:type="dxa"/>
        <w:jc w:val="left"/>
        <w:tblInd w:w="0" w:type="dxa"/>
        <w:tblLayout w:type="fixed"/>
        <w:tblCellMar>
          <w:top w:w="28" w:type="dxa"/>
          <w:left w:w="0" w:type="dxa"/>
          <w:bottom w:w="0" w:type="dxa"/>
          <w:right w:w="0" w:type="dxa"/>
        </w:tblCellMar>
      </w:tblPr>
      <w:tblGrid>
        <w:gridCol w:w="515"/>
      </w:tblGrid>
      <w:tr>
        <w:trPr/>
        <w:tc>
          <w:tcPr>
            <w:tcW w:w="515" w:type="dxa"/>
            <w:tcBorders>
              <w:top w:val="single" w:sz="2" w:space="0" w:color="000000"/>
            </w:tcBorders>
            <w:vAlign w:val="center"/>
          </w:tcPr>
          <w:p>
            <w:pPr>
              <w:pStyle w:val="TableContents"/>
              <w:bidi w:val="0"/>
              <w:spacing w:before="0" w:after="283"/>
              <w:jc w:val="right"/>
              <w:rPr>
                <w:rFonts w:ascii="Arial" w:hAnsi="Arial"/>
                <w:sz w:val="16"/>
              </w:rPr>
            </w:pPr>
            <w:r>
              <w:rPr>
                <w:rFonts w:ascii="Arial" w:hAnsi="Arial"/>
                <w:sz w:val="16"/>
              </w:rPr>
              <w:t>page 3</w:t>
            </w:r>
          </w:p>
        </w:tc>
      </w:tr>
    </w:tbl>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6" w:name="z81d61a9c17c8465d97df071fde29144d"/>
      <w:bookmarkStart w:id="77" w:name="z81d61a9c17c8465d97df071fde29144d"/>
      <w:bookmarkEnd w:id="77"/>
    </w:p>
    <w:tbl>
      <w:tblPr>
        <w:tblW w:w="3515" w:type="dxa"/>
        <w:jc w:val="left"/>
        <w:tblInd w:w="0" w:type="dxa"/>
        <w:tblLayout w:type="fixed"/>
        <w:tblCellMar>
          <w:top w:w="0" w:type="dxa"/>
          <w:left w:w="0" w:type="dxa"/>
          <w:bottom w:w="0" w:type="dxa"/>
          <w:right w:w="0" w:type="dxa"/>
        </w:tblCellMar>
      </w:tblPr>
      <w:tblGrid>
        <w:gridCol w:w="1445"/>
        <w:gridCol w:w="2070"/>
      </w:tblGrid>
      <w:tr>
        <w:trPr/>
        <w:tc>
          <w:tcPr>
            <w:tcW w:w="1445" w:type="dxa"/>
            <w:tcBorders/>
            <w:vAlign w:val="center"/>
          </w:tcPr>
          <w:p>
            <w:pPr>
              <w:pStyle w:val="TableContents"/>
              <w:bidi w:val="0"/>
              <w:spacing w:before="0" w:after="283"/>
              <w:jc w:val="left"/>
              <w:rPr>
                <w:rFonts w:ascii="Arial" w:hAnsi="Arial"/>
              </w:rPr>
            </w:pPr>
            <w:r>
              <w:rPr>
                <w:rFonts w:ascii="Arial" w:hAnsi="Arial"/>
              </w:rPr>
              <w:t>IREN Limited</w:t>
            </w:r>
          </w:p>
        </w:tc>
        <w:tc>
          <w:tcPr>
            <w:tcW w:w="2070" w:type="dxa"/>
            <w:tcBorders/>
            <w:vAlign w:val="center"/>
          </w:tcPr>
          <w:p>
            <w:pPr>
              <w:pStyle w:val="TableContents"/>
              <w:bidi w:val="0"/>
              <w:spacing w:before="0" w:after="0"/>
              <w:jc w:val="right"/>
              <w:rPr/>
            </w:pPr>
            <w:r>
              <w:rPr/>
              <w:drawing>
                <wp:inline distT="0" distB="0" distL="0" distR="0">
                  <wp:extent cx="1314450" cy="342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14450" cy="342900"/>
                          </a:xfrm>
                          <a:prstGeom prst="rect">
                            <a:avLst/>
                          </a:prstGeom>
                        </pic:spPr>
                      </pic:pic>
                    </a:graphicData>
                  </a:graphic>
                </wp:inline>
              </w:drawing>
            </w:r>
          </w:p>
        </w:tc>
      </w:tr>
    </w:tbl>
    <w:p>
      <w:pPr>
        <w:pStyle w:val="TextBody"/>
        <w:bidi w:val="0"/>
        <w:spacing w:before="0" w:after="0"/>
        <w:jc w:val="left"/>
        <w:rPr/>
      </w:pPr>
      <w:r>
        <w:rPr/>
      </w:r>
    </w:p>
    <w:p>
      <w:pPr>
        <w:pStyle w:val="TextBody"/>
        <w:bidi w:val="0"/>
        <w:spacing w:before="0" w:after="0"/>
        <w:jc w:val="left"/>
        <w:rPr>
          <w:rFonts w:ascii="Arial" w:hAnsi="Arial"/>
          <w:color w:val="0073BF"/>
          <w:sz w:val="28"/>
        </w:rPr>
      </w:pPr>
      <w:bookmarkStart w:id="78" w:name="z_bookmark2"/>
      <w:bookmarkEnd w:id="78"/>
      <w:r>
        <w:rPr>
          <w:rFonts w:ascii="Arial" w:hAnsi="Arial"/>
          <w:color w:val="0073BF"/>
          <w:sz w:val="28"/>
        </w:rPr>
        <w:t>Schedule 1</w:t>
      </w:r>
    </w:p>
    <w:p>
      <w:pPr>
        <w:pStyle w:val="TextBody"/>
        <w:bidi w:val="0"/>
        <w:spacing w:before="0" w:after="0"/>
        <w:jc w:val="left"/>
        <w:rPr>
          <w:color w:val="000000"/>
        </w:rPr>
      </w:pPr>
      <w:r>
        <w:rPr>
          <w:color w:val="000000"/>
        </w:rPr>
        <w:t> </w:t>
      </w:r>
    </w:p>
    <w:p>
      <w:pPr>
        <w:pStyle w:val="TextBody"/>
        <w:bidi w:val="0"/>
        <w:spacing w:before="0" w:after="0"/>
        <w:jc w:val="left"/>
        <w:rPr>
          <w:rFonts w:ascii="Arial" w:hAnsi="Arial"/>
          <w:color w:val="000000"/>
          <w:sz w:val="36"/>
        </w:rPr>
      </w:pPr>
      <w:r>
        <w:rPr>
          <w:rFonts w:ascii="Arial" w:hAnsi="Arial"/>
          <w:color w:val="000000"/>
          <w:sz w:val="36"/>
        </w:rPr>
        <w:t>Assumptions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9" w:name="z5fe1dd2048364adf99a90456c20de7d2"/>
      <w:bookmarkStart w:id="80" w:name="z5fe1dd2048364adf99a90456c20de7d2"/>
      <w:bookmarkEnd w:id="80"/>
    </w:p>
    <w:tbl>
      <w:tblPr>
        <w:tblW w:w="5598" w:type="dxa"/>
        <w:jc w:val="left"/>
        <w:tblInd w:w="0" w:type="dxa"/>
        <w:tblLayout w:type="fixed"/>
        <w:tblCellMar>
          <w:top w:w="0" w:type="dxa"/>
          <w:left w:w="0" w:type="dxa"/>
          <w:bottom w:w="0" w:type="dxa"/>
          <w:right w:w="0" w:type="dxa"/>
        </w:tblCellMar>
      </w:tblPr>
      <w:tblGrid>
        <w:gridCol w:w="38"/>
        <w:gridCol w:w="245"/>
        <w:gridCol w:w="531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r>
              <w:rPr>
                <w:rFonts w:ascii="Arial" w:hAnsi="Arial"/>
                <w:sz w:val="20"/>
              </w:rPr>
              <w:t>(a)</w:t>
            </w:r>
          </w:p>
        </w:tc>
        <w:tc>
          <w:tcPr>
            <w:tcW w:w="5315" w:type="dxa"/>
            <w:tcBorders/>
            <w:vAlign w:val="center"/>
          </w:tcPr>
          <w:p>
            <w:pPr>
              <w:pStyle w:val="TableContents"/>
              <w:bidi w:val="0"/>
              <w:spacing w:before="0" w:after="0"/>
              <w:jc w:val="left"/>
              <w:rPr>
                <w:rFonts w:ascii="Arial" w:hAnsi="Arial"/>
                <w:sz w:val="20"/>
              </w:rPr>
            </w:pPr>
            <w:r>
              <w:rPr>
                <w:rFonts w:ascii="Arial" w:hAnsi="Arial"/>
                <w:sz w:val="20"/>
              </w:rPr>
              <w:t>All dates, signatures, seals and duty markings are authentic.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1" w:name="zf1aa3e12d7dd43ccbecfd83273e4a8e4"/>
      <w:bookmarkStart w:id="82" w:name="zf1aa3e12d7dd43ccbecfd83273e4a8e4"/>
      <w:bookmarkEnd w:id="82"/>
    </w:p>
    <w:tbl>
      <w:tblPr>
        <w:tblW w:w="8253" w:type="dxa"/>
        <w:jc w:val="left"/>
        <w:tblInd w:w="0" w:type="dxa"/>
        <w:tblLayout w:type="fixed"/>
        <w:tblCellMar>
          <w:top w:w="0" w:type="dxa"/>
          <w:left w:w="0" w:type="dxa"/>
          <w:bottom w:w="0" w:type="dxa"/>
          <w:right w:w="0" w:type="dxa"/>
        </w:tblCellMar>
      </w:tblPr>
      <w:tblGrid>
        <w:gridCol w:w="38"/>
        <w:gridCol w:w="245"/>
        <w:gridCol w:w="797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r>
              <w:rPr>
                <w:rFonts w:ascii="Arial" w:hAnsi="Arial"/>
                <w:sz w:val="20"/>
              </w:rPr>
              <w:t>(b)</w:t>
            </w:r>
          </w:p>
        </w:tc>
        <w:tc>
          <w:tcPr>
            <w:tcW w:w="7970" w:type="dxa"/>
            <w:tcBorders/>
            <w:vAlign w:val="center"/>
          </w:tcPr>
          <w:p>
            <w:pPr>
              <w:pStyle w:val="TableContents"/>
              <w:bidi w:val="0"/>
              <w:spacing w:before="0" w:after="0"/>
              <w:jc w:val="left"/>
              <w:rPr>
                <w:rFonts w:ascii="Arial" w:hAnsi="Arial"/>
                <w:sz w:val="20"/>
              </w:rPr>
            </w:pPr>
            <w:r>
              <w:rPr>
                <w:rFonts w:ascii="Arial" w:hAnsi="Arial"/>
                <w:sz w:val="20"/>
              </w:rPr>
              <w:t>If we have reviewed a copy of a document, it is a correct and complete copy of the original.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3" w:name="za7ff85888c774145a97f0561faf23d5e"/>
      <w:bookmarkStart w:id="84" w:name="za7ff85888c774145a97f0561faf23d5e"/>
      <w:bookmarkEnd w:id="84"/>
    </w:p>
    <w:tbl>
      <w:tblPr>
        <w:tblW w:w="9258" w:type="dxa"/>
        <w:jc w:val="left"/>
        <w:tblInd w:w="0" w:type="dxa"/>
        <w:tblLayout w:type="fixed"/>
        <w:tblCellMar>
          <w:top w:w="0" w:type="dxa"/>
          <w:left w:w="0" w:type="dxa"/>
          <w:bottom w:w="0" w:type="dxa"/>
          <w:right w:w="0" w:type="dxa"/>
        </w:tblCellMar>
      </w:tblPr>
      <w:tblGrid>
        <w:gridCol w:w="38"/>
        <w:gridCol w:w="245"/>
        <w:gridCol w:w="897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r>
              <w:rPr>
                <w:rFonts w:ascii="Arial" w:hAnsi="Arial"/>
                <w:sz w:val="20"/>
              </w:rPr>
              <w:t>(c)</w:t>
            </w:r>
          </w:p>
        </w:tc>
        <w:tc>
          <w:tcPr>
            <w:tcW w:w="8975" w:type="dxa"/>
            <w:tcBorders/>
            <w:vAlign w:val="center"/>
          </w:tcPr>
          <w:p>
            <w:pPr>
              <w:pStyle w:val="TableContents"/>
              <w:bidi w:val="0"/>
              <w:spacing w:before="0" w:after="0"/>
              <w:jc w:val="left"/>
              <w:rPr>
                <w:rFonts w:ascii="Arial" w:hAnsi="Arial"/>
                <w:sz w:val="20"/>
              </w:rPr>
            </w:pPr>
            <w:r>
              <w:rPr>
                <w:rFonts w:ascii="Arial" w:hAnsi="Arial"/>
                <w:sz w:val="20"/>
              </w:rPr>
              <w:t>If we have reviewed only a draft of a document, it has been or will be executed in the form of that draft.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5" w:name="ze27b085e01424ebf95596b8d85dcb9de"/>
      <w:bookmarkStart w:id="86" w:name="ze27b085e01424ebf95596b8d85dcb9de"/>
      <w:bookmarkEnd w:id="86"/>
    </w:p>
    <w:tbl>
      <w:tblPr>
        <w:tblW w:w="6618" w:type="dxa"/>
        <w:jc w:val="left"/>
        <w:tblInd w:w="0" w:type="dxa"/>
        <w:tblLayout w:type="fixed"/>
        <w:tblCellMar>
          <w:top w:w="0" w:type="dxa"/>
          <w:left w:w="0" w:type="dxa"/>
          <w:bottom w:w="0" w:type="dxa"/>
          <w:right w:w="0" w:type="dxa"/>
        </w:tblCellMar>
      </w:tblPr>
      <w:tblGrid>
        <w:gridCol w:w="38"/>
        <w:gridCol w:w="245"/>
        <w:gridCol w:w="633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r>
              <w:rPr>
                <w:rFonts w:ascii="Arial" w:hAnsi="Arial"/>
                <w:sz w:val="20"/>
              </w:rPr>
              <w:t>(d)</w:t>
            </w:r>
          </w:p>
        </w:tc>
        <w:tc>
          <w:tcPr>
            <w:tcW w:w="6335" w:type="dxa"/>
            <w:tcBorders/>
            <w:vAlign w:val="center"/>
          </w:tcPr>
          <w:p>
            <w:pPr>
              <w:pStyle w:val="TableContents"/>
              <w:bidi w:val="0"/>
              <w:spacing w:before="0" w:after="0"/>
              <w:jc w:val="left"/>
              <w:rPr>
                <w:rFonts w:ascii="Arial" w:hAnsi="Arial"/>
                <w:sz w:val="20"/>
              </w:rPr>
            </w:pPr>
            <w:r>
              <w:rPr>
                <w:rFonts w:ascii="Arial" w:hAnsi="Arial"/>
                <w:sz w:val="20"/>
              </w:rPr>
              <w:t>All statements made in the Documents as to factual matters are correct.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7" w:name="z7504d6d34dd94a6bb6435e0d7eda43a9"/>
      <w:bookmarkStart w:id="88" w:name="z7504d6d34dd94a6bb6435e0d7eda43a9"/>
      <w:bookmarkEnd w:id="88"/>
    </w:p>
    <w:tbl>
      <w:tblPr>
        <w:tblW w:w="6303" w:type="dxa"/>
        <w:jc w:val="left"/>
        <w:tblInd w:w="0" w:type="dxa"/>
        <w:tblLayout w:type="fixed"/>
        <w:tblCellMar>
          <w:top w:w="0" w:type="dxa"/>
          <w:left w:w="0" w:type="dxa"/>
          <w:bottom w:w="0" w:type="dxa"/>
          <w:right w:w="0" w:type="dxa"/>
        </w:tblCellMar>
      </w:tblPr>
      <w:tblGrid>
        <w:gridCol w:w="38"/>
        <w:gridCol w:w="245"/>
        <w:gridCol w:w="602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r>
              <w:rPr>
                <w:rFonts w:ascii="Arial" w:hAnsi="Arial"/>
                <w:sz w:val="20"/>
              </w:rPr>
              <w:t>(e)</w:t>
            </w:r>
          </w:p>
        </w:tc>
        <w:tc>
          <w:tcPr>
            <w:tcW w:w="6020" w:type="dxa"/>
            <w:tcBorders/>
            <w:vAlign w:val="center"/>
          </w:tcPr>
          <w:p>
            <w:pPr>
              <w:pStyle w:val="TableContents"/>
              <w:bidi w:val="0"/>
              <w:spacing w:before="0" w:after="0"/>
              <w:jc w:val="left"/>
              <w:rPr>
                <w:rFonts w:ascii="Arial" w:hAnsi="Arial"/>
                <w:sz w:val="20"/>
              </w:rPr>
            </w:pPr>
            <w:r>
              <w:rPr>
                <w:rFonts w:ascii="Arial" w:hAnsi="Arial"/>
                <w:sz w:val="20"/>
              </w:rPr>
              <w:t>None of the Documents have been amended, released or terminated.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9" w:name="z33abb7137f6545a2a986287b2df532e2"/>
      <w:bookmarkStart w:id="90" w:name="z33abb7137f6545a2a986287b2df532e2"/>
      <w:bookmarkEnd w:id="90"/>
    </w:p>
    <w:tbl>
      <w:tblPr>
        <w:tblW w:w="9738" w:type="dxa"/>
        <w:jc w:val="left"/>
        <w:tblInd w:w="0" w:type="dxa"/>
        <w:tblLayout w:type="fixed"/>
        <w:tblCellMar>
          <w:top w:w="0" w:type="dxa"/>
          <w:left w:w="0" w:type="dxa"/>
          <w:bottom w:w="0" w:type="dxa"/>
          <w:right w:w="0" w:type="dxa"/>
        </w:tblCellMar>
      </w:tblPr>
      <w:tblGrid>
        <w:gridCol w:w="38"/>
        <w:gridCol w:w="200"/>
        <w:gridCol w:w="950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Arial" w:hAnsi="Arial"/>
                <w:sz w:val="20"/>
              </w:rPr>
            </w:pPr>
            <w:r>
              <w:rPr>
                <w:rFonts w:ascii="Arial" w:hAnsi="Arial"/>
                <w:sz w:val="20"/>
              </w:rPr>
              <w:t>(f)</w:t>
            </w:r>
          </w:p>
        </w:tc>
        <w:tc>
          <w:tcPr>
            <w:tcW w:w="9500" w:type="dxa"/>
            <w:tcBorders/>
            <w:vAlign w:val="center"/>
          </w:tcPr>
          <w:p>
            <w:pPr>
              <w:pStyle w:val="TableContents"/>
              <w:bidi w:val="0"/>
              <w:spacing w:before="0" w:after="0"/>
              <w:jc w:val="left"/>
              <w:rPr>
                <w:rFonts w:ascii="Arial" w:hAnsi="Arial"/>
                <w:sz w:val="20"/>
              </w:rPr>
            </w:pPr>
            <w:r>
              <w:rPr>
                <w:rFonts w:ascii="Arial" w:hAnsi="Arial"/>
                <w:sz w:val="20"/>
              </w:rPr>
              <w:t>Each person who executed any Document on behalf of the Company held the position they purported to hold.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1" w:name="zd718224bd79e4c06817e6467d3bfc7e4"/>
      <w:bookmarkStart w:id="92" w:name="zd718224bd79e4c06817e6467d3bfc7e4"/>
      <w:bookmarkEnd w:id="92"/>
    </w:p>
    <w:tbl>
      <w:tblPr>
        <w:tblW w:w="2373" w:type="dxa"/>
        <w:jc w:val="left"/>
        <w:tblInd w:w="0" w:type="dxa"/>
        <w:tblLayout w:type="fixed"/>
        <w:tblCellMar>
          <w:top w:w="0" w:type="dxa"/>
          <w:left w:w="0" w:type="dxa"/>
          <w:bottom w:w="0" w:type="dxa"/>
          <w:right w:w="0" w:type="dxa"/>
        </w:tblCellMar>
      </w:tblPr>
      <w:tblGrid>
        <w:gridCol w:w="38"/>
        <w:gridCol w:w="245"/>
        <w:gridCol w:w="209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r>
              <w:rPr>
                <w:rFonts w:ascii="Arial" w:hAnsi="Arial"/>
                <w:sz w:val="20"/>
              </w:rPr>
              <w:t>(g)</w:t>
            </w:r>
          </w:p>
        </w:tc>
        <w:tc>
          <w:tcPr>
            <w:tcW w:w="2090" w:type="dxa"/>
            <w:tcBorders/>
            <w:vAlign w:val="center"/>
          </w:tcPr>
          <w:p>
            <w:pPr>
              <w:pStyle w:val="TableContents"/>
              <w:bidi w:val="0"/>
              <w:spacing w:before="0" w:after="0"/>
              <w:jc w:val="left"/>
              <w:rPr>
                <w:rFonts w:ascii="Arial" w:hAnsi="Arial"/>
                <w:sz w:val="20"/>
              </w:rPr>
            </w:pPr>
            <w:r>
              <w:rPr>
                <w:rFonts w:ascii="Arial" w:hAnsi="Arial"/>
                <w:sz w:val="20"/>
              </w:rPr>
              <w:t>The Merger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3" w:name="z68dd7015266444bfbabda594f3300242"/>
      <w:bookmarkStart w:id="94" w:name="z68dd7015266444bfbabda594f3300242"/>
      <w:bookmarkEnd w:id="94"/>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pPr>
            <w:r>
              <w:rPr/>
            </w:r>
          </w:p>
        </w:tc>
        <w:tc>
          <w:tcPr>
            <w:tcW w:w="178" w:type="dxa"/>
            <w:tcBorders/>
            <w:vAlign w:val="center"/>
          </w:tcPr>
          <w:p>
            <w:pPr>
              <w:pStyle w:val="TableContents"/>
              <w:bidi w:val="0"/>
              <w:spacing w:before="0" w:after="283"/>
              <w:jc w:val="left"/>
              <w:rPr>
                <w:rFonts w:ascii="Arial" w:hAnsi="Arial"/>
                <w:sz w:val="20"/>
              </w:rPr>
            </w:pPr>
            <w:r>
              <w:rPr>
                <w:rFonts w:ascii="Arial" w:hAnsi="Arial"/>
                <w:sz w:val="20"/>
              </w:rPr>
              <w:t>(i)</w:t>
            </w:r>
          </w:p>
        </w:tc>
        <w:tc>
          <w:tcPr>
            <w:tcW w:w="9989" w:type="dxa"/>
            <w:tcBorders/>
            <w:vAlign w:val="center"/>
          </w:tcPr>
          <w:p>
            <w:pPr>
              <w:pStyle w:val="TableContents"/>
              <w:bidi w:val="0"/>
              <w:spacing w:before="0" w:after="0"/>
              <w:jc w:val="left"/>
              <w:rPr>
                <w:rFonts w:ascii="Arial" w:hAnsi="Arial"/>
                <w:sz w:val="20"/>
              </w:rPr>
            </w:pPr>
            <w:r>
              <w:rPr>
                <w:rFonts w:ascii="Arial" w:hAnsi="Arial"/>
                <w:sz w:val="20"/>
              </w:rPr>
              <w:t>has been validly authorised and entered into by each party to it, and is binding on each such party under all applicable laws;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5" w:name="zd1008ae6eb894325ba530e34a0a2381c"/>
      <w:bookmarkStart w:id="96" w:name="zd1008ae6eb894325ba530e34a0a2381c"/>
      <w:bookmarkEnd w:id="96"/>
    </w:p>
    <w:tbl>
      <w:tblPr>
        <w:tblW w:w="4848" w:type="dxa"/>
        <w:jc w:val="left"/>
        <w:tblInd w:w="0" w:type="dxa"/>
        <w:tblLayout w:type="fixed"/>
        <w:tblCellMar>
          <w:top w:w="0" w:type="dxa"/>
          <w:left w:w="0" w:type="dxa"/>
          <w:bottom w:w="0" w:type="dxa"/>
          <w:right w:w="0" w:type="dxa"/>
        </w:tblCellMar>
      </w:tblPr>
      <w:tblGrid>
        <w:gridCol w:w="38"/>
        <w:gridCol w:w="230"/>
        <w:gridCol w:w="4580"/>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Arial" w:hAnsi="Arial"/>
                <w:sz w:val="20"/>
              </w:rPr>
            </w:pPr>
            <w:r>
              <w:rPr>
                <w:rFonts w:ascii="Arial" w:hAnsi="Arial"/>
                <w:sz w:val="20"/>
              </w:rPr>
              <w:t>(ii)</w:t>
            </w:r>
          </w:p>
        </w:tc>
        <w:tc>
          <w:tcPr>
            <w:tcW w:w="4580" w:type="dxa"/>
            <w:tcBorders/>
            <w:vAlign w:val="center"/>
          </w:tcPr>
          <w:p>
            <w:pPr>
              <w:pStyle w:val="TableContents"/>
              <w:bidi w:val="0"/>
              <w:spacing w:before="0" w:after="0"/>
              <w:jc w:val="left"/>
              <w:rPr>
                <w:rFonts w:ascii="Arial" w:hAnsi="Arial"/>
                <w:sz w:val="20"/>
              </w:rPr>
            </w:pPr>
            <w:r>
              <w:rPr>
                <w:rFonts w:ascii="Arial" w:hAnsi="Arial"/>
                <w:sz w:val="20"/>
              </w:rPr>
              <w:t>is binding on the Company under all applicable laws.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7" w:name="z354d451e507742439b31f43497d97b1f"/>
      <w:bookmarkStart w:id="98" w:name="z354d451e507742439b31f43497d97b1f"/>
      <w:bookmarkEnd w:id="98"/>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pPr>
            <w:r>
              <w:rPr/>
            </w:r>
          </w:p>
        </w:tc>
        <w:tc>
          <w:tcPr>
            <w:tcW w:w="208" w:type="dxa"/>
            <w:tcBorders/>
            <w:vAlign w:val="center"/>
          </w:tcPr>
          <w:p>
            <w:pPr>
              <w:pStyle w:val="TableContents"/>
              <w:bidi w:val="0"/>
              <w:spacing w:before="0" w:after="283"/>
              <w:jc w:val="left"/>
              <w:rPr>
                <w:rFonts w:ascii="Arial" w:hAnsi="Arial"/>
                <w:sz w:val="20"/>
              </w:rPr>
            </w:pPr>
            <w:r>
              <w:rPr>
                <w:rFonts w:ascii="Arial" w:hAnsi="Arial"/>
                <w:sz w:val="20"/>
              </w:rPr>
              <w:t>(h)</w:t>
            </w:r>
          </w:p>
        </w:tc>
        <w:tc>
          <w:tcPr>
            <w:tcW w:w="9959" w:type="dxa"/>
            <w:tcBorders/>
            <w:vAlign w:val="center"/>
          </w:tcPr>
          <w:p>
            <w:pPr>
              <w:pStyle w:val="TableContents"/>
              <w:bidi w:val="0"/>
              <w:spacing w:before="0" w:after="0"/>
              <w:jc w:val="left"/>
              <w:rPr>
                <w:rFonts w:ascii="Arial" w:hAnsi="Arial"/>
                <w:sz w:val="20"/>
              </w:rPr>
            </w:pPr>
            <w:r>
              <w:rPr>
                <w:rFonts w:ascii="Arial" w:hAnsi="Arial"/>
                <w:sz w:val="20"/>
              </w:rPr>
              <w:t>All acts, conditions or things required to be fulfilled, performed or effected in connection with the Merger Agreement under the laws of any jurisdiction (other than the Relevant Jurisdictions but only to the extent opined herein) have been duly fulfilled, performed and effected.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9" w:name="zc6c389a1275d49aeaa21bc424ad3d559"/>
      <w:bookmarkStart w:id="100" w:name="zc6c389a1275d49aeaa21bc424ad3d559"/>
      <w:bookmarkEnd w:id="100"/>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pPr>
            <w:r>
              <w:rPr/>
            </w:r>
          </w:p>
        </w:tc>
        <w:tc>
          <w:tcPr>
            <w:tcW w:w="166" w:type="dxa"/>
            <w:tcBorders/>
            <w:vAlign w:val="center"/>
          </w:tcPr>
          <w:p>
            <w:pPr>
              <w:pStyle w:val="TableContents"/>
              <w:bidi w:val="0"/>
              <w:spacing w:before="0" w:after="283"/>
              <w:jc w:val="left"/>
              <w:rPr>
                <w:rFonts w:ascii="Arial" w:hAnsi="Arial"/>
                <w:sz w:val="20"/>
              </w:rPr>
            </w:pPr>
            <w:r>
              <w:rPr>
                <w:rFonts w:ascii="Arial" w:hAnsi="Arial"/>
                <w:sz w:val="20"/>
              </w:rPr>
              <w:t>(i)</w:t>
            </w:r>
          </w:p>
        </w:tc>
        <w:tc>
          <w:tcPr>
            <w:tcW w:w="10001" w:type="dxa"/>
            <w:tcBorders/>
            <w:vAlign w:val="center"/>
          </w:tcPr>
          <w:p>
            <w:pPr>
              <w:pStyle w:val="TableContents"/>
              <w:bidi w:val="0"/>
              <w:spacing w:before="0" w:after="0"/>
              <w:jc w:val="left"/>
              <w:rPr>
                <w:rFonts w:ascii="Arial" w:hAnsi="Arial"/>
                <w:sz w:val="20"/>
              </w:rPr>
            </w:pPr>
            <w:r>
              <w:rPr>
                <w:rFonts w:ascii="Arial" w:hAnsi="Arial"/>
                <w:sz w:val="20"/>
              </w:rPr>
              <w:t>If the Merger Agreement is to be performed in a jurisdiction other than a Relevant Jurisdiction, its performance will not be illegal under the laws of that jurisdiction.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1" w:name="z4ed4273342304aafa1c56e71834b63a5"/>
      <w:bookmarkStart w:id="102" w:name="z4ed4273342304aafa1c56e71834b63a5"/>
      <w:bookmarkEnd w:id="102"/>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left"/>
              <w:rPr>
                <w:rFonts w:ascii="Arial" w:hAnsi="Arial"/>
                <w:sz w:val="20"/>
              </w:rPr>
            </w:pPr>
            <w:r>
              <w:rPr>
                <w:rFonts w:ascii="Arial" w:hAnsi="Arial"/>
                <w:sz w:val="20"/>
              </w:rPr>
              <w:t>(j)</w:t>
            </w:r>
          </w:p>
        </w:tc>
        <w:tc>
          <w:tcPr>
            <w:tcW w:w="10009" w:type="dxa"/>
            <w:tcBorders/>
            <w:vAlign w:val="center"/>
          </w:tcPr>
          <w:p>
            <w:pPr>
              <w:pStyle w:val="TableContents"/>
              <w:bidi w:val="0"/>
              <w:spacing w:before="0" w:after="0"/>
              <w:jc w:val="left"/>
              <w:rPr>
                <w:rFonts w:ascii="Arial" w:hAnsi="Arial"/>
                <w:sz w:val="20"/>
              </w:rPr>
            </w:pPr>
            <w:r>
              <w:rPr>
                <w:rFonts w:ascii="Arial" w:hAnsi="Arial"/>
                <w:sz w:val="20"/>
              </w:rPr>
              <w:t>The Merger Agreement constitutes or will on execution constitute binding obligations of the Company under the laws of the Governing Jurisdiction enforceable in competent courts of that jurisdiction.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 w:name="zc22313eaf0fe4f0d81cb19164e0119fb"/>
      <w:bookmarkStart w:id="104" w:name="zc22313eaf0fe4f0d81cb19164e0119fb"/>
      <w:bookmarkEnd w:id="104"/>
    </w:p>
    <w:tbl>
      <w:tblPr>
        <w:tblW w:w="8853" w:type="dxa"/>
        <w:jc w:val="left"/>
        <w:tblInd w:w="0" w:type="dxa"/>
        <w:tblLayout w:type="fixed"/>
        <w:tblCellMar>
          <w:top w:w="0" w:type="dxa"/>
          <w:left w:w="0" w:type="dxa"/>
          <w:bottom w:w="0" w:type="dxa"/>
          <w:right w:w="0" w:type="dxa"/>
        </w:tblCellMar>
      </w:tblPr>
      <w:tblGrid>
        <w:gridCol w:w="38"/>
        <w:gridCol w:w="245"/>
        <w:gridCol w:w="857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r>
              <w:rPr>
                <w:rFonts w:ascii="Arial" w:hAnsi="Arial"/>
                <w:sz w:val="20"/>
              </w:rPr>
              <w:t>(k)</w:t>
            </w:r>
          </w:p>
        </w:tc>
        <w:tc>
          <w:tcPr>
            <w:tcW w:w="8570" w:type="dxa"/>
            <w:tcBorders/>
            <w:vAlign w:val="center"/>
          </w:tcPr>
          <w:p>
            <w:pPr>
              <w:pStyle w:val="TableContents"/>
              <w:bidi w:val="0"/>
              <w:spacing w:before="0" w:after="0"/>
              <w:jc w:val="left"/>
              <w:rPr>
                <w:rFonts w:ascii="Arial" w:hAnsi="Arial"/>
                <w:sz w:val="20"/>
              </w:rPr>
            </w:pPr>
            <w:r>
              <w:rPr>
                <w:rFonts w:ascii="Arial" w:hAnsi="Arial"/>
                <w:sz w:val="20"/>
              </w:rPr>
              <w:t>All parties to the Merger Agreement will comply with their obligations under the Merger Agreement.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5" w:name="z8c41d0b8f3de49cca1e38f98a0b678be"/>
      <w:bookmarkStart w:id="106" w:name="z8c41d0b8f3de49cca1e38f98a0b678be"/>
      <w:bookmarkEnd w:id="106"/>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pPr>
            <w:r>
              <w:rPr/>
            </w:r>
          </w:p>
        </w:tc>
        <w:tc>
          <w:tcPr>
            <w:tcW w:w="172" w:type="dxa"/>
            <w:tcBorders/>
            <w:vAlign w:val="center"/>
          </w:tcPr>
          <w:p>
            <w:pPr>
              <w:pStyle w:val="TableContents"/>
              <w:bidi w:val="0"/>
              <w:spacing w:before="0" w:after="283"/>
              <w:jc w:val="left"/>
              <w:rPr>
                <w:rFonts w:ascii="Arial" w:hAnsi="Arial"/>
                <w:sz w:val="20"/>
              </w:rPr>
            </w:pPr>
            <w:r>
              <w:rPr>
                <w:rFonts w:ascii="Arial" w:hAnsi="Arial"/>
                <w:sz w:val="20"/>
              </w:rPr>
              <w:t>(l)</w:t>
            </w:r>
          </w:p>
        </w:tc>
        <w:tc>
          <w:tcPr>
            <w:tcW w:w="9995" w:type="dxa"/>
            <w:tcBorders/>
            <w:vAlign w:val="center"/>
          </w:tcPr>
          <w:p>
            <w:pPr>
              <w:pStyle w:val="TableContents"/>
              <w:bidi w:val="0"/>
              <w:spacing w:before="0" w:after="0"/>
              <w:jc w:val="left"/>
              <w:rPr>
                <w:rFonts w:ascii="Arial" w:hAnsi="Arial"/>
                <w:sz w:val="20"/>
              </w:rPr>
            </w:pPr>
            <w:r>
              <w:rPr>
                <w:rFonts w:ascii="Arial" w:hAnsi="Arial"/>
                <w:sz w:val="20"/>
              </w:rPr>
              <w:t>There are no provisions of the laws of any jurisdiction other than Australia that would adversely affect the opinions expressed in this Opinion.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7" w:name="z631c70d09cf8448db322a841c77cdeb5"/>
      <w:bookmarkStart w:id="108" w:name="z631c70d09cf8448db322a841c77cdeb5"/>
      <w:bookmarkEnd w:id="108"/>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pPr>
            <w:r>
              <w:rPr/>
            </w:r>
          </w:p>
        </w:tc>
        <w:tc>
          <w:tcPr>
            <w:tcW w:w="285" w:type="dxa"/>
            <w:tcBorders/>
            <w:vAlign w:val="center"/>
          </w:tcPr>
          <w:p>
            <w:pPr>
              <w:pStyle w:val="TableContents"/>
              <w:bidi w:val="0"/>
              <w:spacing w:before="0" w:after="283"/>
              <w:jc w:val="left"/>
              <w:rPr>
                <w:rFonts w:ascii="Arial" w:hAnsi="Arial"/>
                <w:sz w:val="20"/>
              </w:rPr>
            </w:pPr>
            <w:r>
              <w:rPr>
                <w:rFonts w:ascii="Arial" w:hAnsi="Arial"/>
                <w:sz w:val="20"/>
              </w:rPr>
              <w:t>(m)</w:t>
            </w:r>
          </w:p>
        </w:tc>
        <w:tc>
          <w:tcPr>
            <w:tcW w:w="9882" w:type="dxa"/>
            <w:tcBorders/>
            <w:vAlign w:val="center"/>
          </w:tcPr>
          <w:p>
            <w:pPr>
              <w:pStyle w:val="TableContents"/>
              <w:bidi w:val="0"/>
              <w:spacing w:before="0" w:after="0"/>
              <w:jc w:val="left"/>
              <w:rPr>
                <w:rFonts w:ascii="Arial" w:hAnsi="Arial"/>
                <w:sz w:val="20"/>
              </w:rPr>
            </w:pPr>
            <w:r>
              <w:rPr>
                <w:rFonts w:ascii="Arial" w:hAnsi="Arial"/>
                <w:sz w:val="20"/>
              </w:rPr>
              <w:t>Once taken, board resolutions passed by the Company, including powers granted therein, shall not be amended or rescinded and shall remain in full force and effect.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9" w:name="z9ca7e6bee76a4cb9bb30aebecc08ebed"/>
      <w:bookmarkStart w:id="110" w:name="z9ca7e6bee76a4cb9bb30aebecc08ebed"/>
      <w:bookmarkEnd w:id="110"/>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pPr>
            <w:r>
              <w:rPr/>
            </w:r>
          </w:p>
        </w:tc>
        <w:tc>
          <w:tcPr>
            <w:tcW w:w="233" w:type="dxa"/>
            <w:tcBorders/>
            <w:vAlign w:val="center"/>
          </w:tcPr>
          <w:p>
            <w:pPr>
              <w:pStyle w:val="TableContents"/>
              <w:bidi w:val="0"/>
              <w:spacing w:before="0" w:after="283"/>
              <w:jc w:val="left"/>
              <w:rPr>
                <w:rFonts w:ascii="Arial" w:hAnsi="Arial"/>
                <w:sz w:val="20"/>
              </w:rPr>
            </w:pPr>
            <w:r>
              <w:rPr>
                <w:rFonts w:ascii="Arial" w:hAnsi="Arial"/>
                <w:sz w:val="20"/>
              </w:rPr>
              <w:t>(n)</w:t>
            </w:r>
          </w:p>
        </w:tc>
        <w:tc>
          <w:tcPr>
            <w:tcW w:w="9934" w:type="dxa"/>
            <w:tcBorders/>
            <w:vAlign w:val="center"/>
          </w:tcPr>
          <w:p>
            <w:pPr>
              <w:pStyle w:val="TableContents"/>
              <w:bidi w:val="0"/>
              <w:spacing w:before="0" w:after="0"/>
              <w:jc w:val="left"/>
              <w:rPr>
                <w:rFonts w:ascii="Arial" w:hAnsi="Arial"/>
                <w:sz w:val="20"/>
              </w:rPr>
            </w:pPr>
            <w:r>
              <w:rPr>
                <w:rFonts w:ascii="Arial" w:hAnsi="Arial"/>
                <w:sz w:val="20"/>
              </w:rPr>
              <w:t>The Shares have been issued in accordance with the Merger Agreement, Constitution and board resolutions to be passed by the Company.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1" w:name="za0345be310de49928faa00f1d80cfb6a"/>
      <w:bookmarkStart w:id="112" w:name="za0345be310de49928faa00f1d80cfb6a"/>
      <w:bookmarkEnd w:id="112"/>
    </w:p>
    <w:tbl>
      <w:tblPr>
        <w:tblW w:w="8178" w:type="dxa"/>
        <w:jc w:val="left"/>
        <w:tblInd w:w="0" w:type="dxa"/>
        <w:tblLayout w:type="fixed"/>
        <w:tblCellMar>
          <w:top w:w="0" w:type="dxa"/>
          <w:left w:w="0" w:type="dxa"/>
          <w:bottom w:w="0" w:type="dxa"/>
          <w:right w:w="0" w:type="dxa"/>
        </w:tblCellMar>
      </w:tblPr>
      <w:tblGrid>
        <w:gridCol w:w="38"/>
        <w:gridCol w:w="245"/>
        <w:gridCol w:w="789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Arial" w:hAnsi="Arial"/>
                <w:sz w:val="20"/>
              </w:rPr>
            </w:pPr>
            <w:r>
              <w:rPr>
                <w:rFonts w:ascii="Arial" w:hAnsi="Arial"/>
                <w:sz w:val="20"/>
              </w:rPr>
              <w:t>(o)</w:t>
            </w:r>
          </w:p>
        </w:tc>
        <w:tc>
          <w:tcPr>
            <w:tcW w:w="7895" w:type="dxa"/>
            <w:tcBorders/>
            <w:vAlign w:val="center"/>
          </w:tcPr>
          <w:p>
            <w:pPr>
              <w:pStyle w:val="TableContents"/>
              <w:bidi w:val="0"/>
              <w:spacing w:before="0" w:after="0"/>
              <w:jc w:val="left"/>
              <w:rPr>
                <w:rFonts w:ascii="Arial" w:hAnsi="Arial"/>
                <w:sz w:val="20"/>
              </w:rPr>
            </w:pPr>
            <w:r>
              <w:rPr>
                <w:rFonts w:ascii="Arial" w:hAnsi="Arial"/>
                <w:sz w:val="20"/>
              </w:rPr>
              <w:t>The transfer agent and registrar maintains the share register of members for the Company.</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Arial" w:hAnsi="Arial"/>
          <w:color w:val="000000"/>
          <w:sz w:val="20"/>
        </w:rPr>
      </w:pPr>
      <w:r>
        <w:rPr>
          <w:rFonts w:ascii="Arial" w:hAnsi="Arial"/>
          <w:color w:val="000000"/>
          <w:sz w:val="20"/>
        </w:rPr>
        <w:t>We have not taken any step to investigate whether the assumptions in this opinion are correct, except as expressly stated in this opinion.</w:t>
      </w:r>
    </w:p>
    <w:p>
      <w:pPr>
        <w:pStyle w:val="TextBody"/>
        <w:bidi w:val="0"/>
        <w:spacing w:before="0" w:after="0"/>
        <w:jc w:val="left"/>
        <w:rPr/>
      </w:pPr>
      <w:r>
        <w:rPr/>
      </w:r>
    </w:p>
    <w:p>
      <w:pPr>
        <w:pStyle w:val="TextBody"/>
        <w:bidi w:val="0"/>
        <w:spacing w:before="0" w:after="0"/>
        <w:jc w:val="left"/>
        <w:rPr/>
      </w:pPr>
      <w:r>
        <w:rPr/>
      </w:r>
    </w:p>
    <w:tbl>
      <w:tblPr>
        <w:tblW w:w="515" w:type="dxa"/>
        <w:jc w:val="left"/>
        <w:tblInd w:w="0" w:type="dxa"/>
        <w:tblLayout w:type="fixed"/>
        <w:tblCellMar>
          <w:top w:w="28" w:type="dxa"/>
          <w:left w:w="0" w:type="dxa"/>
          <w:bottom w:w="0" w:type="dxa"/>
          <w:right w:w="0" w:type="dxa"/>
        </w:tblCellMar>
      </w:tblPr>
      <w:tblGrid>
        <w:gridCol w:w="515"/>
      </w:tblGrid>
      <w:tr>
        <w:trPr/>
        <w:tc>
          <w:tcPr>
            <w:tcW w:w="515" w:type="dxa"/>
            <w:tcBorders>
              <w:top w:val="single" w:sz="2" w:space="0" w:color="000000"/>
            </w:tcBorders>
            <w:vAlign w:val="center"/>
          </w:tcPr>
          <w:p>
            <w:pPr>
              <w:pStyle w:val="TableContents"/>
              <w:bidi w:val="0"/>
              <w:spacing w:before="0" w:after="283"/>
              <w:jc w:val="right"/>
              <w:rPr>
                <w:rFonts w:ascii="Arial" w:hAnsi="Arial"/>
                <w:sz w:val="16"/>
              </w:rPr>
            </w:pPr>
            <w:r>
              <w:rPr>
                <w:rFonts w:ascii="Arial" w:hAnsi="Arial"/>
                <w:sz w:val="16"/>
              </w:rPr>
              <w:t>page 4</w:t>
            </w:r>
          </w:p>
        </w:tc>
      </w:tr>
    </w:tbl>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13" w:name="ny20079234x2_ex99-1.htm"/>
      <w:bookmarkStart w:id="114" w:name="ksny20079234x2_ex991"/>
      <w:bookmarkStart w:id="115" w:name="ny20079234x2_ex99-1.htm"/>
      <w:bookmarkStart w:id="116" w:name="ksny20079234x2_ex991"/>
      <w:bookmarkEnd w:id="115"/>
      <w:bookmarkEnd w:id="116"/>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99.1</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6191250" cy="581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191250" cy="58102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3551"/>
          <w:sz w:val="28"/>
        </w:rPr>
      </w:pPr>
      <w:r>
        <w:rPr>
          <w:rFonts w:ascii="Times New Roman;Times;serif" w:hAnsi="Times New Roman;Times;serif"/>
          <w:b/>
          <w:color w:val="003551"/>
          <w:sz w:val="28"/>
        </w:rPr>
        <w:t>IREN Completes Acquisition of Mirantis</w:t>
      </w:r>
    </w:p>
    <w:p>
      <w:pPr>
        <w:pStyle w:val="TextBody"/>
        <w:bidi w:val="0"/>
        <w:spacing w:before="0" w:after="0"/>
        <w:jc w:val="center"/>
        <w:rPr>
          <w:rFonts w:ascii="Times New Roman;Times;serif" w:hAnsi="Times New Roman;Times;serif"/>
          <w:b/>
          <w:color w:val="003551"/>
          <w:sz w:val="28"/>
        </w:rPr>
      </w:pPr>
      <w:r>
        <w:rPr>
          <w:rFonts w:ascii="Times New Roman;Times;serif" w:hAnsi="Times New Roman;Times;serif"/>
          <w:b/>
          <w:color w:val="003551"/>
          <w:sz w:val="28"/>
        </w:rPr>
        <w:t>Strengthening the Software Layer of its</w:t>
      </w:r>
    </w:p>
    <w:p>
      <w:pPr>
        <w:pStyle w:val="TextBody"/>
        <w:bidi w:val="0"/>
        <w:spacing w:before="0" w:after="0"/>
        <w:jc w:val="center"/>
        <w:rPr>
          <w:rFonts w:ascii="Times New Roman;Times;serif" w:hAnsi="Times New Roman;Times;serif"/>
          <w:b/>
          <w:color w:val="003551"/>
          <w:sz w:val="28"/>
        </w:rPr>
      </w:pPr>
      <w:r>
        <w:rPr>
          <w:rFonts w:ascii="Times New Roman;Times;serif" w:hAnsi="Times New Roman;Times;serif"/>
          <w:b/>
          <w:color w:val="003551"/>
          <w:sz w:val="28"/>
        </w:rPr>
        <w:t>Vertically Integrated AI Cloud Platform</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3551"/>
          <w:sz w:val="20"/>
        </w:rPr>
      </w:pPr>
      <w:r>
        <w:rPr>
          <w:rFonts w:ascii="Times New Roman;Times;serif" w:hAnsi="Times New Roman;Times;serif"/>
          <w:color w:val="003551"/>
          <w:sz w:val="20"/>
        </w:rPr>
        <w:t>NEW YORK, August 4, 2026 (GLOBE NEWSWIRE) – IREN Limited (NASDAQ: IREN) (“IREN”) today announced it has completed the acquisition of Mirantis, Inc. (“Mirantis”), a leading provider of cloud software and services, through the issuance of approximately 12.6m ordinary shares, fixed at signing, plus cash, restricted stock units and other consideration of approximately $40m as of closing.</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3551"/>
          <w:sz w:val="20"/>
        </w:rPr>
      </w:pPr>
      <w:r>
        <w:rPr>
          <w:rFonts w:ascii="Times New Roman;Times;serif" w:hAnsi="Times New Roman;Times;serif"/>
          <w:color w:val="003551"/>
          <w:sz w:val="20"/>
        </w:rPr>
        <w:t>The acquisition deepens IREN’s capabilities across AI workload orchestration, monitoring and customer support, further strengthening its vertically integrated AI Cloud platform spanning owned and operated data centers, compute and software.</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3551"/>
          <w:sz w:val="20"/>
        </w:rPr>
      </w:pPr>
      <w:r>
        <w:rPr>
          <w:rFonts w:ascii="Times New Roman;Times;serif" w:hAnsi="Times New Roman;Times;serif"/>
          <w:color w:val="003551"/>
          <w:sz w:val="20"/>
        </w:rPr>
        <w:t>The acquisition also supports IREN’s strategy to serve a large and diverse customer base over time, including hyperscalers, enterprises and AI developers across bare metal and managed cloud services, and has already facilitated several of IREN’s announced and prospective AI Cloud contracts.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3551"/>
          <w:sz w:val="20"/>
        </w:rPr>
      </w:pPr>
      <w:r>
        <w:rPr>
          <w:rFonts w:ascii="Times New Roman;Times;serif" w:hAnsi="Times New Roman;Times;serif"/>
          <w:color w:val="003551"/>
          <w:sz w:val="20"/>
        </w:rPr>
        <w:t>Mirantis brings deep software engineering and technical expertise, and a track record of serving more than 1,500 enterprise customers globally. Mirantis is an inaugural partner of the NVIDIA AI Cloud Ready Initiative, and has integrated k0rdent AI with NVIDIA DSX OS software components, supporting current and next-generation NVIDIA architectures. The open-source k0rdent AI platform will continue to be developed and supported for Mirantis’ customers.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3551"/>
          <w:sz w:val="20"/>
        </w:rPr>
      </w:pPr>
      <w:r>
        <w:rPr>
          <w:rFonts w:ascii="Times New Roman;Times;serif" w:hAnsi="Times New Roman;Times;serif"/>
          <w:color w:val="003551"/>
          <w:sz w:val="20"/>
        </w:rPr>
        <w:t>The combination brings together IREN’s owned and operated data centers and compute with Mirantis’ flexible, interoperable software layer, giving customers greater choice and control in how they deploy and scale AI workloads.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3551"/>
          <w:sz w:val="20"/>
        </w:rPr>
      </w:pPr>
      <w:r>
        <w:rPr>
          <w:rFonts w:ascii="Times New Roman;Times;serif" w:hAnsi="Times New Roman;Times;serif"/>
          <w:b/>
          <w:color w:val="003551"/>
          <w:sz w:val="20"/>
        </w:rPr>
        <w:t>Daniel Roberts, Co-Founder and Co-CEO of IREN, commented:</w:t>
      </w:r>
    </w:p>
    <w:p>
      <w:pPr>
        <w:pStyle w:val="TextBody"/>
        <w:bidi w:val="0"/>
        <w:spacing w:before="0" w:after="0"/>
        <w:jc w:val="left"/>
        <w:rPr/>
      </w:pPr>
      <w:r>
        <w:rPr/>
      </w:r>
    </w:p>
    <w:p>
      <w:pPr>
        <w:pStyle w:val="TextBody"/>
        <w:bidi w:val="0"/>
        <w:spacing w:before="0" w:after="0"/>
        <w:jc w:val="left"/>
        <w:rPr>
          <w:color w:val="003551"/>
        </w:rPr>
      </w:pPr>
      <w:r>
        <w:rPr>
          <w:color w:val="003551"/>
        </w:rPr>
        <w:t>“</w:t>
      </w:r>
      <w:r>
        <w:rPr>
          <w:rFonts w:ascii="Times New Roman;Times;serif" w:hAnsi="Times New Roman;Times;serif"/>
          <w:color w:val="003551"/>
          <w:sz w:val="20"/>
        </w:rPr>
        <w:t>From the beginning our view has been simple: own the land and power, build the data centers, deliver the compute. Mirantis adds the software layer on top, turning infrastructure into a platform. That’s what lets us serve everyone from hyperscalers running bare metal to enterprises who want fully managed AI cloud.”</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3551"/>
          <w:sz w:val="20"/>
        </w:rPr>
      </w:pPr>
      <w:r>
        <w:rPr>
          <w:rFonts w:ascii="Times New Roman;Times;serif" w:hAnsi="Times New Roman;Times;serif"/>
          <w:b/>
          <w:color w:val="003551"/>
          <w:sz w:val="20"/>
        </w:rPr>
        <w:t>Alex Freedland, Founder and CEO of Mirantis, commented:</w:t>
      </w:r>
    </w:p>
    <w:p>
      <w:pPr>
        <w:pStyle w:val="TextBody"/>
        <w:bidi w:val="0"/>
        <w:spacing w:before="0" w:after="0"/>
        <w:jc w:val="left"/>
        <w:rPr/>
      </w:pPr>
      <w:r>
        <w:rPr/>
      </w:r>
    </w:p>
    <w:p>
      <w:pPr>
        <w:pStyle w:val="TextBody"/>
        <w:bidi w:val="0"/>
        <w:spacing w:before="0" w:after="0"/>
        <w:jc w:val="left"/>
        <w:rPr>
          <w:color w:val="003551"/>
        </w:rPr>
      </w:pPr>
      <w:r>
        <w:rPr>
          <w:color w:val="003551"/>
        </w:rPr>
        <w:t>“</w:t>
      </w:r>
      <w:r>
        <w:rPr>
          <w:rFonts w:ascii="Times New Roman;Times;serif" w:hAnsi="Times New Roman;Times;serif"/>
          <w:color w:val="003551"/>
          <w:sz w:val="20"/>
        </w:rPr>
        <w:t>For more than a decade, Mirantis has helped enterprises deploy and operate mission-critical cloud infrastructure software, and that commitment to our customers remains unchanged. Becoming part of IREN gives us the opportunity to bring those capabilities to an even larger infrastructure platform, accelerating innovation while continuing to invest in the open and infrastructure-agnostic k0rdent AI platform.”</w:t>
      </w:r>
    </w:p>
    <w:p>
      <w:pPr>
        <w:pStyle w:val="TextBody"/>
        <w:bidi w:val="0"/>
        <w:spacing w:before="0" w:after="0"/>
        <w:jc w:val="left"/>
        <w:rPr>
          <w:rFonts w:ascii="Times New Roman;Times;serif" w:hAnsi="Times New Roman;Times;serif"/>
          <w:color w:val="003551"/>
          <w:sz w:val="20"/>
        </w:rPr>
      </w:pPr>
      <w:r>
        <w:rPr>
          <w:rFonts w:ascii="Times New Roman;Times;serif" w:hAnsi="Times New Roman;Times;serif"/>
          <w:color w:val="003551"/>
          <w:sz w:val="20"/>
        </w:rPr>
      </w:r>
    </w:p>
    <w:p>
      <w:pPr>
        <w:pStyle w:val="TextBody"/>
        <w:bidi w:val="0"/>
        <w:spacing w:before="0" w:after="0"/>
        <w:jc w:val="left"/>
        <w:rPr>
          <w:rFonts w:ascii="Times New Roman;Times;serif" w:hAnsi="Times New Roman;Times;serif"/>
          <w:color w:val="003551"/>
          <w:sz w:val="20"/>
        </w:rPr>
      </w:pPr>
      <w:r>
        <w:rPr>
          <w:rFonts w:ascii="Times New Roman;Times;serif" w:hAnsi="Times New Roman;Times;serif"/>
          <w:color w:val="003551"/>
          <w:sz w:val="20"/>
        </w:rPr>
      </w:r>
    </w:p>
    <w:p>
      <w:pPr>
        <w:pStyle w:val="TextBody"/>
        <w:bidi w:val="0"/>
        <w:spacing w:before="0" w:after="0"/>
        <w:jc w:val="right"/>
        <w:rPr>
          <w:rFonts w:ascii="Times New Roman;Times;serif" w:hAnsi="Times New Roman;Times;serif"/>
          <w:color w:val="000000"/>
          <w:sz w:val="16"/>
        </w:rPr>
      </w:pPr>
      <w:r>
        <w:rPr>
          <w:rFonts w:ascii="Times New Roman;Times;serif" w:hAnsi="Times New Roman;Times;serif"/>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3551"/>
        </w:rPr>
      </w:pPr>
      <w:r>
        <w:rPr>
          <w:color w:val="003551"/>
        </w:rPr>
        <w:drawing>
          <wp:inline distT="0" distB="0" distL="0" distR="0">
            <wp:extent cx="6191250" cy="581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191250" cy="581025"/>
                    </a:xfrm>
                    <a:prstGeom prst="rect">
                      <a:avLst/>
                    </a:prstGeom>
                  </pic:spPr>
                </pic:pic>
              </a:graphicData>
            </a:graphic>
          </wp:inline>
        </w:drawing>
      </w:r>
    </w:p>
    <w:p>
      <w:pPr>
        <w:pStyle w:val="TextBody"/>
        <w:bidi w:val="0"/>
        <w:spacing w:before="0" w:after="0"/>
        <w:jc w:val="left"/>
        <w:rPr>
          <w:rFonts w:ascii="Times New Roman;Times;serif" w:hAnsi="Times New Roman;Times;serif"/>
          <w:color w:val="003551"/>
          <w:sz w:val="20"/>
        </w:rPr>
      </w:pPr>
      <w:r>
        <w:rPr>
          <w:rFonts w:ascii="Times New Roman;Times;serif" w:hAnsi="Times New Roman;Times;serif"/>
          <w:color w:val="003551"/>
          <w:sz w:val="20"/>
        </w:rPr>
        <w:t>About IREN</w:t>
      </w:r>
    </w:p>
    <w:p>
      <w:pPr>
        <w:pStyle w:val="HorizontalLine"/>
        <w:pBdr>
          <w:bottom w:val="single" w:sz="12" w:space="0" w:color="808080"/>
        </w:pBdr>
        <w:bidi w:val="0"/>
        <w:jc w:val="left"/>
        <w:rPr/>
      </w:pPr>
      <w:r>
        <w:rPr/>
      </w:r>
    </w:p>
    <w:p>
      <w:pPr>
        <w:pStyle w:val="TextBody"/>
        <w:bidi w:val="0"/>
        <w:spacing w:before="0" w:after="0"/>
        <w:jc w:val="left"/>
        <w:rPr>
          <w:rFonts w:ascii="Times New Roman;Times;serif" w:hAnsi="Times New Roman;Times;serif"/>
          <w:color w:val="003551"/>
          <w:sz w:val="20"/>
        </w:rPr>
      </w:pPr>
      <w:r>
        <w:rPr>
          <w:rFonts w:ascii="Times New Roman;Times;serif" w:hAnsi="Times New Roman;Times;serif"/>
          <w:color w:val="003551"/>
          <w:sz w:val="20"/>
        </w:rPr>
        <w:t>IREN is a vertically integrated AI Cloud provider, delivering large-scale data centers and compute for AI training and inference. IREN’s platform is underpinned by its expansive portfolio of grid-connected land and power in renewable-rich regions across North America, Europe and APAC.</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3551"/>
          <w:sz w:val="20"/>
        </w:rPr>
      </w:pPr>
      <w:r>
        <w:rPr>
          <w:rFonts w:ascii="Times New Roman;Times;serif" w:hAnsi="Times New Roman;Times;serif"/>
          <w:color w:val="003551"/>
          <w:sz w:val="20"/>
        </w:rPr>
        <w:t>Contacts</w:t>
      </w:r>
    </w:p>
    <w:p>
      <w:pPr>
        <w:pStyle w:val="HorizontalLine"/>
        <w:pBdr>
          <w:bottom w:val="single" w:sz="12" w:space="0" w:color="808080"/>
        </w:pBdr>
        <w:bidi w:val="0"/>
        <w:jc w:val="left"/>
        <w:rPr/>
      </w:pPr>
      <w:r>
        <w:rPr/>
      </w:r>
    </w:p>
    <w:p>
      <w:pPr>
        <w:pStyle w:val="TextBody"/>
        <w:bidi w:val="0"/>
        <w:spacing w:before="0" w:after="0"/>
        <w:jc w:val="left"/>
        <w:rPr>
          <w:rFonts w:ascii="Times New Roman;Times;serif" w:hAnsi="Times New Roman;Times;serif"/>
          <w:b/>
          <w:color w:val="003551"/>
          <w:sz w:val="20"/>
        </w:rPr>
      </w:pPr>
      <w:r>
        <w:rPr>
          <w:rFonts w:ascii="Times New Roman;Times;serif" w:hAnsi="Times New Roman;Times;serif"/>
          <w:b/>
          <w:color w:val="003551"/>
          <w:sz w:val="20"/>
        </w:rPr>
        <w:t>Investors</w:t>
      </w:r>
    </w:p>
    <w:p>
      <w:pPr>
        <w:pStyle w:val="TextBody"/>
        <w:bidi w:val="0"/>
        <w:spacing w:before="0" w:after="0"/>
        <w:jc w:val="left"/>
        <w:rPr>
          <w:rFonts w:ascii="Times New Roman;Times;serif" w:hAnsi="Times New Roman;Times;serif"/>
          <w:color w:val="003551"/>
          <w:sz w:val="20"/>
        </w:rPr>
      </w:pPr>
      <w:r>
        <w:rPr>
          <w:rFonts w:ascii="Times New Roman;Times;serif" w:hAnsi="Times New Roman;Times;serif"/>
          <w:color w:val="003551"/>
          <w:sz w:val="20"/>
        </w:rPr>
        <w:t>ir@iren.com</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3551"/>
          <w:sz w:val="20"/>
        </w:rPr>
      </w:pPr>
      <w:r>
        <w:rPr>
          <w:rFonts w:ascii="Times New Roman;Times;serif" w:hAnsi="Times New Roman;Times;serif"/>
          <w:b/>
          <w:color w:val="003551"/>
          <w:sz w:val="20"/>
        </w:rPr>
        <w:t>Media</w:t>
      </w:r>
    </w:p>
    <w:p>
      <w:pPr>
        <w:pStyle w:val="TextBody"/>
        <w:bidi w:val="0"/>
        <w:spacing w:before="0" w:after="0"/>
        <w:jc w:val="left"/>
        <w:rPr>
          <w:rFonts w:ascii="Times New Roman;Times;serif" w:hAnsi="Times New Roman;Times;serif"/>
          <w:color w:val="003551"/>
          <w:sz w:val="20"/>
        </w:rPr>
      </w:pPr>
      <w:r>
        <w:rPr>
          <w:rFonts w:ascii="Times New Roman;Times;serif" w:hAnsi="Times New Roman;Times;serif"/>
          <w:color w:val="003551"/>
          <w:sz w:val="20"/>
        </w:rPr>
        <w:t>media@iren.com</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3551"/>
          <w:sz w:val="20"/>
        </w:rPr>
      </w:pPr>
      <w:r>
        <w:rPr>
          <w:rFonts w:ascii="Times New Roman;Times;serif" w:hAnsi="Times New Roman;Times;serif"/>
          <w:color w:val="003551"/>
          <w:sz w:val="20"/>
        </w:rPr>
        <w:t>Forward-Looking Statements</w:t>
      </w:r>
    </w:p>
    <w:p>
      <w:pPr>
        <w:pStyle w:val="HorizontalLine"/>
        <w:pBdr>
          <w:bottom w:val="single" w:sz="12" w:space="0" w:color="808080"/>
        </w:pBdr>
        <w:bidi w:val="0"/>
        <w:jc w:val="left"/>
        <w:rPr/>
      </w:pPr>
      <w:r>
        <w:rPr/>
      </w:r>
    </w:p>
    <w:p>
      <w:pPr>
        <w:pStyle w:val="TextBody"/>
        <w:bidi w:val="0"/>
        <w:spacing w:before="0" w:after="0"/>
        <w:jc w:val="both"/>
        <w:rPr>
          <w:rFonts w:ascii="Times New Roman;Times;serif" w:hAnsi="Times New Roman;Times;serif"/>
          <w:color w:val="003551"/>
          <w:sz w:val="20"/>
        </w:rPr>
      </w:pPr>
      <w:r>
        <w:rPr>
          <w:rFonts w:ascii="Times New Roman;Times;serif" w:hAnsi="Times New Roman;Times;serif"/>
          <w:color w:val="003551"/>
          <w:sz w:val="20"/>
        </w:rPr>
        <w:t>This news release contains “forward-looking statements” within the meaning of Section 27A of the Securities Act of 1933, as amended, and Section 21E of the Securities Exchange Act of 1934, as amended, that involve substantial risks and uncertainties. Forward-looking statements generally relate to future events or IREN’s future financial or operating performance. Forward-looking statements include information concerning possible or assumed future results of operations, including descriptions of our business plan and strategies, revenue targets, anticipated benefits of the Mirantis acquisition, customer utilization and adoption of the k0rdent AI platform, and other trends we expect to affect our business. These statements often include words such as “anticipate,” “believe,” “may,” “can,” “should,” “could,” “might,” “plan,” “possible,” “project,” “strive,” “budget,” “forecast,” “expect,” “intend,” “target”, “will,” “estimate,” “predict,” “potential,” “continue,” “scheduled”.  Forward-looking statements may also be made, verbally or in writing, by members of our Board or management team in connection with this news release.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3551"/>
          <w:sz w:val="20"/>
        </w:rPr>
      </w:pPr>
      <w:r>
        <w:rPr>
          <w:rFonts w:ascii="Times New Roman;Times;serif" w:hAnsi="Times New Roman;Times;serif"/>
          <w:color w:val="003551"/>
          <w:sz w:val="20"/>
        </w:rPr>
        <w:t>These forward-looking statements are based on management’s current expectations and beliefs. These statements are neither promises nor guarantees, but involve and are subject to known and unknown risks, uncertainties and other important factors that may cause IREN’s actual results, performance or achievements to differ materially from any future results performance or achievements expressed or implied by the forward-looking statements, including  IREN’s ability to successfully integrate and achieve the anticipated benefits of the acquisition, any unanticipated costs or liabilities associated with the acquisition, any failure to comply with laws, rules, regulations or business practices that IREN may become subject to as a result of any expansion of its business in connection with the acquisition of Mirantis, as well as IREN’s ability to successfully execute on its growth strategies and operating plans, achieve its targeted annualized AI Cloud revenue, continue to develop its existing data center sites, design and deploy direct-to-chip liquid cooling systems, and diversify and expand into the market for high performance computing solutions (including the market for cloud services and potential colocation services), along with other important factors discussed under the caption “Risk Factors” in IREN’s Annual Report on Form 10-K, filed with the Securities and Exchange Commission (the “SEC”) on August 28, 2025 and our other filings with the SEC. These and other important factors could cause actual results to differ materially from those indicated by the forward-looking statements made in this press release. Any forward-looking statement included in this press release speaks only as of the date of such statement. Except as required by law, IREN disclaims any obligation to update or revise, or to publicly announce any update or revision to, any of the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rFonts w:ascii="Times New Roman;Times;serif" w:hAnsi="Times New Roman;Times;serif"/>
          <w:color w:val="000000"/>
          <w:sz w:val="16"/>
        </w:rPr>
      </w:pPr>
      <w:r>
        <w:rPr>
          <w:rFonts w:ascii="Times New Roman;Times;serif" w:hAnsi="Times New Roman;Times;serif"/>
          <w:color w:val="000000"/>
          <w:sz w:val="16"/>
        </w:rPr>
        <w:t>2</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3020</Words>
  <Characters>16229</Characters>
  <CharactersWithSpaces>19078</CharactersWithSpaces>
  <Paragraphs>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